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65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ascii="宋体" w:hAnsi="宋体" w:cs="宋体"/>
          <w:bCs/>
          <w:color w:val="000000"/>
          <w:spacing w:val="6"/>
          <w:sz w:val="32"/>
          <w:szCs w:val="32"/>
          <w:highlight w:val="red"/>
          <w:lang w:val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highlight w:val="none"/>
          <w:lang w:val="en-US" w:eastAsia="zh-CN"/>
        </w:rPr>
        <w:t>夷陵区企业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highlight w:val="none"/>
        </w:rPr>
        <w:t>国有资产监督管理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highlight w:val="none"/>
          <w:lang w:val="en-US" w:eastAsia="zh-CN"/>
        </w:rPr>
        <w:t>工作实施细则（征求意见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highlight w:val="none"/>
          <w:lang w:val="en-US" w:eastAsia="zh-CN"/>
        </w:rPr>
        <w:t>稿）</w:t>
      </w:r>
    </w:p>
    <w:p w14:paraId="5127A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zh-CN"/>
        </w:rPr>
        <w:t>　　</w:t>
      </w:r>
    </w:p>
    <w:p w14:paraId="3A9608D5">
      <w:pPr>
        <w:widowControl w:val="0"/>
        <w:jc w:val="center"/>
        <w:rPr>
          <w:rFonts w:hint="eastAsia" w:ascii="宋体" w:hAnsi="宋体" w:cs="宋体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第一章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总则</w:t>
      </w:r>
    </w:p>
    <w:p w14:paraId="1777EF47">
      <w:pPr>
        <w:widowControl w:val="0"/>
        <w:jc w:val="left"/>
        <w:rPr>
          <w:rFonts w:hint="eastAsia" w:ascii="宋体" w:hAnsi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zh-CN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第一条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依据《中华人民共和国公司法》《中华人民共和国企业国有资产法》《企业国有资产监督管理暂行条例》等法律、法规，为进一步加强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宜昌市夷陵区政府国有资产监督管理局（以下称区国资局）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国有资产监督管理工作，切实履行监管职责，规范监管行为，发挥监管职能作用，实现国有资产保值增值，制定本实施细则。</w:t>
      </w:r>
    </w:p>
    <w:p w14:paraId="0A097B0A">
      <w:pPr>
        <w:widowControl w:val="0"/>
        <w:jc w:val="left"/>
        <w:rPr>
          <w:rFonts w:hint="eastAsia" w:ascii="宋体" w:hAnsi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zh-CN"/>
        </w:rPr>
        <w:t>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第二条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本实施细则适用于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根据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夷陵区人民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政府授权对履行出资人职责和监管职责的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属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国有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企业（以下称企业），组织开展的国有资产监督管理工作。</w:t>
      </w:r>
    </w:p>
    <w:p w14:paraId="09C7A922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zh-CN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第三条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国有资产监督管理工作坚持以下原则。</w:t>
      </w:r>
    </w:p>
    <w:p w14:paraId="6741D092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</w:t>
      </w:r>
      <w:r>
        <w:rPr>
          <w:rFonts w:hint="eastAsia" w:ascii="楷体" w:hAnsi="楷体" w:eastAsia="楷体" w:cs="楷体"/>
          <w:color w:val="000000"/>
          <w:sz w:val="32"/>
          <w:szCs w:val="32"/>
          <w:lang w:val="zh-CN"/>
        </w:rPr>
        <w:t>（一）坚持准确定位。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按照政企分开、政资分开、所有权与经营权分离要求，科学界定国有资产出资人监管的边界，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作为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夷陵区人民政府授权机构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，专司国有资产监管，不行使社会公共管理职能，不干预企业依法行使自主经营权。</w:t>
      </w:r>
    </w:p>
    <w:p w14:paraId="057D6EF7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</w:t>
      </w:r>
      <w:r>
        <w:rPr>
          <w:rFonts w:hint="eastAsia" w:ascii="楷体" w:hAnsi="楷体" w:eastAsia="楷体" w:cs="楷体"/>
          <w:color w:val="000000"/>
          <w:sz w:val="32"/>
          <w:szCs w:val="32"/>
          <w:lang w:val="zh-CN"/>
        </w:rPr>
        <w:t>（二）坚持依法监管。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按照有关法律法规规定，健全监管制度体系，重点管好国有资本布局、规范资本运作、提高资本回报、维护资本安全。全面加强国有资产监督，充实监督力量，完善监督机制，严格责任追究，切实防止国有资产流失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确保国有资产保值增值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。</w:t>
      </w:r>
    </w:p>
    <w:p w14:paraId="27F22B4D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</w:t>
      </w:r>
      <w:r>
        <w:rPr>
          <w:rFonts w:hint="eastAsia" w:ascii="楷体" w:hAnsi="楷体" w:eastAsia="楷体" w:cs="楷体"/>
          <w:color w:val="000000"/>
          <w:sz w:val="32"/>
          <w:szCs w:val="32"/>
          <w:lang w:val="zh-CN"/>
        </w:rPr>
        <w:t>（三）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zh-CN"/>
        </w:rPr>
        <w:t>坚持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lang w:val="en-US" w:eastAsia="zh-CN"/>
        </w:rPr>
        <w:t>激发活力</w:t>
      </w:r>
      <w:r>
        <w:rPr>
          <w:rFonts w:hint="eastAsia" w:ascii="楷体" w:hAnsi="楷体" w:eastAsia="楷体" w:cs="楷体"/>
          <w:color w:val="000000"/>
          <w:sz w:val="32"/>
          <w:szCs w:val="32"/>
          <w:lang w:val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遵循市场经济规律和企业发展规律，突出权责一致，确保责任落实，依法落实企业法人财产权和经营自主权，激发企业活力、创造力和市场竞争力，打造适应市场竞争要求、以提高核心竞争力和资源配置效率为目标的现代企业。</w:t>
      </w:r>
    </w:p>
    <w:p w14:paraId="2E883B6D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</w:t>
      </w:r>
      <w:r>
        <w:rPr>
          <w:rFonts w:hint="eastAsia" w:ascii="楷体" w:hAnsi="楷体" w:eastAsia="楷体" w:cs="楷体"/>
          <w:color w:val="000000"/>
          <w:sz w:val="32"/>
          <w:szCs w:val="32"/>
          <w:lang w:val="zh-CN"/>
        </w:rPr>
        <w:t>（四）坚持提高效能。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明确国有资产监管重点，改进监管方式和手段，整合监管资源，优化监管流程，提高监管效率，加强监管协同，实现依法监管、分类监管。</w:t>
      </w:r>
    </w:p>
    <w:p w14:paraId="0989D8A5">
      <w:pPr>
        <w:widowControl w:val="0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第二章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监管方式</w:t>
      </w:r>
    </w:p>
    <w:p w14:paraId="717773E6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第四条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依法依规监管。严格依据《公司法》、《企业国有资产法》、《企业国有资产监督管理暂行条例》等法律法规规定的权限和程序行权履职，健全完善国有资产监管的配套制度体系，动态修订完善出资人监管事项清单，注重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过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章程和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企业法人治理结构体现国有出资人意志，确保依法履行出资人职责。</w:t>
      </w:r>
    </w:p>
    <w:p w14:paraId="6A6137F0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优化监管流程。遵循程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序简化、管理精细、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权责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明确的原则，编制审批类、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核准类、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备案类事项办事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信息表，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确保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监管过程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运行协调顺畅。</w:t>
      </w:r>
    </w:p>
    <w:p w14:paraId="566BB90C">
      <w:pPr>
        <w:widowControl w:val="0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第三章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监管内容及具体措施</w:t>
      </w:r>
    </w:p>
    <w:p w14:paraId="25895BC8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按照《企业国有资产监督管理暂行条例》的职责界定，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依照法定程序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参与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对权限范围内的企业负责人进行任免、考核，通过统计、稽核等方式对企业国有资产的保值增值情况进行监管，在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对外投资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筹融资及对外担保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、改革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改制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、产权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交易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资产转让、资产评估等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方面履行监督管理职责。</w:t>
      </w:r>
    </w:p>
    <w:p w14:paraId="798706B2">
      <w:pPr>
        <w:widowControl w:val="0"/>
        <w:ind w:firstLine="621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对外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投资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事项</w:t>
      </w:r>
    </w:p>
    <w:p w14:paraId="0AD6D718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）企业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对外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投资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的投资项目，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由企业履行内部决策后，报区国资局审批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；</w:t>
      </w:r>
    </w:p>
    <w:p w14:paraId="1C632684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zh-CN" w:eastAsia="zh-CN" w:bidi="ar-SA"/>
        </w:rPr>
        <w:t>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zh-CN" w:eastAsia="zh-CN" w:bidi="ar-SA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企业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对外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投资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万元（含）以上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2000万元以下的投资项目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由区国资局提出审核建议，报区政府分管副区长审批；</w:t>
      </w:r>
    </w:p>
    <w:p w14:paraId="1275855F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企业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对外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投资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2000万元（含）以上5000万元以下的投资项目，由区国资局提出审核建议，经区政府分管副区长审签，报区长审批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；</w:t>
      </w:r>
    </w:p>
    <w:p w14:paraId="7182D975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境外投资、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对外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投资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5000万元（含）以上的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、对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区域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经济有重大影响的投资项目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需提请区政府常务会议或专题会议讨论审批；</w:t>
      </w:r>
    </w:p>
    <w:p w14:paraId="7CEA824D">
      <w:pPr>
        <w:widowControl w:val="0"/>
        <w:ind w:firstLine="622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筹融资及对外担保事项</w:t>
      </w:r>
    </w:p>
    <w:p w14:paraId="08773D0A">
      <w:pPr>
        <w:widowControl w:val="0"/>
        <w:numPr>
          <w:ilvl w:val="0"/>
          <w:numId w:val="0"/>
        </w:numPr>
        <w:ind w:firstLine="622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（一）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国有全资和控股企业禁止对无股权关系企业提供担保、拆借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/>
        </w:rPr>
        <w:t>；</w:t>
      </w:r>
    </w:p>
    <w:p w14:paraId="05E18FC6">
      <w:pPr>
        <w:widowControl w:val="0"/>
        <w:numPr>
          <w:ilvl w:val="0"/>
          <w:numId w:val="0"/>
        </w:numPr>
        <w:ind w:firstLine="622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（二）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银行融资10000万元以下的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企业履行内部决策后，报区国资局审批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；</w:t>
      </w:r>
    </w:p>
    <w:p w14:paraId="0F35A9BC">
      <w:pPr>
        <w:widowControl w:val="0"/>
        <w:numPr>
          <w:ilvl w:val="0"/>
          <w:numId w:val="0"/>
        </w:numPr>
        <w:ind w:firstLine="622" w:firstLineChars="20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（三）银行融资10000万元（含）以上50000万元以下的由区国资局提出审核建议，报区政府分管副区长审批；</w:t>
      </w:r>
    </w:p>
    <w:p w14:paraId="270BC61C">
      <w:pPr>
        <w:widowControl w:val="0"/>
        <w:numPr>
          <w:ilvl w:val="0"/>
          <w:numId w:val="0"/>
        </w:numPr>
        <w:ind w:firstLine="622" w:firstLineChars="200"/>
        <w:jc w:val="left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（四）银行融资50000万元（含）以上、非标准化融资、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发行公司债券、企业债券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的由区国资局提出审核建议，经区政府分管副区长审签，报区长审批；</w:t>
      </w:r>
    </w:p>
    <w:p w14:paraId="0B911F80">
      <w:pPr>
        <w:widowControl w:val="0"/>
        <w:numPr>
          <w:ilvl w:val="0"/>
          <w:numId w:val="0"/>
        </w:numPr>
        <w:ind w:firstLine="622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）对外担保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、拆借的由区国资局提出审核建议后，经区政府分管副区长审签，报区长审批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；</w:t>
      </w:r>
    </w:p>
    <w:p w14:paraId="77DB8949">
      <w:pPr>
        <w:widowControl w:val="0"/>
        <w:numPr>
          <w:ilvl w:val="0"/>
          <w:numId w:val="0"/>
        </w:numPr>
        <w:ind w:firstLine="622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）企业抵押、质押资产或质押经营权、收费权等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财产性权利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的，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由区国资局提出审核建议后，经区政府分管副区长审签，报区长审批</w:t>
      </w:r>
    </w:p>
    <w:p w14:paraId="27234242">
      <w:pPr>
        <w:widowControl w:val="0"/>
        <w:ind w:firstLine="621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改革改制事项</w:t>
      </w:r>
    </w:p>
    <w:p w14:paraId="2133337B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（一）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区国资局出资的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企业新设、合并、分立、破产、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改制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重组，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拟定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报区国资局提出审核建议，经区政府分管副区长审签，报区长审批后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组织实施；</w:t>
      </w:r>
    </w:p>
    <w:p w14:paraId="5F098FE4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企业出资的子公司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新设、合并、分立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企业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拟定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报区国资局提出审核建议，报区政府分管副区长审批；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破产、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改制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重组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报区长审批后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组织实施；</w:t>
      </w:r>
    </w:p>
    <w:p w14:paraId="2FE4508D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区国资局出资的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企业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由企业拟定公司章程，报区国资局审批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；</w:t>
      </w:r>
    </w:p>
    <w:p w14:paraId="1020DF3A">
      <w:pPr>
        <w:widowControl w:val="0"/>
        <w:ind w:firstLine="623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第十条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产权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交易事项</w:t>
      </w:r>
    </w:p>
    <w:p w14:paraId="58453C68">
      <w:pPr>
        <w:widowControl w:val="0"/>
        <w:numPr>
          <w:ilvl w:val="0"/>
          <w:numId w:val="0"/>
        </w:numPr>
        <w:ind w:firstLine="623" w:firstLineChars="0"/>
        <w:jc w:val="left"/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企业出资的子公司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增减资本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10000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万元以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下的、同一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国资监管机构的国有产权无偿划转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事项，由企业履行内部决策后，报区国资局审批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；</w:t>
      </w:r>
    </w:p>
    <w:p w14:paraId="348F3158">
      <w:pPr>
        <w:widowControl w:val="0"/>
        <w:numPr>
          <w:ilvl w:val="0"/>
          <w:numId w:val="0"/>
        </w:numPr>
        <w:ind w:firstLine="623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区国资局出资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企业增减资本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200万元以下的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由区国资局提出审核建议，报区政府分管副区长审批；</w:t>
      </w:r>
    </w:p>
    <w:p w14:paraId="49744092">
      <w:pPr>
        <w:widowControl w:val="0"/>
        <w:numPr>
          <w:ilvl w:val="0"/>
          <w:numId w:val="0"/>
        </w:numPr>
        <w:ind w:firstLine="623" w:firstLineChars="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）企业国有产权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交易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价值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万元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以下的、区国资局出资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企业增减资本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200万元（含）以上1000万元以下的、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跨区域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跨国资监管机构的国有产权无偿划转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事项，由区国资局提出审核建议，经区政府分管副区长审签，报区长审批；</w:t>
      </w:r>
    </w:p>
    <w:p w14:paraId="63B0E649">
      <w:pPr>
        <w:widowControl w:val="0"/>
        <w:numPr>
          <w:ilvl w:val="0"/>
          <w:numId w:val="0"/>
        </w:numPr>
        <w:ind w:firstLine="623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企业国有产权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交易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价值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500万元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（含）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以上的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或转让后导致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丧失控股地位的、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区国资局出资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企业增减资本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1000万元（含）以上的或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增减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资本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后改变国有控股性质的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提请区政府常务会议或专题会议讨论审批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；</w:t>
      </w:r>
    </w:p>
    <w:p w14:paraId="317CFBDC">
      <w:pPr>
        <w:widowControl w:val="0"/>
        <w:ind w:firstLine="621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资产转让事项</w:t>
      </w:r>
    </w:p>
    <w:p w14:paraId="2386B9DF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zh-CN" w:eastAsia="zh-CN" w:bidi="ar-SA"/>
        </w:rPr>
        <w:t>（一）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企业一定金额以上的生产设备、房产、在建工程以及土地使用权、债权、知识产权等资产转让价值低于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万元的，由企业按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程序处置后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报区国资局备案；</w:t>
      </w:r>
    </w:p>
    <w:p w14:paraId="45DD54BB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）转让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资产价值10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万元（含）以上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50万元以下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的、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同一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国资监管机构的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国有全资和控股企业之间协议转让资产价值100万元以下的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由企业履行内部决策后，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报区国资局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审批；</w:t>
      </w:r>
    </w:p>
    <w:p w14:paraId="446667B2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）转让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资产价值50万元（含）以上100万元以下的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同一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国资监管机构的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国有全资和控股企业之间协议转让资产价值100万元（含）以上500万元以下的、资产出租年限3年（含）以上的，由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区国资局提出审核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，报区政府分管副区长审批；</w:t>
      </w:r>
    </w:p>
    <w:p w14:paraId="5D802BE7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）转让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资产价值100万元（含）以上500万元以下的、同一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国资监管机构的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国有全资和控股企业之间协议转让资产价值500万元（含）以上的、跨区域国有全资和控股企业之间协议转让资产的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区国资局提出审核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建议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区政府分管副区长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审签，报区长审批；</w:t>
      </w:r>
    </w:p>
    <w:p w14:paraId="77F98D10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转让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资产价值500万元（含）以上的，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提请区政府常务会议或专题会议讨论审议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；</w:t>
      </w:r>
    </w:p>
    <w:p w14:paraId="046160DC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资产转让流拍后以阶梯降价的方式降价，新的转让底价低于评估结果的90％时且转让价值100万元以下的，转让底价及后续降价幅度（比例或金额）等报区国资局审批；</w:t>
      </w:r>
    </w:p>
    <w:p w14:paraId="08BAE257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七）资产转让流拍后以阶梯降价的方式降价，新的转让底价低于评估结果的90％时且转让价值100万元（含）以上的，转让底价及后续降价幅度（比例或金额）等由区国资局提出审核建议，报区政府分管副区长审批。</w:t>
      </w:r>
    </w:p>
    <w:p w14:paraId="4E7710D4">
      <w:pPr>
        <w:widowControl w:val="0"/>
        <w:numPr>
          <w:ilvl w:val="0"/>
          <w:numId w:val="0"/>
        </w:numPr>
        <w:ind w:firstLine="621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）对未经审批擅自处置、违规协议转让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等行为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，由区国资局牵头查处，形成问题清单并督促整改，情节严重的移送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纪委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监察机关追责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问责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。</w:t>
      </w:r>
    </w:p>
    <w:p w14:paraId="52E4E166">
      <w:pPr>
        <w:widowControl w:val="0"/>
        <w:ind w:firstLine="621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资产评估事项</w:t>
      </w:r>
    </w:p>
    <w:p w14:paraId="51F9BC0C">
      <w:pPr>
        <w:widowControl w:val="0"/>
        <w:numPr>
          <w:ilvl w:val="0"/>
          <w:numId w:val="0"/>
        </w:numPr>
        <w:ind w:firstLine="623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政府批准经济行为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的事项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涉及的资产评估项目，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评估价值1000万元以下的，由企业报区国资局核准；</w:t>
      </w:r>
    </w:p>
    <w:p w14:paraId="3A6217B9">
      <w:pPr>
        <w:widowControl w:val="0"/>
        <w:numPr>
          <w:ilvl w:val="0"/>
          <w:numId w:val="0"/>
        </w:numPr>
        <w:ind w:firstLine="623" w:firstLineChars="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政府批准经济行为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的事项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涉及的资产评估项目，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评估价值1000万元（含）以上的，由区国资局提出审核建议，经区政府分管副区长审签，报区长审定后，区国资局核准；</w:t>
      </w:r>
    </w:p>
    <w:p w14:paraId="4BB02913">
      <w:pPr>
        <w:widowControl w:val="0"/>
        <w:numPr>
          <w:ilvl w:val="0"/>
          <w:numId w:val="0"/>
        </w:numPr>
        <w:ind w:firstLine="623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批准经济行为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的事项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涉及的资产评估项目、经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区出资企业及其各级子企业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批准经济行为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的事项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涉及的资产评估项目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100万元（含）以上的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由企业报区国资局备案；</w:t>
      </w:r>
    </w:p>
    <w:p w14:paraId="7D264DA9">
      <w:pPr>
        <w:widowControl w:val="0"/>
        <w:numPr>
          <w:ilvl w:val="0"/>
          <w:numId w:val="0"/>
        </w:numPr>
        <w:ind w:firstLine="623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区出资企业及其各级子企业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批准经济行为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的事项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涉及的资产评估项目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100万元以下的，由区出资企业进行备案。</w:t>
      </w:r>
    </w:p>
    <w:p w14:paraId="7E7F06B1">
      <w:pPr>
        <w:widowControl w:val="0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第四章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监管责任</w:t>
      </w:r>
    </w:p>
    <w:p w14:paraId="21AB8129">
      <w:pPr>
        <w:widowControl w:val="0"/>
        <w:ind w:firstLine="621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有下列行为之一的，直接负责的主管人员和其他直接责任人员依纪依法承担责任。</w:t>
      </w:r>
    </w:p>
    <w:p w14:paraId="3B153423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）侵占、截留、挪用企业的资金或者应当上缴的国有资本收入的；</w:t>
      </w:r>
    </w:p>
    <w:p w14:paraId="0301156C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）违反法定的权限、程序，决定企业重大事项，造成国有资产损失的；</w:t>
      </w:r>
    </w:p>
    <w:p w14:paraId="338A7BC7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）有其他不依法履行出资人职责的行为，造成国有资产损失的。</w:t>
      </w:r>
    </w:p>
    <w:p w14:paraId="780A1C0D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的工作人员玩忽职守、滥用职权、徇私舞弊，尚不构成犯罪的，依纪依法给予处理。</w:t>
      </w:r>
    </w:p>
    <w:p w14:paraId="19906645">
      <w:pPr>
        <w:widowControl w:val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十五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区国资局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委派的股东代表未按照委派机构的指示履行职责，造成国有资产损失的，依法承担赔偿责任；属于国家工作人员的，并依纪依法给予处理。</w:t>
      </w:r>
    </w:p>
    <w:p w14:paraId="4CCEDB4F">
      <w:pPr>
        <w:widowControl w:val="0"/>
        <w:ind w:firstLine="621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十六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违反本细则规定，构成犯罪的，依法移交司法机关追究刑事责任。</w:t>
      </w:r>
    </w:p>
    <w:p w14:paraId="415BA16C">
      <w:pPr>
        <w:widowControl w:val="0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第五章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附则</w:t>
      </w:r>
    </w:p>
    <w:p w14:paraId="3F2DB16B">
      <w:pPr>
        <w:widowControl w:val="0"/>
        <w:ind w:firstLine="621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十七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本实施细则自发布之日起施行，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试行期一年，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并根据相关法律法规的修订进行动态调整。</w:t>
      </w:r>
    </w:p>
    <w:p w14:paraId="60C062C9">
      <w:pPr>
        <w:widowControl w:val="0"/>
        <w:ind w:firstLine="621"/>
        <w:jc w:val="left"/>
        <w:rPr>
          <w:rFonts w:hint="eastAsia" w:ascii="仿宋" w:hAnsi="仿宋" w:eastAsia="仿宋" w:cs="仿宋"/>
          <w:color w:val="000000"/>
          <w:sz w:val="32"/>
          <w:szCs w:val="32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第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十八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zh-CN"/>
        </w:rPr>
        <w:t>条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本实施细则施行期间，若其规定与《夷陵区国资局出资人监管权力和责任清单》的规定不一致的，以本实施细则的规定为准。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CN"/>
        </w:rPr>
        <w:t>　　　</w:t>
      </w:r>
    </w:p>
    <w:sectPr>
      <w:footerReference r:id="rId3" w:type="default"/>
      <w:pgSz w:w="11906" w:h="16838"/>
      <w:pgMar w:top="2041" w:right="1531" w:bottom="2041" w:left="1531" w:header="1536" w:footer="1134" w:gutter="0"/>
      <w:pgNumType w:fmt="numberInDash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0AA24E-8514-4806-9FFE-8B5FF320C6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59D9E5-FD78-4676-8E54-6086E35B985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0470D30-91A4-45AB-AFDE-E206EDD5A1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72106F4-B2D1-46A6-9FE6-1A287FABED6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6F48758-0B4E-4154-9F86-92BC596F20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B4E2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DC0D632">
                          <w:pPr>
                            <w:snapToGrid w:val="0"/>
                            <w:ind w:left="280" w:right="28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C0D632">
                    <w:pPr>
                      <w:snapToGrid w:val="0"/>
                      <w:ind w:left="280" w:right="28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62AEE"/>
    <w:rsid w:val="0079396D"/>
    <w:rsid w:val="00861DAB"/>
    <w:rsid w:val="008D2CBD"/>
    <w:rsid w:val="009118B1"/>
    <w:rsid w:val="011078C7"/>
    <w:rsid w:val="02527CFB"/>
    <w:rsid w:val="03CB520D"/>
    <w:rsid w:val="03DB7857"/>
    <w:rsid w:val="03F37758"/>
    <w:rsid w:val="04657F2A"/>
    <w:rsid w:val="047D5273"/>
    <w:rsid w:val="050B0AD1"/>
    <w:rsid w:val="05616943"/>
    <w:rsid w:val="05B2719F"/>
    <w:rsid w:val="06F15AA5"/>
    <w:rsid w:val="0721638A"/>
    <w:rsid w:val="080E1065"/>
    <w:rsid w:val="0895702F"/>
    <w:rsid w:val="09E57B43"/>
    <w:rsid w:val="0A195A3E"/>
    <w:rsid w:val="0A886720"/>
    <w:rsid w:val="0ADB0F46"/>
    <w:rsid w:val="0B071D3B"/>
    <w:rsid w:val="0BA05C4E"/>
    <w:rsid w:val="0BC23CA8"/>
    <w:rsid w:val="0C0454D3"/>
    <w:rsid w:val="0C4D19CF"/>
    <w:rsid w:val="0CDE4B67"/>
    <w:rsid w:val="0D8238FA"/>
    <w:rsid w:val="0E613F98"/>
    <w:rsid w:val="0E76345F"/>
    <w:rsid w:val="0E8063A5"/>
    <w:rsid w:val="0F492FEF"/>
    <w:rsid w:val="0F503CB0"/>
    <w:rsid w:val="0F910E6F"/>
    <w:rsid w:val="101271B8"/>
    <w:rsid w:val="109127D2"/>
    <w:rsid w:val="10AF4A06"/>
    <w:rsid w:val="12AF084D"/>
    <w:rsid w:val="12E34E3B"/>
    <w:rsid w:val="13491142"/>
    <w:rsid w:val="13AC347F"/>
    <w:rsid w:val="141062FD"/>
    <w:rsid w:val="142432AD"/>
    <w:rsid w:val="145F3FF6"/>
    <w:rsid w:val="14A21246"/>
    <w:rsid w:val="14B929E0"/>
    <w:rsid w:val="151E215B"/>
    <w:rsid w:val="152F6116"/>
    <w:rsid w:val="1534197E"/>
    <w:rsid w:val="1568787A"/>
    <w:rsid w:val="1594066F"/>
    <w:rsid w:val="163C6D3C"/>
    <w:rsid w:val="167209B0"/>
    <w:rsid w:val="16E11692"/>
    <w:rsid w:val="17AF1790"/>
    <w:rsid w:val="185F4F64"/>
    <w:rsid w:val="1A367F46"/>
    <w:rsid w:val="1ABD41C4"/>
    <w:rsid w:val="1BD9593B"/>
    <w:rsid w:val="1DBE3990"/>
    <w:rsid w:val="1EFB7B61"/>
    <w:rsid w:val="2023785B"/>
    <w:rsid w:val="20B61B89"/>
    <w:rsid w:val="20B71920"/>
    <w:rsid w:val="20DD111C"/>
    <w:rsid w:val="223C00C4"/>
    <w:rsid w:val="233A30D5"/>
    <w:rsid w:val="23FF7120"/>
    <w:rsid w:val="24262FA2"/>
    <w:rsid w:val="24EF7F00"/>
    <w:rsid w:val="255E1476"/>
    <w:rsid w:val="258E0C37"/>
    <w:rsid w:val="25951FC5"/>
    <w:rsid w:val="26544EAA"/>
    <w:rsid w:val="2714160F"/>
    <w:rsid w:val="278422F1"/>
    <w:rsid w:val="28B27874"/>
    <w:rsid w:val="28BE45FD"/>
    <w:rsid w:val="28E32DD2"/>
    <w:rsid w:val="29910EDF"/>
    <w:rsid w:val="29AF3343"/>
    <w:rsid w:val="2A245D72"/>
    <w:rsid w:val="2ABF1892"/>
    <w:rsid w:val="2B6A5CA2"/>
    <w:rsid w:val="2B966A97"/>
    <w:rsid w:val="2C574478"/>
    <w:rsid w:val="2C842D93"/>
    <w:rsid w:val="2DBA01FC"/>
    <w:rsid w:val="2DD36E57"/>
    <w:rsid w:val="2DFB0E33"/>
    <w:rsid w:val="2E2B7FE4"/>
    <w:rsid w:val="2E5217FB"/>
    <w:rsid w:val="2E67471B"/>
    <w:rsid w:val="300A3CA5"/>
    <w:rsid w:val="303078F5"/>
    <w:rsid w:val="303643A5"/>
    <w:rsid w:val="316C5C93"/>
    <w:rsid w:val="31903F88"/>
    <w:rsid w:val="31FF5DFB"/>
    <w:rsid w:val="32F522F5"/>
    <w:rsid w:val="330C5891"/>
    <w:rsid w:val="332348EF"/>
    <w:rsid w:val="33930A84"/>
    <w:rsid w:val="33C25251"/>
    <w:rsid w:val="33E76F60"/>
    <w:rsid w:val="347946DE"/>
    <w:rsid w:val="34E77536"/>
    <w:rsid w:val="35A65B28"/>
    <w:rsid w:val="363649F6"/>
    <w:rsid w:val="38084A9F"/>
    <w:rsid w:val="388A1666"/>
    <w:rsid w:val="3971469F"/>
    <w:rsid w:val="39AE0FAE"/>
    <w:rsid w:val="3A485400"/>
    <w:rsid w:val="3A766541"/>
    <w:rsid w:val="3B451940"/>
    <w:rsid w:val="3BAA5C47"/>
    <w:rsid w:val="3BBF1555"/>
    <w:rsid w:val="3C1A2810"/>
    <w:rsid w:val="3C8F5568"/>
    <w:rsid w:val="3D293827"/>
    <w:rsid w:val="3D715ED0"/>
    <w:rsid w:val="3D8C6EDD"/>
    <w:rsid w:val="3DC6532B"/>
    <w:rsid w:val="3E410AE4"/>
    <w:rsid w:val="3E411641"/>
    <w:rsid w:val="3FE86862"/>
    <w:rsid w:val="407C46A3"/>
    <w:rsid w:val="41411165"/>
    <w:rsid w:val="41D26E92"/>
    <w:rsid w:val="43707276"/>
    <w:rsid w:val="44402940"/>
    <w:rsid w:val="445D1345"/>
    <w:rsid w:val="44A43B7B"/>
    <w:rsid w:val="44C22253"/>
    <w:rsid w:val="45FF18E6"/>
    <w:rsid w:val="465A4AAA"/>
    <w:rsid w:val="47B34309"/>
    <w:rsid w:val="49363115"/>
    <w:rsid w:val="4A595408"/>
    <w:rsid w:val="4A5C2802"/>
    <w:rsid w:val="4A673681"/>
    <w:rsid w:val="4D5679DC"/>
    <w:rsid w:val="4D834C9D"/>
    <w:rsid w:val="51285669"/>
    <w:rsid w:val="525C7843"/>
    <w:rsid w:val="533F163E"/>
    <w:rsid w:val="537961D3"/>
    <w:rsid w:val="549C03CB"/>
    <w:rsid w:val="54B3436B"/>
    <w:rsid w:val="55AE267A"/>
    <w:rsid w:val="55C51BA3"/>
    <w:rsid w:val="57066CB8"/>
    <w:rsid w:val="57234DD3"/>
    <w:rsid w:val="57325016"/>
    <w:rsid w:val="577B69BD"/>
    <w:rsid w:val="579C0382"/>
    <w:rsid w:val="57BD4CBD"/>
    <w:rsid w:val="57E74053"/>
    <w:rsid w:val="58C57EFA"/>
    <w:rsid w:val="5A8236EA"/>
    <w:rsid w:val="5A9A53AC"/>
    <w:rsid w:val="5BAC5221"/>
    <w:rsid w:val="5BCB1DDE"/>
    <w:rsid w:val="5CA6628A"/>
    <w:rsid w:val="5CD904F7"/>
    <w:rsid w:val="5E512226"/>
    <w:rsid w:val="5E631F59"/>
    <w:rsid w:val="5FE038F6"/>
    <w:rsid w:val="600236FE"/>
    <w:rsid w:val="60B25BA5"/>
    <w:rsid w:val="61096DE8"/>
    <w:rsid w:val="611B6B1B"/>
    <w:rsid w:val="61723BF4"/>
    <w:rsid w:val="61DE5ABF"/>
    <w:rsid w:val="626369CC"/>
    <w:rsid w:val="62872CAF"/>
    <w:rsid w:val="629726E2"/>
    <w:rsid w:val="62D469CC"/>
    <w:rsid w:val="63410CB0"/>
    <w:rsid w:val="63873DA2"/>
    <w:rsid w:val="63952BB5"/>
    <w:rsid w:val="63C35974"/>
    <w:rsid w:val="63D336DD"/>
    <w:rsid w:val="6486074F"/>
    <w:rsid w:val="64EF2799"/>
    <w:rsid w:val="65A9282F"/>
    <w:rsid w:val="65C07C91"/>
    <w:rsid w:val="67D30150"/>
    <w:rsid w:val="67D35732"/>
    <w:rsid w:val="683A3D2B"/>
    <w:rsid w:val="697B02F3"/>
    <w:rsid w:val="69E71C90"/>
    <w:rsid w:val="6A2F73C6"/>
    <w:rsid w:val="6B4A24D7"/>
    <w:rsid w:val="6B5275DD"/>
    <w:rsid w:val="6BB838E4"/>
    <w:rsid w:val="6C4C1B5B"/>
    <w:rsid w:val="6C922387"/>
    <w:rsid w:val="6CBF0CA2"/>
    <w:rsid w:val="6E1D013B"/>
    <w:rsid w:val="6E492F1A"/>
    <w:rsid w:val="6E553898"/>
    <w:rsid w:val="6EC80A62"/>
    <w:rsid w:val="6F235519"/>
    <w:rsid w:val="6F9228DD"/>
    <w:rsid w:val="6FF15617"/>
    <w:rsid w:val="704C511B"/>
    <w:rsid w:val="710E3FA6"/>
    <w:rsid w:val="71B903B6"/>
    <w:rsid w:val="721B4BCD"/>
    <w:rsid w:val="72B666A4"/>
    <w:rsid w:val="72C963D7"/>
    <w:rsid w:val="733C7529"/>
    <w:rsid w:val="733E46AE"/>
    <w:rsid w:val="74082F2F"/>
    <w:rsid w:val="74F51228"/>
    <w:rsid w:val="753C7334"/>
    <w:rsid w:val="75BF1D13"/>
    <w:rsid w:val="770B7CF6"/>
    <w:rsid w:val="77536BB7"/>
    <w:rsid w:val="780848EE"/>
    <w:rsid w:val="782026F0"/>
    <w:rsid w:val="7A2B7977"/>
    <w:rsid w:val="7A454EDD"/>
    <w:rsid w:val="7A574C10"/>
    <w:rsid w:val="7AD61FD9"/>
    <w:rsid w:val="7B5A49B8"/>
    <w:rsid w:val="7B5B2812"/>
    <w:rsid w:val="7BED1094"/>
    <w:rsid w:val="7C407AE3"/>
    <w:rsid w:val="7CAA6AC9"/>
    <w:rsid w:val="7D23702C"/>
    <w:rsid w:val="7D5B0573"/>
    <w:rsid w:val="7E713A7C"/>
    <w:rsid w:val="7E834226"/>
    <w:rsid w:val="7EF0334D"/>
    <w:rsid w:val="7F233313"/>
    <w:rsid w:val="7F510038"/>
    <w:rsid w:val="7FC1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3327</Words>
  <Characters>3413</Characters>
  <Lines>54</Lines>
  <Paragraphs>15</Paragraphs>
  <TotalTime>24</TotalTime>
  <ScaleCrop>false</ScaleCrop>
  <LinksUpToDate>false</LinksUpToDate>
  <CharactersWithSpaces>3471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2016-12-21T01:02:00Z</dcterms:created>
  <dc:creator>Administrator</dc:creator>
  <cp:lastModifiedBy></cp:lastModifiedBy>
  <cp:lastPrinted>2025-09-25T09:28:00Z</cp:lastPrinted>
  <dcterms:modified xsi:type="dcterms:W3CDTF">2025-10-10T00:38:41Z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eyJoZGlkIjoiOTljYjI2NWE5YTk3YWE5YjJmMTkzNzAxOTEzZWU5MjQiLCJ1c2VySWQiOiI1NDAxOTk2OTMifQ==</vt:lpwstr>
  </property>
  <property fmtid="{D5CDD505-2E9C-101B-9397-08002B2CF9AE}" pid="4" name="ICV">
    <vt:lpwstr>E7E7133B91BE4AA5B55D9343F8C322AE_13</vt:lpwstr>
  </property>
</Properties>
</file>