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4517">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color w:val="auto"/>
          <w:w w:val="95"/>
          <w:sz w:val="44"/>
          <w:szCs w:val="44"/>
          <w:highlight w:val="none"/>
        </w:rPr>
      </w:pPr>
      <mc:AlternateContent>
        <mc:Choice Requires="wpsCustomData">
          <wpsCustomData:docfieldStart id="0" docfieldname="标题_1" hidden="0" print="1" readonly="0" index="1"/>
        </mc:Choice>
      </mc:AlternateContent>
      <w:r>
        <w:rPr>
          <w:rFonts w:hint="eastAsia" w:ascii="方正小标宋_GBK" w:hAnsi="方正小标宋_GBK" w:eastAsia="方正小标宋_GBK" w:cs="方正小标宋_GBK"/>
          <w:color w:val="auto"/>
          <w:w w:val="95"/>
          <w:sz w:val="44"/>
          <w:szCs w:val="44"/>
          <w:highlight w:val="none"/>
        </w:rPr>
        <w:t>夷陵区支持包装产业高质量发展的若干政策措施</w:t>
      </w:r>
    </w:p>
    <w:p w14:paraId="6B433A24">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w:t>
      </w:r>
      <w:r>
        <w:rPr>
          <w:rFonts w:hint="eastAsia" w:ascii="楷体_GB2312" w:hAnsi="楷体_GB2312" w:eastAsia="楷体_GB2312" w:cs="楷体_GB2312"/>
          <w:color w:val="auto"/>
          <w:sz w:val="36"/>
          <w:szCs w:val="36"/>
          <w:highlight w:val="none"/>
          <w:lang w:val="en-US" w:eastAsia="zh-CN"/>
        </w:rPr>
        <w:t>征求意见稿</w:t>
      </w:r>
      <w:r>
        <w:rPr>
          <w:rFonts w:hint="eastAsia" w:ascii="楷体_GB2312" w:hAnsi="楷体_GB2312" w:eastAsia="楷体_GB2312" w:cs="楷体_GB2312"/>
          <w:color w:val="auto"/>
          <w:sz w:val="36"/>
          <w:szCs w:val="36"/>
          <w:highlight w:val="none"/>
        </w:rPr>
        <w:t>）</w:t>
      </w:r>
      <mc:AlternateContent>
        <mc:Choice Requires="wpsCustomData">
          <wpsCustomData:docfieldEnd id="0"/>
        </mc:Choice>
      </mc:AlternateContent>
    </w:p>
    <w:p w14:paraId="0ABEF8DD">
      <w:pPr>
        <w:pStyle w:val="12"/>
        <w:keepNext w:val="0"/>
        <w:keepLines w:val="0"/>
        <w:pageBreakBefore w:val="0"/>
        <w:widowControl/>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cs="仿宋_GB2312"/>
          <w:color w:val="auto"/>
          <w:sz w:val="32"/>
          <w:szCs w:val="32"/>
          <w:highlight w:val="none"/>
          <w:lang w:val="en-US" w:eastAsia="zh-CN"/>
        </w:rPr>
      </w:pPr>
      <w:bookmarkStart w:id="0" w:name="heading_0"/>
    </w:p>
    <w:p w14:paraId="174973B8">
      <w:pPr>
        <w:pStyle w:val="12"/>
        <w:keepNext w:val="0"/>
        <w:keepLines w:val="0"/>
        <w:pageBreakBefore w:val="0"/>
        <w:widowControl/>
        <w:numPr>
          <w:ilvl w:val="0"/>
          <w:numId w:val="0"/>
        </w:numPr>
        <w:kinsoku/>
        <w:wordWrap/>
        <w:overflowPunct/>
        <w:topLinePunct w:val="0"/>
        <w:autoSpaceDE/>
        <w:autoSpaceDN/>
        <w:bidi w:val="0"/>
        <w:adjustRightInd/>
        <w:snapToGrid/>
        <w:ind w:left="0" w:leftChars="0" w:firstLine="61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为</w:t>
      </w:r>
      <w:r>
        <w:rPr>
          <w:rFonts w:hint="eastAsia" w:ascii="仿宋_GB2312" w:hAnsi="仿宋_GB2312"/>
          <w:color w:val="auto"/>
          <w:highlight w:val="none"/>
          <w:lang w:val="en-US" w:eastAsia="zh-CN"/>
        </w:rPr>
        <w:t>深入贯彻落实党中央、国务院关于推动绿色低碳循环发展的决策部署，根据</w:t>
      </w:r>
      <w:r>
        <w:rPr>
          <w:rFonts w:hint="eastAsia" w:ascii="仿宋_GB2312" w:hAnsi="仿宋_GB2312" w:eastAsia="仿宋_GB2312" w:cs="仿宋_GB2312"/>
          <w:i w:val="0"/>
          <w:iCs w:val="0"/>
          <w:caps w:val="0"/>
          <w:color w:val="auto"/>
          <w:spacing w:val="-6"/>
          <w:sz w:val="32"/>
          <w:szCs w:val="32"/>
          <w:highlight w:val="none"/>
          <w:shd w:val="clear" w:fill="auto"/>
          <w:lang w:val="en-US" w:eastAsia="zh-CN"/>
        </w:rPr>
        <w:t>《再生材料应用推广行动方案》</w:t>
      </w:r>
      <w:r>
        <w:rPr>
          <w:rFonts w:hint="eastAsia" w:ascii="仿宋_GB2312" w:hAnsi="仿宋_GB2312" w:cs="仿宋_GB2312"/>
          <w:i w:val="0"/>
          <w:iCs w:val="0"/>
          <w:caps w:val="0"/>
          <w:color w:val="auto"/>
          <w:spacing w:val="-6"/>
          <w:sz w:val="32"/>
          <w:szCs w:val="32"/>
          <w:highlight w:val="none"/>
          <w:shd w:val="clear" w:fill="auto"/>
          <w:lang w:val="en-US" w:eastAsia="zh-CN"/>
        </w:rPr>
        <w:t>（发改环资〔2025〕1681号）</w:t>
      </w:r>
      <w:r>
        <w:rPr>
          <w:rFonts w:hint="eastAsia" w:ascii="仿宋_GB2312" w:hAnsi="仿宋_GB2312" w:eastAsia="仿宋_GB2312" w:cs="仿宋_GB2312"/>
          <w:i w:val="0"/>
          <w:iCs w:val="0"/>
          <w:caps w:val="0"/>
          <w:color w:val="auto"/>
          <w:spacing w:val="-6"/>
          <w:sz w:val="32"/>
          <w:szCs w:val="32"/>
          <w:highlight w:val="none"/>
          <w:shd w:val="clear" w:fill="auto"/>
          <w:lang w:val="en-US" w:eastAsia="zh-CN"/>
        </w:rPr>
        <w:t>、市场监管总局《绿色产品认证与标识管理办法》</w:t>
      </w:r>
      <w:r>
        <w:rPr>
          <w:rFonts w:hint="eastAsia" w:ascii="仿宋_GB2312" w:hAnsi="仿宋_GB2312" w:cs="仿宋_GB2312"/>
          <w:i w:val="0"/>
          <w:iCs w:val="0"/>
          <w:caps w:val="0"/>
          <w:color w:val="auto"/>
          <w:spacing w:val="-6"/>
          <w:sz w:val="32"/>
          <w:szCs w:val="32"/>
          <w:highlight w:val="none"/>
          <w:shd w:val="clear" w:fill="auto"/>
          <w:lang w:val="en-US" w:eastAsia="zh-CN"/>
        </w:rPr>
        <w:t>（国市监认证规〔2025〕5号）</w:t>
      </w:r>
      <w:r>
        <w:rPr>
          <w:rFonts w:hint="eastAsia" w:ascii="仿宋_GB2312" w:hAnsi="仿宋_GB2312" w:eastAsia="仿宋_GB2312" w:cs="仿宋_GB2312"/>
          <w:i w:val="0"/>
          <w:iCs w:val="0"/>
          <w:caps w:val="0"/>
          <w:color w:val="auto"/>
          <w:spacing w:val="-6"/>
          <w:sz w:val="32"/>
          <w:szCs w:val="32"/>
          <w:highlight w:val="none"/>
          <w:shd w:val="clear" w:fill="auto"/>
          <w:lang w:val="en-US" w:eastAsia="zh-CN"/>
        </w:rPr>
        <w:t>等文件精神，按照湖北省关于推进包装印刷产业链质量提升</w:t>
      </w:r>
      <w:bookmarkStart w:id="2" w:name="_GoBack"/>
      <w:bookmarkEnd w:id="2"/>
      <w:r>
        <w:rPr>
          <w:rFonts w:hint="eastAsia" w:ascii="仿宋_GB2312" w:hAnsi="仿宋_GB2312" w:eastAsia="仿宋_GB2312" w:cs="仿宋_GB2312"/>
          <w:i w:val="0"/>
          <w:iCs w:val="0"/>
          <w:caps w:val="0"/>
          <w:color w:val="auto"/>
          <w:spacing w:val="-6"/>
          <w:sz w:val="32"/>
          <w:szCs w:val="32"/>
          <w:highlight w:val="none"/>
          <w:shd w:val="clear" w:fill="auto"/>
          <w:lang w:val="en-US" w:eastAsia="zh-CN"/>
        </w:rPr>
        <w:t>和标准稳链项目建设的工作要求，</w:t>
      </w:r>
      <w:r>
        <w:rPr>
          <w:rFonts w:hint="eastAsia" w:ascii="仿宋_GB2312" w:hAnsi="仿宋_GB2312" w:cs="仿宋_GB2312"/>
          <w:i w:val="0"/>
          <w:iCs w:val="0"/>
          <w:caps w:val="0"/>
          <w:color w:val="auto"/>
          <w:spacing w:val="-6"/>
          <w:sz w:val="32"/>
          <w:szCs w:val="32"/>
          <w:highlight w:val="none"/>
          <w:shd w:val="clear"/>
          <w:lang w:val="en-US" w:eastAsia="zh-CN"/>
        </w:rPr>
        <w:t>推动我区包装产业绿色化、循环化、智能化发展，</w:t>
      </w:r>
      <w:r>
        <w:rPr>
          <w:rFonts w:hint="eastAsia" w:ascii="仿宋_GB2312" w:hAnsi="仿宋_GB2312" w:eastAsia="仿宋_GB2312" w:cs="仿宋_GB2312"/>
          <w:i w:val="0"/>
          <w:iCs w:val="0"/>
          <w:caps w:val="0"/>
          <w:color w:val="auto"/>
          <w:spacing w:val="-6"/>
          <w:sz w:val="32"/>
          <w:szCs w:val="32"/>
          <w:highlight w:val="none"/>
          <w:shd w:val="clear" w:fill="auto"/>
          <w:lang w:val="en-US" w:eastAsia="zh-CN"/>
        </w:rPr>
        <w:t>结合我区</w:t>
      </w:r>
      <w:r>
        <w:rPr>
          <w:rFonts w:hint="eastAsia" w:ascii="仿宋_GB2312" w:hAnsi="仿宋_GB2312" w:cs="仿宋_GB2312"/>
          <w:i w:val="0"/>
          <w:iCs w:val="0"/>
          <w:caps w:val="0"/>
          <w:color w:val="auto"/>
          <w:spacing w:val="-6"/>
          <w:sz w:val="32"/>
          <w:szCs w:val="32"/>
          <w:highlight w:val="none"/>
          <w:shd w:val="clear"/>
          <w:lang w:val="en-US" w:eastAsia="zh-CN"/>
        </w:rPr>
        <w:t>发展</w:t>
      </w:r>
      <w:r>
        <w:rPr>
          <w:rFonts w:hint="eastAsia" w:ascii="仿宋_GB2312" w:hAnsi="仿宋_GB2312" w:eastAsia="仿宋_GB2312" w:cs="仿宋_GB2312"/>
          <w:i w:val="0"/>
          <w:iCs w:val="0"/>
          <w:caps w:val="0"/>
          <w:color w:val="auto"/>
          <w:spacing w:val="-6"/>
          <w:sz w:val="32"/>
          <w:szCs w:val="32"/>
          <w:highlight w:val="none"/>
          <w:shd w:val="clear" w:fill="auto"/>
          <w:lang w:val="en-US" w:eastAsia="zh-CN"/>
        </w:rPr>
        <w:t>实际</w:t>
      </w:r>
      <w:r>
        <w:rPr>
          <w:rFonts w:hint="eastAsia" w:ascii="仿宋_GB2312" w:hAnsi="仿宋_GB2312" w:cs="仿宋_GB2312"/>
          <w:i w:val="0"/>
          <w:iCs w:val="0"/>
          <w:caps w:val="0"/>
          <w:color w:val="auto"/>
          <w:spacing w:val="-6"/>
          <w:sz w:val="32"/>
          <w:szCs w:val="32"/>
          <w:highlight w:val="none"/>
          <w:shd w:val="clear"/>
          <w:lang w:val="en-US" w:eastAsia="zh-CN"/>
        </w:rPr>
        <w:t>，制定如下政策措施。</w:t>
      </w:r>
    </w:p>
    <w:bookmarkEnd w:id="0"/>
    <w:p w14:paraId="449493D8">
      <w:pPr>
        <w:pStyle w:val="12"/>
        <w:pageBreakBefore w:val="0"/>
        <w:numPr>
          <w:ilvl w:val="0"/>
          <w:numId w:val="0"/>
        </w:numPr>
        <w:kinsoku/>
        <w:wordWrap/>
        <w:overflowPunct/>
        <w:topLinePunct w:val="0"/>
        <w:autoSpaceDE/>
        <w:autoSpaceDN/>
        <w:bidi w:val="0"/>
        <w:adjustRightInd/>
        <w:snapToGrid/>
        <w:ind w:left="0" w:leftChars="0" w:firstLine="640"/>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一、政策措施</w:t>
      </w:r>
    </w:p>
    <w:p w14:paraId="38C5BBE7">
      <w:pPr>
        <w:pStyle w:val="12"/>
        <w:pageBreakBefore w:val="0"/>
        <w:numPr>
          <w:ilvl w:val="0"/>
          <w:numId w:val="0"/>
        </w:numPr>
        <w:kinsoku/>
        <w:wordWrap/>
        <w:overflowPunct/>
        <w:topLinePunct w:val="0"/>
        <w:autoSpaceDE/>
        <w:autoSpaceDN/>
        <w:bidi w:val="0"/>
        <w:adjustRightInd/>
        <w:snapToGrid/>
        <w:ind w:left="0" w:leftChars="0" w:firstLine="640"/>
        <w:textAlignment w:val="auto"/>
        <w:rPr>
          <w:rFonts w:hint="eastAsia" w:ascii="仿宋_GB2312" w:hAnsi="仿宋_GB2312" w:eastAsia="仿宋_GB2312" w:cs="仿宋_GB2312"/>
          <w:color w:val="auto"/>
          <w:spacing wpsCustomData:val="0" w:val="10"/>
          <w:sz w:val="32"/>
          <w:szCs w:val="32"/>
          <w:highlight w:val="none"/>
          <w:lang w:val="en-US" w:eastAsia="zh-CN"/>
        </w:rPr>
      </w:pPr>
      <w:r>
        <w:rPr>
          <w:rFonts w:hint="eastAsia" w:ascii="楷体_GB2312" w:hAnsi="楷体_GB2312" w:eastAsia="楷体_GB2312" w:cs="楷体_GB2312"/>
          <w:color w:val="auto"/>
          <w:spacing w:val="0"/>
          <w:kern w:val="2"/>
          <w:sz w:val="32"/>
          <w:szCs w:val="32"/>
          <w:highlight w:val="none"/>
          <w:lang w:val="en-US" w:eastAsia="zh-CN" w:bidi="ar-SA"/>
        </w:rPr>
        <w:t>（一）鼓励企业晋级提能：</w:t>
      </w:r>
      <w:r>
        <w:rPr>
          <w:rFonts w:hint="eastAsia" w:ascii="仿宋_GB2312" w:hAnsi="仿宋_GB2312" w:eastAsia="仿宋_GB2312" w:cs="仿宋_GB2312"/>
          <w:color w:val="auto"/>
          <w:sz w:val="32"/>
          <w:szCs w:val="32"/>
          <w:highlight w:val="none"/>
          <w:lang w:val="en-US" w:eastAsia="zh-CN"/>
        </w:rPr>
        <w:t>对年</w:t>
      </w:r>
      <w:r>
        <w:rPr>
          <w:rFonts w:hint="eastAsia" w:ascii="仿宋_GB2312" w:hAnsi="仿宋_GB2312" w:cs="仿宋_GB2312"/>
          <w:color w:val="auto"/>
          <w:sz w:val="32"/>
          <w:szCs w:val="32"/>
          <w:highlight w:val="none"/>
          <w:lang w:val="en-US" w:eastAsia="zh-CN"/>
        </w:rPr>
        <w:t>产值</w:t>
      </w:r>
      <w:r>
        <w:rPr>
          <w:rFonts w:hint="eastAsia" w:ascii="仿宋_GB2312" w:hAnsi="仿宋_GB2312" w:eastAsia="仿宋_GB2312" w:cs="仿宋_GB2312"/>
          <w:color w:val="auto"/>
          <w:sz w:val="32"/>
          <w:szCs w:val="32"/>
          <w:highlight w:val="none"/>
          <w:lang w:val="en-US" w:eastAsia="zh-CN"/>
        </w:rPr>
        <w:t>首次突破1亿元、</w:t>
      </w:r>
      <w:r>
        <w:rPr>
          <w:rFonts w:hint="eastAsia" w:ascii="仿宋_GB2312" w:hAnsi="仿宋_GB2312" w:cs="仿宋_GB2312"/>
          <w:color w:val="auto"/>
          <w:sz w:val="32"/>
          <w:szCs w:val="32"/>
          <w:highlight w:val="none"/>
          <w:lang w:val="en-US" w:eastAsia="zh-CN"/>
        </w:rPr>
        <w:t>3亿元、</w:t>
      </w:r>
      <w:r>
        <w:rPr>
          <w:rFonts w:hint="eastAsia" w:ascii="仿宋_GB2312" w:hAnsi="仿宋_GB2312" w:eastAsia="仿宋_GB2312" w:cs="仿宋_GB2312"/>
          <w:color w:val="auto"/>
          <w:sz w:val="32"/>
          <w:szCs w:val="32"/>
          <w:highlight w:val="none"/>
          <w:lang w:val="en-US" w:eastAsia="zh-CN"/>
        </w:rPr>
        <w:t>5亿元、10亿元的包装</w:t>
      </w:r>
      <w:r>
        <w:rPr>
          <w:rFonts w:hint="eastAsia" w:ascii="仿宋_GB2312" w:hAnsi="仿宋_GB2312" w:cs="仿宋_GB2312"/>
          <w:color w:val="auto"/>
          <w:sz w:val="32"/>
          <w:szCs w:val="32"/>
          <w:highlight w:val="none"/>
          <w:lang w:val="en-US" w:eastAsia="zh-CN"/>
        </w:rPr>
        <w:t>制造</w:t>
      </w:r>
      <w:r>
        <w:rPr>
          <w:rFonts w:hint="eastAsia" w:ascii="仿宋_GB2312" w:hAnsi="仿宋_GB2312" w:eastAsia="仿宋_GB2312" w:cs="仿宋_GB2312"/>
          <w:color w:val="auto"/>
          <w:sz w:val="32"/>
          <w:szCs w:val="32"/>
          <w:highlight w:val="none"/>
          <w:lang w:val="en-US" w:eastAsia="zh-CN"/>
        </w:rPr>
        <w:t>企业，分别</w:t>
      </w:r>
      <w:r>
        <w:rPr>
          <w:rFonts w:hint="eastAsia" w:ascii="仿宋_GB2312" w:hAnsi="仿宋_GB2312" w:cs="仿宋_GB2312"/>
          <w:color w:val="auto"/>
          <w:sz w:val="32"/>
          <w:szCs w:val="32"/>
          <w:highlight w:val="none"/>
          <w:lang w:val="en-US" w:eastAsia="zh-CN"/>
        </w:rPr>
        <w:t>对应</w:t>
      </w:r>
      <w:r>
        <w:rPr>
          <w:rFonts w:hint="eastAsia" w:ascii="仿宋_GB2312" w:hAnsi="仿宋_GB2312" w:eastAsia="仿宋_GB2312" w:cs="仿宋_GB2312"/>
          <w:color w:val="auto"/>
          <w:sz w:val="32"/>
          <w:szCs w:val="32"/>
          <w:highlight w:val="none"/>
          <w:lang w:val="en-US" w:eastAsia="zh-CN"/>
        </w:rPr>
        <w:t>给予</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15万元、50</w:t>
      </w:r>
      <w:r>
        <w:rPr>
          <w:rFonts w:hint="eastAsia" w:ascii="仿宋_GB2312" w:hAnsi="仿宋_GB2312" w:eastAsia="仿宋_GB2312" w:cs="仿宋_GB2312"/>
          <w:color w:val="auto"/>
          <w:sz w:val="32"/>
          <w:szCs w:val="32"/>
          <w:highlight w:val="none"/>
          <w:lang w:val="en-US" w:eastAsia="zh-CN"/>
        </w:rPr>
        <w:t>万元的</w:t>
      </w:r>
      <w:r>
        <w:rPr>
          <w:rFonts w:hint="eastAsia" w:ascii="仿宋_GB2312" w:hAnsi="仿宋_GB2312" w:eastAsia="仿宋_GB2312" w:cs="仿宋_GB2312"/>
          <w:color w:val="auto"/>
          <w:spacing wpsCustomData:val="0" w:val="10"/>
          <w:sz w:val="32"/>
          <w:szCs w:val="32"/>
          <w:highlight w:val="none"/>
          <w:lang w:val="en-US" w:eastAsia="zh-CN"/>
        </w:rPr>
        <w:t>一次性奖</w:t>
      </w:r>
      <w:r>
        <w:rPr>
          <w:rFonts w:hint="eastAsia" w:ascii="仿宋_GB2312" w:hAnsi="仿宋_GB2312" w:eastAsia="仿宋_GB2312" w:cs="仿宋_GB2312"/>
          <w:color w:val="auto"/>
          <w:spacing wpsCustomData:val="1" w:val="11"/>
          <w:sz w:val="32"/>
          <w:szCs w:val="32"/>
          <w:highlight w:val="none"/>
          <w:lang w:val="en-US" w:eastAsia="zh-CN"/>
        </w:rPr>
        <w:t>励</w:t>
      </w:r>
      <w:r>
        <w:rPr>
          <w:rFonts w:hint="eastAsia" w:ascii="仿宋_GB2312" w:hAnsi="仿宋_GB2312" w:eastAsia="仿宋_GB2312" w:cs="仿宋_GB2312"/>
          <w:color w:val="auto"/>
          <w:spacing wpsCustomData:val="0" w:val="10"/>
          <w:sz w:val="32"/>
          <w:szCs w:val="32"/>
          <w:highlight w:val="none"/>
          <w:lang w:val="en-US" w:eastAsia="zh-CN"/>
        </w:rPr>
        <w:t>。</w:t>
      </w:r>
      <w:r>
        <w:rPr>
          <w:rFonts w:hint="eastAsia" w:ascii="仿宋_GB2312" w:hAnsi="仿宋_GB2312" w:cs="仿宋_GB2312"/>
          <w:color w:val="auto"/>
          <w:spacing wpsCustomData:val="0" w:val="10"/>
          <w:sz w:val="32"/>
          <w:szCs w:val="32"/>
          <w:highlight w:val="none"/>
          <w:lang w:val="en-US" w:eastAsia="zh-CN"/>
        </w:rPr>
        <w:t>（</w:t>
      </w:r>
      <w:r>
        <w:rPr>
          <w:rFonts w:hint="eastAsia" w:ascii="仿宋_GB2312" w:hAnsi="仿宋_GB2312"/>
          <w:color w:val="auto"/>
          <w:spacing w:val="10"/>
          <w:highlight w:val="none"/>
          <w:lang w:val="en-US" w:eastAsia="zh-CN"/>
        </w:rPr>
        <w:t>责任单位：区经信商务局</w:t>
      </w:r>
      <w:r>
        <w:rPr>
          <w:rFonts w:hint="eastAsia" w:ascii="仿宋_GB2312" w:hAnsi="仿宋_GB2312" w:cs="仿宋_GB2312"/>
          <w:color w:val="auto"/>
          <w:spacing wpsCustomData:val="0" w:val="10"/>
          <w:sz w:val="32"/>
          <w:szCs w:val="32"/>
          <w:highlight w:val="none"/>
          <w:lang w:val="en-US" w:eastAsia="zh-CN"/>
        </w:rPr>
        <w:t>）</w:t>
      </w:r>
    </w:p>
    <w:p w14:paraId="03047F42">
      <w:pPr>
        <w:pStyle w:val="12"/>
        <w:pageBreakBefore w:val="0"/>
        <w:numPr>
          <w:ilvl w:val="0"/>
          <w:numId w:val="0"/>
        </w:numPr>
        <w:kinsoku/>
        <w:wordWrap/>
        <w:overflowPunct/>
        <w:topLinePunct w:val="0"/>
        <w:autoSpaceDE/>
        <w:autoSpaceDN/>
        <w:bidi w:val="0"/>
        <w:adjustRightInd/>
        <w:snapToGrid/>
        <w:ind w:left="0" w:leftChars="0" w:firstLine="640"/>
        <w:textAlignment w:val="auto"/>
        <w:rPr>
          <w:rFonts w:hint="eastAsia" w:ascii="仿宋_GB2312" w:hAnsi="仿宋_GB2312" w:cs="仿宋_GB2312"/>
          <w:color w:val="auto"/>
          <w:spacing wpsCustomData:val="0" w:val="-6"/>
          <w:sz w:val="32"/>
          <w:szCs w:val="32"/>
          <w:highlight w:val="none"/>
          <w:lang w:val="en-US" w:eastAsia="zh-CN"/>
        </w:rPr>
      </w:pPr>
      <w:r>
        <w:rPr>
          <w:rFonts w:hint="eastAsia" w:ascii="楷体_GB2312" w:hAnsi="楷体_GB2312" w:eastAsia="楷体_GB2312" w:cs="楷体_GB2312"/>
          <w:color w:val="auto"/>
          <w:spacing w:val="0"/>
          <w:kern w:val="2"/>
          <w:sz w:val="32"/>
          <w:szCs w:val="32"/>
          <w:highlight w:val="none"/>
          <w:lang w:val="en-US" w:eastAsia="zh-CN" w:bidi="ar-SA"/>
        </w:rPr>
        <w:t>（二）鼓励企业扩大投资：</w:t>
      </w:r>
      <w:r>
        <w:rPr>
          <w:rFonts w:hint="eastAsia" w:ascii="仿宋_GB2312" w:hAnsi="仿宋_GB2312" w:cs="仿宋_GB2312"/>
          <w:color w:val="auto"/>
          <w:sz w:val="32"/>
          <w:szCs w:val="32"/>
          <w:highlight w:val="none"/>
          <w:lang w:val="en-US" w:eastAsia="zh-CN"/>
        </w:rPr>
        <w:t>对包装企业完成的固定资产总投资1000万元及以上、设备投资占比50%及以上的工业项目，在项目竣工验收后，按实际生产性设备购置额的8%予以补贴，项目建设周期不超过3个年度，单个项目补贴金额不超过200万元，同一企业同一年度原则上确定一个工业项目进行申报(申报的项目和设备投资内容已享受中央、省、市、本级专项资金补贴的，本专项不再重复支持)</w:t>
      </w:r>
      <w:r>
        <w:rPr>
          <w:rFonts w:hint="eastAsia" w:ascii="仿宋_GB2312" w:hAnsi="仿宋_GB2312" w:cs="仿宋_GB2312"/>
          <w:color w:val="auto"/>
          <w:spacing wpsCustomData:val="0" w:val="-6"/>
          <w:sz w:val="32"/>
          <w:szCs w:val="32"/>
          <w:highlight w:val="none"/>
          <w:lang w:val="en-US" w:eastAsia="zh-CN"/>
        </w:rPr>
        <w:t>。（</w:t>
      </w:r>
      <w:r>
        <w:rPr>
          <w:rFonts w:hint="eastAsia" w:ascii="仿宋_GB2312" w:hAnsi="仿宋_GB2312"/>
          <w:color w:val="auto"/>
          <w:highlight w:val="none"/>
          <w:lang w:val="en-US" w:eastAsia="zh-CN"/>
        </w:rPr>
        <w:t>责任单位：区经信商务局</w:t>
      </w:r>
      <w:r>
        <w:rPr>
          <w:rFonts w:hint="eastAsia" w:ascii="仿宋_GB2312" w:hAnsi="仿宋_GB2312" w:cs="仿宋_GB2312"/>
          <w:color w:val="auto"/>
          <w:spacing wpsCustomData:val="0" w:val="-6"/>
          <w:sz w:val="32"/>
          <w:szCs w:val="32"/>
          <w:highlight w:val="none"/>
          <w:lang w:val="en-US" w:eastAsia="zh-CN"/>
        </w:rPr>
        <w:t>）</w:t>
      </w:r>
    </w:p>
    <w:p w14:paraId="7C40D2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楷体_GB2312" w:hAnsi="楷体_GB2312" w:eastAsia="楷体_GB2312" w:cs="楷体_GB2312"/>
          <w:color w:val="auto"/>
          <w:spacing w:val="0"/>
          <w:kern w:val="2"/>
          <w:sz w:val="32"/>
          <w:szCs w:val="32"/>
          <w:highlight w:val="none"/>
          <w:lang w:val="en-US" w:eastAsia="zh-CN" w:bidi="ar-SA"/>
        </w:rPr>
        <w:t>（三）鼓励企业研发创新：</w:t>
      </w:r>
      <w:r>
        <w:rPr>
          <w:rFonts w:hint="eastAsia" w:ascii="仿宋_GB2312" w:hAnsi="仿宋_GB2312" w:eastAsia="仿宋_GB2312" w:cs="仿宋_GB2312"/>
          <w:color w:val="auto"/>
          <w:spacing w:val="-6"/>
          <w:kern w:val="0"/>
          <w:sz w:val="32"/>
          <w:szCs w:val="32"/>
          <w:highlight w:val="none"/>
          <w:lang w:val="en-US" w:eastAsia="zh-CN" w:bidi="ar-SA"/>
        </w:rPr>
        <w:t>（1）</w:t>
      </w:r>
      <w:r>
        <w:rPr>
          <w:rFonts w:hint="eastAsia" w:ascii="仿宋_GB2312" w:hAnsi="仿宋_GB2312" w:eastAsia="仿宋_GB2312" w:cs="仿宋_GB2312"/>
          <w:color w:val="auto"/>
          <w:spacing w:val="-6"/>
          <w:sz w:val="32"/>
          <w:szCs w:val="32"/>
          <w:highlight w:val="none"/>
          <w:lang w:val="en-US" w:eastAsia="zh-CN"/>
        </w:rPr>
        <w:t>对包装制造企业获评中国专利金奖、银奖、优秀奖的分别给予30万元、20万元、10万元一次性奖励。对包装制造企业获评湖北省专利金奖、银奖的分别给予10万元、5万元一次性奖励；对主导制（修）订国际标准、国家标准、行业标准、省级地方标准、团体标准的包装制造企业，分别奖励30万元、20万元、15万元、10万元、5万元；参与制（修）订上述标准的，按照主导制（修）订标准奖励金额的50%予以奖励。（2）对获评国家知识产权示范企业的包装制造企业，一次性奖励20万元；获评国家知识产权优势企业的包装制造企业，一次性奖励10万元。推动优势企业贯彻《企业知识产权管理规范》（GB/T29490-2013）国家标准，对完成贯标并通过验收的包装制造企业一次性给予5万元补贴。对具有良好市场前景、较高科技含量并积极实施的专利项目，获上级部门给予专利产业化资金支持的，区级给予单个项目最高不超过30万元的资金支持。（责任单位：区市场监管局）</w:t>
      </w:r>
    </w:p>
    <w:p w14:paraId="52921BF9">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（四）支持企业智改数转：</w:t>
      </w:r>
      <w:r>
        <w:rPr>
          <w:rFonts w:hint="eastAsia" w:ascii="仿宋_GB2312" w:hAnsi="仿宋_GB2312" w:eastAsia="仿宋_GB2312" w:cs="仿宋_GB2312"/>
          <w:color w:val="auto"/>
          <w:spacing w:val="-6"/>
          <w:kern w:val="0"/>
          <w:sz w:val="32"/>
          <w:szCs w:val="32"/>
          <w:highlight w:val="none"/>
          <w:lang w:val="en-US" w:eastAsia="zh-CN" w:bidi="ar-SA"/>
        </w:rPr>
        <w:t>对2026年度内完成数字化改造且数字化水平评测达到二级及以上（按照工信部最新的《中小企业数字化水平评测指标》认定）的包装制造企业，验收通过后，按照企业数字化改造投入资金的30%，给予最高25万元补贴</w:t>
      </w:r>
      <w:r>
        <w:rPr>
          <w:rFonts w:hint="eastAsia" w:ascii="仿宋_GB2312" w:hAnsi="仿宋_GB2312" w:eastAsia="仿宋_GB2312" w:cs="仿宋_GB2312"/>
          <w:color w:val="auto"/>
          <w:spacing w:val="-6"/>
          <w:sz w:val="32"/>
          <w:szCs w:val="32"/>
          <w:highlight w:val="none"/>
          <w:lang w:val="en-US" w:eastAsia="zh-CN" w:bidi="ar-SA"/>
        </w:rPr>
        <w:t>。</w:t>
      </w:r>
      <w:r>
        <w:rPr>
          <w:rFonts w:hint="eastAsia" w:ascii="仿宋_GB2312" w:hAnsi="仿宋_GB2312" w:eastAsia="仿宋_GB2312" w:cs="仿宋_GB2312"/>
          <w:color w:val="auto"/>
          <w:spacing w:val="-6"/>
          <w:kern w:val="0"/>
          <w:sz w:val="32"/>
          <w:szCs w:val="32"/>
          <w:highlight w:val="none"/>
          <w:lang w:val="en-US" w:eastAsia="zh-CN" w:bidi="ar-SA"/>
        </w:rPr>
        <w:t>（</w:t>
      </w:r>
      <w:r>
        <w:rPr>
          <w:rFonts w:hint="eastAsia" w:ascii="仿宋_GB2312" w:hAnsi="仿宋_GB2312" w:eastAsia="仿宋_GB2312" w:cs="仿宋_GB2312"/>
          <w:color w:val="auto"/>
          <w:spacing w:val="-6"/>
          <w:sz w:val="32"/>
          <w:szCs w:val="32"/>
          <w:highlight w:val="none"/>
          <w:lang w:val="en-US" w:eastAsia="zh-CN" w:bidi="ar-SA"/>
        </w:rPr>
        <w:t>责任单位：区经信商务局</w:t>
      </w:r>
      <w:r>
        <w:rPr>
          <w:rFonts w:hint="eastAsia" w:ascii="仿宋_GB2312" w:hAnsi="仿宋_GB2312" w:eastAsia="仿宋_GB2312" w:cs="仿宋_GB2312"/>
          <w:color w:val="auto"/>
          <w:spacing w:val="-6"/>
          <w:kern w:val="0"/>
          <w:sz w:val="32"/>
          <w:szCs w:val="32"/>
          <w:highlight w:val="none"/>
          <w:lang w:val="en-US" w:eastAsia="zh-CN" w:bidi="ar-SA"/>
        </w:rPr>
        <w:t>）</w:t>
      </w:r>
    </w:p>
    <w:p w14:paraId="04D4445A">
      <w:pPr>
        <w:pStyle w:val="12"/>
        <w:pageBreakBefore w:val="0"/>
        <w:numPr>
          <w:ilvl w:val="0"/>
          <w:numId w:val="0"/>
        </w:numPr>
        <w:kinsoku/>
        <w:wordWrap/>
        <w:overflowPunct/>
        <w:topLinePunct w:val="0"/>
        <w:autoSpaceDE/>
        <w:autoSpaceDN/>
        <w:bidi w:val="0"/>
        <w:adjustRightInd/>
        <w:snapToGrid/>
        <w:ind w:left="0" w:leftChars="0" w:firstLine="640"/>
        <w:textAlignment w:val="auto"/>
        <w:rPr>
          <w:rFonts w:hint="eastAsia" w:ascii="仿宋_GB2312" w:hAnsi="仿宋_GB2312" w:eastAsia="仿宋_GB2312" w:cs="仿宋_GB2312"/>
          <w:color w:val="auto"/>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（五）鼓励开展试点示范工作：</w:t>
      </w:r>
      <w:r>
        <w:rPr>
          <w:rFonts w:hint="eastAsia" w:ascii="仿宋_GB2312" w:hAnsi="仿宋_GB2312" w:eastAsia="仿宋_GB2312" w:cs="仿宋_GB2312"/>
          <w:color w:val="auto"/>
          <w:spacing w:val="-6"/>
          <w:kern w:val="0"/>
          <w:sz w:val="32"/>
          <w:szCs w:val="32"/>
          <w:highlight w:val="none"/>
          <w:lang w:val="en-US" w:eastAsia="zh-CN" w:bidi="ar-SA"/>
        </w:rPr>
        <w:t>（1）</w:t>
      </w:r>
      <w:r>
        <w:rPr>
          <w:rFonts w:hint="eastAsia" w:ascii="仿宋_GB2312" w:hAnsi="仿宋_GB2312"/>
          <w:color w:val="auto"/>
          <w:highlight w:val="none"/>
          <w:lang w:val="en-US" w:eastAsia="zh-CN" w:bidi="ar-SA"/>
        </w:rPr>
        <w:t>对首次被评定为国家级专精特新“小巨人”企业的</w:t>
      </w:r>
      <w:r>
        <w:rPr>
          <w:rFonts w:hint="eastAsia" w:ascii="仿宋_GB2312" w:hAnsi="仿宋_GB2312" w:cs="仿宋_GB2312"/>
          <w:color w:val="auto"/>
          <w:highlight w:val="none"/>
          <w:lang w:val="en-US" w:eastAsia="zh-CN" w:bidi="ar-SA"/>
        </w:rPr>
        <w:t>包装制造企业</w:t>
      </w:r>
      <w:r>
        <w:rPr>
          <w:rFonts w:hint="eastAsia" w:ascii="仿宋_GB2312" w:hAnsi="仿宋_GB2312"/>
          <w:color w:val="auto"/>
          <w:highlight w:val="none"/>
          <w:lang w:val="en-US" w:eastAsia="zh-CN" w:bidi="ar-SA"/>
        </w:rPr>
        <w:t>，一次性奖励30万元，对于复核通过的予以2万元奖励</w:t>
      </w:r>
      <w:r>
        <w:rPr>
          <w:rFonts w:hint="eastAsia" w:ascii="仿宋_GB2312" w:hAnsi="仿宋_GB2312" w:cs="仿宋_GB2312"/>
          <w:color w:val="auto"/>
          <w:highlight w:val="none"/>
          <w:lang w:val="en-US" w:eastAsia="zh-CN" w:bidi="ar-SA"/>
        </w:rPr>
        <w:t>；对</w:t>
      </w:r>
      <w:r>
        <w:rPr>
          <w:rFonts w:hint="eastAsia" w:ascii="仿宋_GB2312" w:hAnsi="仿宋_GB2312"/>
          <w:color w:val="auto"/>
          <w:highlight w:val="none"/>
          <w:lang w:val="en-US" w:eastAsia="zh-CN" w:bidi="ar-SA"/>
        </w:rPr>
        <w:t>首次被评定为省级专精特新中小企业的</w:t>
      </w:r>
      <w:r>
        <w:rPr>
          <w:rFonts w:hint="eastAsia" w:ascii="仿宋_GB2312" w:hAnsi="仿宋_GB2312" w:cs="仿宋_GB2312"/>
          <w:color w:val="auto"/>
          <w:highlight w:val="none"/>
          <w:lang w:val="en-US" w:eastAsia="zh-CN" w:bidi="ar-SA"/>
        </w:rPr>
        <w:t>包装制造企业</w:t>
      </w:r>
      <w:r>
        <w:rPr>
          <w:rFonts w:hint="eastAsia" w:ascii="仿宋_GB2312" w:hAnsi="仿宋_GB2312"/>
          <w:color w:val="auto"/>
          <w:highlight w:val="none"/>
          <w:lang w:val="en-US" w:eastAsia="zh-CN" w:bidi="ar-SA"/>
        </w:rPr>
        <w:t>，一次性奖励</w:t>
      </w:r>
      <w:r>
        <w:rPr>
          <w:rFonts w:hint="eastAsia" w:ascii="仿宋_GB2312" w:hAnsi="仿宋_GB2312" w:cs="仿宋_GB2312"/>
          <w:color w:val="auto"/>
          <w:highlight w:val="none"/>
          <w:lang w:val="en-US" w:eastAsia="zh-CN" w:bidi="ar-SA"/>
        </w:rPr>
        <w:t>20</w:t>
      </w:r>
      <w:r>
        <w:rPr>
          <w:rFonts w:hint="eastAsia" w:ascii="仿宋_GB2312" w:hAnsi="仿宋_GB2312"/>
          <w:color w:val="auto"/>
          <w:highlight w:val="none"/>
          <w:lang w:val="en-US" w:eastAsia="zh-CN" w:bidi="ar-SA"/>
        </w:rPr>
        <w:t>万元，对于复核通过的予以2万元奖励</w:t>
      </w:r>
      <w:r>
        <w:rPr>
          <w:rFonts w:hint="eastAsia" w:ascii="仿宋_GB2312" w:hAnsi="仿宋_GB2312" w:cs="仿宋_GB2312"/>
          <w:color w:val="auto"/>
          <w:highlight w:val="none"/>
          <w:lang w:val="en-US" w:eastAsia="zh-CN" w:bidi="ar-SA"/>
        </w:rPr>
        <w:t>。（2）</w:t>
      </w:r>
      <w:r>
        <w:rPr>
          <w:rFonts w:hint="eastAsia" w:ascii="仿宋_GB2312" w:hAnsi="仿宋_GB2312"/>
          <w:color w:val="auto"/>
          <w:highlight w:val="none"/>
          <w:lang w:val="en-US" w:eastAsia="zh-CN" w:bidi="ar-SA"/>
        </w:rPr>
        <w:t>对首次被评定为国家级制造业单项冠军企业的包装制造企业，一次性奖励30万元，对于复核通过的予以2万元奖励；对首次被评定为省级制造业单项冠军企业的包装制造企业，一次性奖励15万元，对于复核通过的予以2万元奖励。（3）对首次被评定为领航级智能工厂、卓越级智能工厂、先进级智能工厂的包装制造企业，分别给予一次性奖励50万元、30万元、15万元。</w:t>
      </w:r>
      <w:r>
        <w:rPr>
          <w:rFonts w:hint="eastAsia" w:ascii="仿宋_GB2312" w:hAnsi="仿宋_GB2312" w:eastAsia="仿宋_GB2312" w:cs="仿宋_GB2312"/>
          <w:color w:val="auto"/>
          <w:spacing w:val="-6"/>
          <w:kern w:val="0"/>
          <w:sz w:val="32"/>
          <w:szCs w:val="32"/>
          <w:highlight w:val="none"/>
          <w:lang w:val="en-US" w:eastAsia="zh-CN" w:bidi="ar-SA"/>
        </w:rPr>
        <w:t>（</w:t>
      </w:r>
      <w:r>
        <w:rPr>
          <w:rFonts w:hint="eastAsia" w:ascii="仿宋_GB2312" w:hAnsi="仿宋_GB2312" w:cs="仿宋_GB2312"/>
          <w:color w:val="auto"/>
          <w:spacing w:val="-6"/>
          <w:kern w:val="0"/>
          <w:sz w:val="32"/>
          <w:szCs w:val="32"/>
          <w:highlight w:val="none"/>
          <w:lang w:val="en-US" w:eastAsia="zh-CN" w:bidi="ar-SA"/>
        </w:rPr>
        <w:t>4</w:t>
      </w:r>
      <w:r>
        <w:rPr>
          <w:rFonts w:hint="eastAsia" w:ascii="仿宋_GB2312" w:hAnsi="仿宋_GB2312" w:eastAsia="仿宋_GB2312" w:cs="仿宋_GB2312"/>
          <w:color w:val="auto"/>
          <w:spacing w:val="-6"/>
          <w:kern w:val="0"/>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对</w:t>
      </w:r>
      <w:r>
        <w:rPr>
          <w:rFonts w:hint="eastAsia" w:ascii="仿宋_GB2312" w:hAnsi="仿宋_GB2312" w:cs="仿宋_GB2312"/>
          <w:color w:val="auto"/>
          <w:sz w:val="32"/>
          <w:szCs w:val="32"/>
          <w:highlight w:val="none"/>
          <w:lang w:val="en-US" w:eastAsia="zh-CN" w:bidi="ar-SA"/>
        </w:rPr>
        <w:t>首次</w:t>
      </w:r>
      <w:r>
        <w:rPr>
          <w:rFonts w:hint="eastAsia" w:ascii="仿宋_GB2312" w:hAnsi="仿宋_GB2312" w:eastAsia="仿宋_GB2312" w:cs="仿宋_GB2312"/>
          <w:color w:val="auto"/>
          <w:sz w:val="32"/>
          <w:szCs w:val="32"/>
          <w:highlight w:val="none"/>
          <w:lang w:val="en-US" w:eastAsia="zh-CN" w:bidi="ar-SA"/>
        </w:rPr>
        <w:t>获评国家级、省级工业设计中心的包装</w:t>
      </w:r>
      <w:r>
        <w:rPr>
          <w:rFonts w:hint="eastAsia" w:ascii="仿宋_GB2312" w:hAnsi="仿宋_GB2312" w:cs="仿宋_GB2312"/>
          <w:color w:val="auto"/>
          <w:sz w:val="32"/>
          <w:szCs w:val="32"/>
          <w:highlight w:val="none"/>
          <w:lang w:val="en-US" w:eastAsia="zh-CN" w:bidi="ar-SA"/>
        </w:rPr>
        <w:t>制造</w:t>
      </w:r>
      <w:r>
        <w:rPr>
          <w:rFonts w:hint="eastAsia" w:ascii="仿宋_GB2312" w:hAnsi="仿宋_GB2312" w:eastAsia="仿宋_GB2312" w:cs="仿宋_GB2312"/>
          <w:color w:val="auto"/>
          <w:sz w:val="32"/>
          <w:szCs w:val="32"/>
          <w:highlight w:val="none"/>
          <w:lang w:val="en-US" w:eastAsia="zh-CN" w:bidi="ar-SA"/>
        </w:rPr>
        <w:t>企业，分别</w:t>
      </w:r>
      <w:r>
        <w:rPr>
          <w:rFonts w:hint="eastAsia" w:ascii="仿宋_GB2312" w:hAnsi="仿宋_GB2312" w:eastAsia="仿宋_GB2312" w:cs="仿宋_GB2312"/>
          <w:color w:val="auto"/>
          <w:spacing w:val="-6"/>
          <w:sz w:val="32"/>
          <w:szCs w:val="32"/>
          <w:highlight w:val="none"/>
          <w:lang w:val="en-US" w:eastAsia="zh-CN" w:bidi="ar-SA"/>
        </w:rPr>
        <w:t>给予20万元、10万元</w:t>
      </w:r>
      <w:r>
        <w:rPr>
          <w:rFonts w:hint="eastAsia" w:ascii="仿宋_GB2312" w:hAnsi="仿宋_GB2312" w:cs="仿宋_GB2312"/>
          <w:color w:val="auto"/>
          <w:spacing w:val="-6"/>
          <w:sz w:val="32"/>
          <w:szCs w:val="32"/>
          <w:highlight w:val="none"/>
          <w:lang w:val="en-US" w:eastAsia="zh-CN" w:bidi="ar-SA"/>
        </w:rPr>
        <w:t>一次性</w:t>
      </w:r>
      <w:r>
        <w:rPr>
          <w:rFonts w:hint="eastAsia" w:ascii="仿宋_GB2312" w:hAnsi="仿宋_GB2312" w:eastAsia="仿宋_GB2312" w:cs="仿宋_GB2312"/>
          <w:color w:val="auto"/>
          <w:spacing w:val="-6"/>
          <w:sz w:val="32"/>
          <w:szCs w:val="32"/>
          <w:highlight w:val="none"/>
          <w:lang w:val="en-US" w:eastAsia="zh-CN" w:bidi="ar-SA"/>
        </w:rPr>
        <w:t>奖励</w:t>
      </w:r>
      <w:r>
        <w:rPr>
          <w:rFonts w:hint="eastAsia" w:ascii="仿宋_GB2312" w:hAnsi="仿宋_GB2312" w:eastAsia="仿宋_GB2312" w:cs="仿宋_GB2312"/>
          <w:color w:val="auto"/>
          <w:sz w:val="32"/>
          <w:szCs w:val="32"/>
          <w:highlight w:val="none"/>
          <w:lang w:val="en-US" w:eastAsia="zh-CN" w:bidi="ar-SA"/>
        </w:rPr>
        <w:t>。</w:t>
      </w:r>
      <w:r>
        <w:rPr>
          <w:rFonts w:hint="eastAsia" w:ascii="仿宋_GB2312" w:hAnsi="仿宋_GB2312" w:cs="仿宋_GB2312"/>
          <w:color w:val="auto"/>
          <w:sz w:val="32"/>
          <w:szCs w:val="32"/>
          <w:highlight w:val="none"/>
          <w:lang w:val="en-US" w:eastAsia="zh-CN" w:bidi="ar-SA"/>
        </w:rPr>
        <w:t>（5）对首次获得CNAS（</w:t>
      </w:r>
      <w:r>
        <w:rPr>
          <w:rFonts w:hint="eastAsia" w:ascii="仿宋_GB2312" w:hAnsi="仿宋_GB2312"/>
          <w:color w:val="auto"/>
          <w:highlight w:val="none"/>
          <w:lang w:val="en-US" w:eastAsia="zh-CN" w:bidi="ar-SA"/>
        </w:rPr>
        <w:t>中国合格评定国家认可委员会</w:t>
      </w:r>
      <w:r>
        <w:rPr>
          <w:rFonts w:hint="eastAsia" w:ascii="仿宋_GB2312" w:hAnsi="仿宋_GB2312" w:cs="仿宋_GB2312"/>
          <w:color w:val="auto"/>
          <w:sz w:val="32"/>
          <w:szCs w:val="32"/>
          <w:highlight w:val="none"/>
          <w:lang w:val="en-US" w:eastAsia="zh-CN" w:bidi="ar-SA"/>
        </w:rPr>
        <w:t>）检测实验室认证的包装制造企业，一次性奖励20万元。（</w:t>
      </w:r>
      <w:r>
        <w:rPr>
          <w:rFonts w:hint="eastAsia" w:ascii="仿宋_GB2312" w:hAnsi="仿宋_GB2312"/>
          <w:color w:val="auto"/>
          <w:highlight w:val="none"/>
          <w:lang w:val="en-US" w:eastAsia="zh-CN" w:bidi="ar-SA"/>
        </w:rPr>
        <w:t>责任单位：区经信商务局、区市场监管局</w:t>
      </w:r>
      <w:r>
        <w:rPr>
          <w:rFonts w:hint="eastAsia" w:ascii="仿宋_GB2312" w:hAnsi="仿宋_GB2312" w:cs="仿宋_GB2312"/>
          <w:color w:val="auto"/>
          <w:sz w:val="32"/>
          <w:szCs w:val="32"/>
          <w:highlight w:val="none"/>
          <w:lang w:val="en-US" w:eastAsia="zh-CN" w:bidi="ar-SA"/>
        </w:rPr>
        <w:t>）</w:t>
      </w:r>
    </w:p>
    <w:p w14:paraId="5954369E">
      <w:pPr>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6"/>
          <w:sz w:val="32"/>
          <w:szCs w:val="32"/>
          <w:highlight w:val="none"/>
        </w:rPr>
      </w:pPr>
      <w:r>
        <w:rPr>
          <w:rFonts w:hint="eastAsia" w:ascii="楷体_GB2312" w:hAnsi="楷体_GB2312" w:eastAsia="楷体_GB2312" w:cs="楷体_GB2312"/>
          <w:color w:val="auto"/>
          <w:spacing w:val="0"/>
          <w:kern w:val="2"/>
          <w:sz w:val="32"/>
          <w:szCs w:val="32"/>
          <w:highlight w:val="none"/>
          <w:lang w:val="en-US" w:eastAsia="zh-CN" w:bidi="ar-SA"/>
        </w:rPr>
        <w:t>（六）鼓励企业拓展市场：</w:t>
      </w:r>
      <w:r>
        <w:rPr>
          <w:rFonts w:hint="eastAsia" w:ascii="仿宋_GB2312" w:hAnsi="仿宋_GB2312" w:eastAsia="仿宋_GB2312" w:cs="仿宋_GB2312"/>
          <w:color w:val="auto"/>
          <w:spacing w:val="-6"/>
          <w:sz w:val="32"/>
          <w:szCs w:val="32"/>
          <w:highlight w:val="none"/>
          <w:lang w:val="en-US" w:eastAsia="zh-CN" w:bidi="ar-SA"/>
        </w:rPr>
        <w:t>鼓励企业开展品牌创建，对包装制造企业：首次获得中国质量奖的，一次性奖励100万元；首次获得中国驰名商标、中国质量奖提名奖、长江质量奖的，一次性奖励50万元；获得长江质量奖提名奖、三峡质量奖的，一次性奖励30万元；获得三峡质量奖提名奖、“湖北精品”的，一次性奖励10万元。支持包装制造企业参加境内外包装行业展会，对相关费用（含展位费、人员费）在扣除争取到的中央、省、市同项目资金后，对剩余费用给予50%补贴，单个企业单次展会补贴上限为5万元，单个企业每年度补贴上限为10万元。（责任单位：区市场监管局、区经信商务局）</w:t>
      </w:r>
    </w:p>
    <w:p w14:paraId="08A2A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pacing w:val="0"/>
          <w:kern w:val="2"/>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（七）降低企业生产成本：</w:t>
      </w:r>
      <w:r>
        <w:rPr>
          <w:rFonts w:hint="eastAsia" w:ascii="仿宋_GB2312" w:hAnsi="仿宋_GB2312" w:eastAsia="仿宋_GB2312" w:cs="仿宋_GB2312"/>
          <w:b/>
          <w:bCs/>
          <w:color w:val="auto"/>
          <w:spacing w:val="-6"/>
          <w:sz w:val="32"/>
          <w:szCs w:val="32"/>
          <w:highlight w:val="none"/>
          <w:lang w:val="en-US" w:eastAsia="zh-CN"/>
        </w:rPr>
        <w:t>1.降低物流运输成本。</w:t>
      </w:r>
      <w:r>
        <w:rPr>
          <w:rFonts w:hint="eastAsia" w:ascii="仿宋_GB2312" w:hAnsi="仿宋_GB2312" w:eastAsia="仿宋_GB2312" w:cs="仿宋_GB2312"/>
          <w:color w:val="auto"/>
          <w:spacing w:val="-6"/>
          <w:sz w:val="32"/>
          <w:szCs w:val="32"/>
          <w:highlight w:val="none"/>
          <w:lang w:val="en-US" w:eastAsia="zh-CN" w:bidi="ar-SA"/>
        </w:rPr>
        <w:t>对符合相关条件的包装制造企业（原则上企业年应税收入应达到5000万元及以上），按其年度发生的实际物流运输费用的5%给予补贴，单个企业年度补贴总额不超过50万元；</w:t>
      </w:r>
      <w:r>
        <w:rPr>
          <w:rFonts w:hint="eastAsia" w:ascii="仿宋_GB2312" w:hAnsi="仿宋_GB2312" w:eastAsia="仿宋_GB2312" w:cs="仿宋_GB2312"/>
          <w:b/>
          <w:bCs/>
          <w:color w:val="auto"/>
          <w:spacing w:val="-6"/>
          <w:sz w:val="32"/>
          <w:szCs w:val="32"/>
          <w:highlight w:val="none"/>
          <w:lang w:val="en-US" w:eastAsia="zh-CN" w:bidi="ar-SA"/>
        </w:rPr>
        <w:t>2</w:t>
      </w:r>
      <w:r>
        <w:rPr>
          <w:rFonts w:hint="eastAsia" w:ascii="仿宋_GB2312" w:hAnsi="仿宋_GB2312" w:eastAsia="仿宋_GB2312" w:cs="仿宋_GB2312"/>
          <w:b/>
          <w:bCs/>
          <w:color w:val="auto"/>
          <w:spacing w:val="-6"/>
          <w:sz w:val="32"/>
          <w:szCs w:val="32"/>
          <w:highlight w:val="none"/>
          <w:lang w:val="en-US" w:eastAsia="zh-CN"/>
        </w:rPr>
        <w:t>.降低用能成本。</w:t>
      </w:r>
      <w:r>
        <w:rPr>
          <w:rFonts w:hint="eastAsia" w:ascii="仿宋_GB2312" w:hAnsi="仿宋_GB2312" w:eastAsia="仿宋_GB2312" w:cs="仿宋_GB2312"/>
          <w:color w:val="auto"/>
          <w:spacing w:val="-6"/>
          <w:sz w:val="32"/>
          <w:szCs w:val="32"/>
          <w:highlight w:val="none"/>
          <w:lang w:val="en-US" w:eastAsia="zh-CN" w:bidi="ar-SA"/>
        </w:rPr>
        <w:t>对工业总产值同比上年度增长10%及以上的规模以上包装制造企业，按其年度实际用电、用气费用较上年新增部分的10%给予补贴，单个企业年度补贴总额不超过10万元。</w:t>
      </w:r>
      <w:bookmarkStart w:id="1" w:name="heading_4"/>
      <w:r>
        <w:rPr>
          <w:rFonts w:hint="eastAsia" w:ascii="仿宋_GB2312" w:hAnsi="仿宋_GB2312" w:eastAsia="仿宋_GB2312" w:cs="仿宋_GB2312"/>
          <w:color w:val="auto"/>
          <w:spacing w:val="-6"/>
          <w:sz w:val="32"/>
          <w:szCs w:val="32"/>
          <w:highlight w:val="none"/>
          <w:lang w:val="en-US" w:eastAsia="zh-CN" w:bidi="ar-SA"/>
        </w:rPr>
        <w:t>（责任单位：区经信商务局）</w:t>
      </w:r>
    </w:p>
    <w:p w14:paraId="1E7AE99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6"/>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（八）支持绿色低碳转型发展：</w:t>
      </w:r>
      <w:r>
        <w:rPr>
          <w:rFonts w:hint="eastAsia" w:ascii="仿宋_GB2312" w:hAnsi="仿宋_GB2312" w:eastAsia="仿宋_GB2312" w:cs="仿宋_GB2312"/>
          <w:color w:val="auto"/>
          <w:spacing w:val="-6"/>
          <w:sz w:val="32"/>
          <w:szCs w:val="32"/>
          <w:highlight w:val="none"/>
          <w:lang w:val="en-US" w:eastAsia="zh-CN" w:bidi="ar-SA"/>
        </w:rPr>
        <w:t>鼓励企业研发生产环保可降解包装材料、低（无）挥发性有机物（VOCs）含量包装产品。对首次获得绿色产品认证的包装制造企业，给予</w:t>
      </w:r>
      <w:r>
        <w:rPr>
          <w:rFonts w:hint="eastAsia" w:ascii="仿宋_GB2312" w:hAnsi="仿宋_GB2312" w:eastAsia="仿宋_GB2312" w:cs="仿宋_GB2312"/>
          <w:color w:val="auto"/>
          <w:spacing w:val="-6"/>
          <w:kern w:val="0"/>
          <w:sz w:val="32"/>
          <w:szCs w:val="32"/>
          <w:highlight w:val="none"/>
          <w:lang w:val="en-US" w:eastAsia="zh-CN" w:bidi="ar-SA"/>
        </w:rPr>
        <w:t>10万元</w:t>
      </w:r>
      <w:r>
        <w:rPr>
          <w:rFonts w:hint="eastAsia" w:ascii="仿宋_GB2312" w:hAnsi="仿宋_GB2312" w:eastAsia="仿宋_GB2312" w:cs="仿宋_GB2312"/>
          <w:color w:val="auto"/>
          <w:spacing w:val="-6"/>
          <w:sz w:val="32"/>
          <w:szCs w:val="32"/>
          <w:highlight w:val="none"/>
          <w:lang w:val="en-US" w:eastAsia="zh-CN" w:bidi="ar-SA"/>
        </w:rPr>
        <w:t>一次性奖励。对认定为国家级、省级绿色工厂的包装制造企业，分别给予60万元、25万元一次性奖励。（责任单位：区市场监管局、区经信商务局）</w:t>
      </w:r>
    </w:p>
    <w:p w14:paraId="1BD93D44">
      <w:pPr>
        <w:pStyle w:val="2"/>
        <w:pageBreakBefore w:val="0"/>
        <w:kinsoku/>
        <w:wordWrap/>
        <w:overflowPunct/>
        <w:topLinePunct w:val="0"/>
        <w:autoSpaceDE/>
        <w:autoSpaceDN/>
        <w:bidi w:val="0"/>
        <w:adjustRightInd/>
        <w:snapToGrid/>
        <w:spacing w:beforeLines="0" w:afterLines="0"/>
        <w:ind w:firstLine="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二、兑现程序</w:t>
      </w:r>
    </w:p>
    <w:p w14:paraId="651D9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bidi="ar-SA"/>
        </w:rPr>
      </w:pPr>
      <w:r>
        <w:rPr>
          <w:rFonts w:hint="eastAsia" w:ascii="仿宋_GB2312" w:hAnsi="仿宋_GB2312" w:eastAsia="仿宋_GB2312" w:cs="仿宋_GB2312"/>
          <w:color w:val="auto"/>
          <w:spacing w:val="-6"/>
          <w:kern w:val="0"/>
          <w:sz w:val="32"/>
          <w:szCs w:val="32"/>
          <w:highlight w:val="none"/>
          <w:lang w:val="en-US" w:eastAsia="zh-CN" w:bidi="ar-SA"/>
        </w:rPr>
        <w:t>（一）根据区政府统一安排，由区经信商务局牵头，区市场监管局</w:t>
      </w:r>
      <w:r>
        <w:rPr>
          <w:rFonts w:hint="eastAsia" w:ascii="仿宋_GB2312" w:hAnsi="仿宋_GB2312" w:eastAsia="仿宋_GB2312" w:cs="仿宋_GB2312"/>
          <w:color w:val="auto"/>
          <w:spacing wpsCustomData:val="0" w:val="-6"/>
          <w:kern w:val="0"/>
          <w:sz w:val="32"/>
          <w:szCs w:val="32"/>
          <w:highlight w:val="none"/>
          <w:lang w:val="en-US" w:eastAsia="zh-CN" w:bidi="ar-SA"/>
        </w:rPr>
        <w:t>配合，拟定奖励兑现建议方案，报区政</w:t>
      </w:r>
      <w:r>
        <w:rPr>
          <w:rFonts w:hint="eastAsia" w:ascii="仿宋_GB2312" w:hAnsi="仿宋_GB2312" w:eastAsia="仿宋_GB2312" w:cs="仿宋_GB2312"/>
          <w:color w:val="auto"/>
          <w:spacing w:val="-6"/>
          <w:kern w:val="0"/>
          <w:sz w:val="32"/>
          <w:szCs w:val="32"/>
          <w:highlight w:val="none"/>
          <w:lang w:val="en-US" w:eastAsia="zh-CN" w:bidi="ar-SA"/>
        </w:rPr>
        <w:t>府审定。</w:t>
      </w:r>
    </w:p>
    <w:p w14:paraId="6819A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bidi="ar-SA"/>
        </w:rPr>
      </w:pPr>
      <w:r>
        <w:rPr>
          <w:rFonts w:hint="eastAsia" w:ascii="仿宋_GB2312" w:hAnsi="仿宋_GB2312" w:eastAsia="仿宋_GB2312" w:cs="仿宋_GB2312"/>
          <w:color w:val="auto"/>
          <w:spacing w:val="-6"/>
          <w:kern w:val="0"/>
          <w:sz w:val="32"/>
          <w:szCs w:val="32"/>
          <w:highlight w:val="none"/>
          <w:lang w:val="en-US" w:eastAsia="zh-CN" w:bidi="ar-SA"/>
        </w:rPr>
        <w:t>（二）奖励兑现方案经审定后，由区财政局将奖励资金拨付至行业主管部门，再由行业主管部门拨付至相关企业。符合“免申即享”条件的，由相关部门出具认定文件后，区财政局直接将资金兑付至企业（单位）。</w:t>
      </w:r>
    </w:p>
    <w:p w14:paraId="71DD8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bidi="ar-SA"/>
        </w:rPr>
      </w:pPr>
      <w:r>
        <w:rPr>
          <w:rFonts w:hint="eastAsia" w:ascii="仿宋_GB2312" w:hAnsi="仿宋_GB2312" w:eastAsia="仿宋_GB2312" w:cs="仿宋_GB2312"/>
          <w:color w:val="auto"/>
          <w:spacing wpsCustomData:val="-6" w:val="1"/>
          <w:kern w:val="0"/>
          <w:sz w:val="32"/>
          <w:szCs w:val="32"/>
          <w:highlight w:val="none"/>
          <w:lang w:val="en-US" w:eastAsia="zh-CN" w:bidi="ar-SA"/>
        </w:rPr>
        <w:t>（三）需经第三方审计的，以第三方审计结果为依据兑</w:t>
      </w:r>
      <w:r>
        <w:rPr>
          <w:rFonts w:hint="eastAsia" w:ascii="仿宋_GB2312" w:hAnsi="仿宋_GB2312" w:eastAsia="仿宋_GB2312" w:cs="仿宋_GB2312"/>
          <w:color w:val="auto"/>
          <w:spacing wpsCustomData:val="-6" w:val="-6"/>
          <w:kern w:val="0"/>
          <w:sz w:val="32"/>
          <w:szCs w:val="32"/>
          <w:highlight w:val="none"/>
          <w:lang w:val="en-US" w:eastAsia="zh-CN" w:bidi="ar-SA"/>
        </w:rPr>
        <w:t>现</w:t>
      </w:r>
      <w:r>
        <w:rPr>
          <w:rFonts w:hint="eastAsia" w:ascii="仿宋_GB2312" w:hAnsi="仿宋_GB2312" w:eastAsia="仿宋_GB2312" w:cs="仿宋_GB2312"/>
          <w:color w:val="auto"/>
          <w:spacing w:val="-6"/>
          <w:kern w:val="0"/>
          <w:sz w:val="32"/>
          <w:szCs w:val="32"/>
          <w:highlight w:val="none"/>
          <w:lang w:val="en-US" w:eastAsia="zh-CN" w:bidi="ar-SA"/>
        </w:rPr>
        <w:t>奖励。</w:t>
      </w:r>
    </w:p>
    <w:p w14:paraId="2B7C315C">
      <w:pPr>
        <w:pStyle w:val="2"/>
        <w:pageBreakBefore w:val="0"/>
        <w:kinsoku/>
        <w:wordWrap/>
        <w:overflowPunct/>
        <w:topLinePunct w:val="0"/>
        <w:autoSpaceDE/>
        <w:autoSpaceDN/>
        <w:bidi w:val="0"/>
        <w:adjustRightInd/>
        <w:snapToGrid/>
        <w:spacing w:beforeLines="0" w:afterLines="0"/>
        <w:ind w:firstLine="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三、相关说明</w:t>
      </w:r>
      <w:bookmarkEnd w:id="1"/>
    </w:p>
    <w:p w14:paraId="237513E6">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color w:val="auto"/>
          <w:spacing w:val="-6"/>
          <w:sz w:val="32"/>
          <w:szCs w:val="32"/>
          <w:highlight w:val="none"/>
          <w:lang w:val="en-US" w:eastAsia="zh-CN" w:bidi="ar-SA"/>
        </w:rPr>
      </w:pPr>
      <w:r>
        <w:rPr>
          <w:rFonts w:hint="eastAsia" w:ascii="仿宋_GB2312" w:hAnsi="仿宋_GB2312" w:eastAsia="仿宋_GB2312" w:cs="仿宋_GB2312"/>
          <w:color w:val="auto"/>
          <w:spacing w:val="-6"/>
          <w:sz w:val="32"/>
          <w:szCs w:val="32"/>
          <w:highlight w:val="none"/>
          <w:lang w:val="en-US" w:eastAsia="zh-CN" w:bidi="ar-SA"/>
        </w:rPr>
        <w:t>（一）本政策适用于自愿申报、其投资或经营行为符合国家及湖北省产业发展方向且在夷陵区依法登记注册并开展经营活动的市场主体（含企业、其他经济组织等）；本政策所指包装产业涵盖木制品制造、造纸、纸制品制造、印刷、药用辅料及包装材料、塑料制品业、集装箱及金属包装容器制造等行业类别，企业认定由区经信商务局负责。</w:t>
      </w:r>
    </w:p>
    <w:p w14:paraId="7885F29F">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color w:val="auto"/>
          <w:spacing w:val="-6"/>
          <w:sz w:val="32"/>
          <w:szCs w:val="32"/>
          <w:highlight w:val="none"/>
          <w:lang w:val="en-US" w:eastAsia="zh-CN" w:bidi="ar-SA"/>
        </w:rPr>
      </w:pPr>
      <w:r>
        <w:rPr>
          <w:rFonts w:hint="eastAsia" w:ascii="仿宋_GB2312" w:hAnsi="仿宋_GB2312" w:eastAsia="仿宋_GB2312" w:cs="仿宋_GB2312"/>
          <w:color w:val="auto"/>
          <w:spacing wpsCustomData:val="0" w:val="-6"/>
          <w:sz w:val="32"/>
          <w:szCs w:val="32"/>
          <w:highlight w:val="none"/>
          <w:lang w:val="en-US" w:eastAsia="zh-CN" w:bidi="ar-SA"/>
        </w:rPr>
        <w:t>（二）本政策所指产值、应税收入等数据，以统计直报平台及税务部门反馈数据</w:t>
      </w:r>
      <w:r>
        <w:rPr>
          <w:rFonts w:hint="eastAsia" w:ascii="仿宋_GB2312" w:hAnsi="仿宋_GB2312" w:eastAsia="仿宋_GB2312" w:cs="仿宋_GB2312"/>
          <w:color w:val="auto"/>
          <w:spacing w:val="-6"/>
          <w:sz w:val="32"/>
          <w:szCs w:val="32"/>
          <w:highlight w:val="none"/>
          <w:lang w:val="en-US" w:eastAsia="zh-CN" w:bidi="ar-SA"/>
        </w:rPr>
        <w:t>为准。</w:t>
      </w:r>
    </w:p>
    <w:p w14:paraId="5342A20A">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color w:val="auto"/>
          <w:spacing w:val="-6"/>
          <w:sz w:val="32"/>
          <w:szCs w:val="32"/>
          <w:highlight w:val="none"/>
          <w:lang w:val="en-US" w:eastAsia="zh-CN" w:bidi="ar-SA"/>
        </w:rPr>
      </w:pPr>
      <w:r>
        <w:rPr>
          <w:rFonts w:hint="eastAsia" w:ascii="仿宋_GB2312" w:hAnsi="仿宋_GB2312" w:eastAsia="仿宋_GB2312" w:cs="仿宋_GB2312"/>
          <w:color w:val="auto"/>
          <w:spacing w:val="-6"/>
          <w:sz w:val="32"/>
          <w:szCs w:val="32"/>
          <w:highlight w:val="none"/>
          <w:lang w:val="en-US" w:eastAsia="zh-CN" w:bidi="ar-SA"/>
        </w:rPr>
        <w:t>（三）项目总投资包括项目建设所必需的土地费用、厂房建设、设备投资等内容。其中生产性设备投资主要包括：与项目建设相关的生产、检测、研发等设备购置，含设备安装、调试，不含设备租赁；自制成台（套）设备原材料及测试费用，不含设备维修。</w:t>
      </w:r>
    </w:p>
    <w:p w14:paraId="0664E4DA">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b w:val="0"/>
          <w:color w:val="auto"/>
          <w:spacing w:val="-6"/>
          <w:sz w:val="32"/>
          <w:szCs w:val="32"/>
          <w:highlight w:val="none"/>
          <w:lang w:val="en-US" w:eastAsia="zh-CN" w:bidi="ar-SA"/>
        </w:rPr>
      </w:pPr>
      <w:r>
        <w:rPr>
          <w:rFonts w:hint="eastAsia" w:ascii="仿宋_GB2312" w:hAnsi="仿宋_GB2312" w:eastAsia="仿宋_GB2312" w:cs="仿宋_GB2312"/>
          <w:color w:val="auto"/>
          <w:spacing w:val="-6"/>
          <w:sz w:val="32"/>
          <w:szCs w:val="32"/>
          <w:highlight w:val="none"/>
          <w:lang w:val="en-US" w:eastAsia="zh-CN" w:bidi="ar-SA"/>
        </w:rPr>
        <w:t>（四）同一项目、同一事项，同时符合我区其他政策规定的，按照就高不重复的原则享受相关政策；与上级政策叠加的，按相关规定执行。</w:t>
      </w:r>
    </w:p>
    <w:p w14:paraId="6DA352C4">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b w:val="0"/>
          <w:color w:val="auto"/>
          <w:spacing w:val="-6"/>
          <w:sz w:val="32"/>
          <w:szCs w:val="32"/>
          <w:highlight w:val="none"/>
          <w:lang w:val="en-US" w:eastAsia="zh-CN" w:bidi="ar-SA"/>
        </w:rPr>
      </w:pPr>
      <w:r>
        <w:rPr>
          <w:rFonts w:hint="eastAsia" w:ascii="仿宋_GB2312" w:hAnsi="仿宋_GB2312" w:eastAsia="仿宋_GB2312" w:cs="仿宋_GB2312"/>
          <w:color w:val="auto"/>
          <w:spacing w:val="-6"/>
          <w:sz w:val="32"/>
          <w:szCs w:val="32"/>
          <w:highlight w:val="none"/>
          <w:lang w:val="en-US" w:eastAsia="zh-CN" w:bidi="ar-SA"/>
        </w:rPr>
        <w:t>（五）企业存在安全生产、环境保护、税收违法、严重失信等行为的，取消当年享受政策资格；对弄虚作假套取补贴的，依法追回资金并追究责任。</w:t>
      </w:r>
    </w:p>
    <w:p w14:paraId="106FBB01">
      <w:pPr>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b w:val="0"/>
          <w:color w:val="auto"/>
          <w:spacing w:val="-6"/>
          <w:sz w:val="32"/>
          <w:szCs w:val="32"/>
          <w:highlight w:val="none"/>
          <w:lang w:val="en-US" w:eastAsia="zh-CN" w:bidi="ar-SA"/>
        </w:rPr>
      </w:pPr>
      <w:r>
        <w:rPr>
          <w:rFonts w:hint="eastAsia" w:ascii="仿宋_GB2312" w:hAnsi="仿宋_GB2312" w:eastAsia="仿宋_GB2312" w:cs="仿宋_GB2312"/>
          <w:color w:val="auto"/>
          <w:spacing w:val="-6"/>
          <w:sz w:val="32"/>
          <w:szCs w:val="32"/>
          <w:highlight w:val="none"/>
          <w:lang w:val="en-US" w:eastAsia="zh-CN" w:bidi="ar-SA"/>
        </w:rPr>
        <w:t>（六）本政策自2026年1月1日起执行，有效期两年，原有相关政策与本政策不一致的，以本政策为准。实施期间，上级有新规定的，从其规定。本政策由区经信商务局负责解释。</w:t>
      </w:r>
    </w:p>
    <w:sectPr>
      <w:headerReference r:id="rId3" w:type="default"/>
      <w:footerReference r:id="rId4" w:type="default"/>
      <w:footerReference r:id="rId5" w:type="even"/>
      <w:pgSz w:w="11905" w:h="16840"/>
      <w:pgMar w:top="2098" w:right="1474" w:bottom="1984" w:left="1587" w:header="851" w:footer="1417" w:gutter="0"/>
      <w:pgNumType w:fmt="numberInDash"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AA9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E5032B">
                          <w:pPr>
                            <w:pStyle w:val="1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5E5032B">
                    <w:pPr>
                      <w:pStyle w:val="1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500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E8D100">
                          <w:pPr>
                            <w:pStyle w:val="1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- 2 -</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EE8D100">
                    <w:pPr>
                      <w:pStyle w:val="1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- 2 -</w:t>
                    </w:r>
                    <w:r>
                      <w:rPr>
                        <w:rFonts w:hint="eastAsia" w:ascii="楷体_GB2312" w:hAnsi="楷体_GB2312" w:eastAsia="楷体_GB2312" w:cs="楷体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C677">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251A"/>
    <w:rsid w:val="03AF2E08"/>
    <w:rsid w:val="043625AB"/>
    <w:rsid w:val="07AF4A69"/>
    <w:rsid w:val="07FE20BA"/>
    <w:rsid w:val="08E7715F"/>
    <w:rsid w:val="08FB2C0B"/>
    <w:rsid w:val="0EFC5A9E"/>
    <w:rsid w:val="0FAF3D0F"/>
    <w:rsid w:val="10A122E9"/>
    <w:rsid w:val="134C478E"/>
    <w:rsid w:val="14661880"/>
    <w:rsid w:val="15204936"/>
    <w:rsid w:val="159B27B5"/>
    <w:rsid w:val="167D7681"/>
    <w:rsid w:val="17045380"/>
    <w:rsid w:val="17DF606D"/>
    <w:rsid w:val="1876405C"/>
    <w:rsid w:val="1AFFB53B"/>
    <w:rsid w:val="1B970EB9"/>
    <w:rsid w:val="1D61177E"/>
    <w:rsid w:val="1DA117B6"/>
    <w:rsid w:val="1DA769FF"/>
    <w:rsid w:val="1EFBDCA8"/>
    <w:rsid w:val="1F6E18DC"/>
    <w:rsid w:val="1FDF5BCD"/>
    <w:rsid w:val="1FEB450F"/>
    <w:rsid w:val="1FF527B4"/>
    <w:rsid w:val="1FFE1C7B"/>
    <w:rsid w:val="1FFF7AF7"/>
    <w:rsid w:val="1FFFBDA9"/>
    <w:rsid w:val="23E97DD8"/>
    <w:rsid w:val="23EE0C69"/>
    <w:rsid w:val="26FB6DA4"/>
    <w:rsid w:val="279AA03A"/>
    <w:rsid w:val="27D3539B"/>
    <w:rsid w:val="27FE452C"/>
    <w:rsid w:val="296C128F"/>
    <w:rsid w:val="2AE412F9"/>
    <w:rsid w:val="2BFF5AE9"/>
    <w:rsid w:val="2D935069"/>
    <w:rsid w:val="2DDF6042"/>
    <w:rsid w:val="2DFFF1DD"/>
    <w:rsid w:val="2EFBD12B"/>
    <w:rsid w:val="2F9037FD"/>
    <w:rsid w:val="2FD7497E"/>
    <w:rsid w:val="2FEF4652"/>
    <w:rsid w:val="2FFB2A15"/>
    <w:rsid w:val="323121E2"/>
    <w:rsid w:val="33F7F705"/>
    <w:rsid w:val="33FB918F"/>
    <w:rsid w:val="34AF23F1"/>
    <w:rsid w:val="355F52B8"/>
    <w:rsid w:val="35FED058"/>
    <w:rsid w:val="363E5C17"/>
    <w:rsid w:val="366F71F6"/>
    <w:rsid w:val="375D01D0"/>
    <w:rsid w:val="377ED845"/>
    <w:rsid w:val="37AB4A4B"/>
    <w:rsid w:val="37CD0142"/>
    <w:rsid w:val="37CF396C"/>
    <w:rsid w:val="37DF8BA9"/>
    <w:rsid w:val="37EF315F"/>
    <w:rsid w:val="37F92B34"/>
    <w:rsid w:val="37FE39E1"/>
    <w:rsid w:val="37FF921F"/>
    <w:rsid w:val="38561E03"/>
    <w:rsid w:val="38F80D5B"/>
    <w:rsid w:val="39AB4457"/>
    <w:rsid w:val="3A9FFDB3"/>
    <w:rsid w:val="3AAF973E"/>
    <w:rsid w:val="3ABAC774"/>
    <w:rsid w:val="3B5F00FA"/>
    <w:rsid w:val="3BD72D7F"/>
    <w:rsid w:val="3BE7C451"/>
    <w:rsid w:val="3BEF8971"/>
    <w:rsid w:val="3BF3B251"/>
    <w:rsid w:val="3BF91B4F"/>
    <w:rsid w:val="3BFCBE65"/>
    <w:rsid w:val="3BFF5036"/>
    <w:rsid w:val="3C7B00D3"/>
    <w:rsid w:val="3CEFCA81"/>
    <w:rsid w:val="3D3A1BB2"/>
    <w:rsid w:val="3D5B369C"/>
    <w:rsid w:val="3D7D726D"/>
    <w:rsid w:val="3D7E0A16"/>
    <w:rsid w:val="3DFE4A52"/>
    <w:rsid w:val="3DFF521E"/>
    <w:rsid w:val="3E5A636E"/>
    <w:rsid w:val="3EA846BF"/>
    <w:rsid w:val="3EE54F90"/>
    <w:rsid w:val="3EEF8087"/>
    <w:rsid w:val="3EFF4A89"/>
    <w:rsid w:val="3EFF795D"/>
    <w:rsid w:val="3F9B67F8"/>
    <w:rsid w:val="3FA6F8C2"/>
    <w:rsid w:val="3FA9083F"/>
    <w:rsid w:val="3FEB3E59"/>
    <w:rsid w:val="3FF38F87"/>
    <w:rsid w:val="3FF6B299"/>
    <w:rsid w:val="3FF7371E"/>
    <w:rsid w:val="3FFBEBB7"/>
    <w:rsid w:val="3FFDD106"/>
    <w:rsid w:val="3FFEFA52"/>
    <w:rsid w:val="3FFF0253"/>
    <w:rsid w:val="3FFF7B04"/>
    <w:rsid w:val="43090AF7"/>
    <w:rsid w:val="439B47F3"/>
    <w:rsid w:val="43BF5980"/>
    <w:rsid w:val="45AA6F6F"/>
    <w:rsid w:val="45DB68F1"/>
    <w:rsid w:val="47095F17"/>
    <w:rsid w:val="478B2DD0"/>
    <w:rsid w:val="47D6E4C7"/>
    <w:rsid w:val="49CF2851"/>
    <w:rsid w:val="4A123335"/>
    <w:rsid w:val="4B16F5CA"/>
    <w:rsid w:val="4CAF0EF2"/>
    <w:rsid w:val="4CAF31A2"/>
    <w:rsid w:val="4CFD06B9"/>
    <w:rsid w:val="4DCD13E3"/>
    <w:rsid w:val="4DEF0545"/>
    <w:rsid w:val="4DF9E9AC"/>
    <w:rsid w:val="4E3EA4AD"/>
    <w:rsid w:val="4E5FD0AC"/>
    <w:rsid w:val="4E945829"/>
    <w:rsid w:val="4EFCC97F"/>
    <w:rsid w:val="4EFFC63A"/>
    <w:rsid w:val="4F7B2C35"/>
    <w:rsid w:val="4FFDF5E3"/>
    <w:rsid w:val="509E5922"/>
    <w:rsid w:val="523E0EEF"/>
    <w:rsid w:val="538C003A"/>
    <w:rsid w:val="53E35F5B"/>
    <w:rsid w:val="53EB1CE1"/>
    <w:rsid w:val="53EB658D"/>
    <w:rsid w:val="543E4B40"/>
    <w:rsid w:val="549F7F88"/>
    <w:rsid w:val="55775898"/>
    <w:rsid w:val="557F1014"/>
    <w:rsid w:val="55FF53FD"/>
    <w:rsid w:val="55FF647D"/>
    <w:rsid w:val="575BF086"/>
    <w:rsid w:val="578F3B47"/>
    <w:rsid w:val="57C63731"/>
    <w:rsid w:val="57CFBCF1"/>
    <w:rsid w:val="57DFBD38"/>
    <w:rsid w:val="57F743EA"/>
    <w:rsid w:val="59726E07"/>
    <w:rsid w:val="5AEFED0D"/>
    <w:rsid w:val="5B1F58B2"/>
    <w:rsid w:val="5B7F8F27"/>
    <w:rsid w:val="5B8F00B4"/>
    <w:rsid w:val="5BCBC523"/>
    <w:rsid w:val="5CEE76D3"/>
    <w:rsid w:val="5D588FE3"/>
    <w:rsid w:val="5D5F3C49"/>
    <w:rsid w:val="5D6BD180"/>
    <w:rsid w:val="5D7F24F4"/>
    <w:rsid w:val="5D7F8AAC"/>
    <w:rsid w:val="5D9FEE85"/>
    <w:rsid w:val="5DBF7E90"/>
    <w:rsid w:val="5DD93D6D"/>
    <w:rsid w:val="5DEFD6EF"/>
    <w:rsid w:val="5E2FEA9E"/>
    <w:rsid w:val="5E5FD689"/>
    <w:rsid w:val="5E7D0545"/>
    <w:rsid w:val="5EDFB759"/>
    <w:rsid w:val="5EEFCDF9"/>
    <w:rsid w:val="5EFFB082"/>
    <w:rsid w:val="5EFFB412"/>
    <w:rsid w:val="5F3EF05C"/>
    <w:rsid w:val="5F679E20"/>
    <w:rsid w:val="5F771FC8"/>
    <w:rsid w:val="5FA76D17"/>
    <w:rsid w:val="5FB55DC0"/>
    <w:rsid w:val="5FBC48DA"/>
    <w:rsid w:val="5FBF7D7F"/>
    <w:rsid w:val="5FBF9ACB"/>
    <w:rsid w:val="5FBFEE86"/>
    <w:rsid w:val="5FCFC2D3"/>
    <w:rsid w:val="5FDB8753"/>
    <w:rsid w:val="5FDD58D7"/>
    <w:rsid w:val="5FEF9C1A"/>
    <w:rsid w:val="5FF95FDA"/>
    <w:rsid w:val="5FFD2B40"/>
    <w:rsid w:val="5FFDCA8F"/>
    <w:rsid w:val="5FFE785B"/>
    <w:rsid w:val="5FFEBFCB"/>
    <w:rsid w:val="5FFFB964"/>
    <w:rsid w:val="604F0A0B"/>
    <w:rsid w:val="60A056E7"/>
    <w:rsid w:val="62FC8B6F"/>
    <w:rsid w:val="637DC523"/>
    <w:rsid w:val="663F5DAA"/>
    <w:rsid w:val="667F5036"/>
    <w:rsid w:val="66F76ACE"/>
    <w:rsid w:val="677D7CB6"/>
    <w:rsid w:val="678F9ED3"/>
    <w:rsid w:val="67EFD925"/>
    <w:rsid w:val="67EFDFA7"/>
    <w:rsid w:val="67F139A6"/>
    <w:rsid w:val="67FE8B9A"/>
    <w:rsid w:val="67FFAA9A"/>
    <w:rsid w:val="6A7FB1AD"/>
    <w:rsid w:val="6ADCFA76"/>
    <w:rsid w:val="6AFF2E07"/>
    <w:rsid w:val="6B4FCC94"/>
    <w:rsid w:val="6BCD3BCC"/>
    <w:rsid w:val="6BE301CA"/>
    <w:rsid w:val="6BEBB6B2"/>
    <w:rsid w:val="6BFA56FA"/>
    <w:rsid w:val="6BFAFB67"/>
    <w:rsid w:val="6C7F7E7B"/>
    <w:rsid w:val="6CEDA198"/>
    <w:rsid w:val="6CFD55CF"/>
    <w:rsid w:val="6CFFC04E"/>
    <w:rsid w:val="6D3B4CD3"/>
    <w:rsid w:val="6D5FA2DA"/>
    <w:rsid w:val="6D7F2A5D"/>
    <w:rsid w:val="6DC7FD13"/>
    <w:rsid w:val="6DE60DA5"/>
    <w:rsid w:val="6DEDFC06"/>
    <w:rsid w:val="6DEFBF53"/>
    <w:rsid w:val="6DFB5606"/>
    <w:rsid w:val="6E379495"/>
    <w:rsid w:val="6E7B112A"/>
    <w:rsid w:val="6E9A377C"/>
    <w:rsid w:val="6EBF4A6B"/>
    <w:rsid w:val="6EE7B5D0"/>
    <w:rsid w:val="6EF72976"/>
    <w:rsid w:val="6F5FA9B9"/>
    <w:rsid w:val="6F7914EB"/>
    <w:rsid w:val="6F7F3487"/>
    <w:rsid w:val="6FAF7A9C"/>
    <w:rsid w:val="6FAFCC8C"/>
    <w:rsid w:val="6FBE3982"/>
    <w:rsid w:val="6FD7F67D"/>
    <w:rsid w:val="6FDA6AB2"/>
    <w:rsid w:val="6FEDB067"/>
    <w:rsid w:val="6FEDDA3C"/>
    <w:rsid w:val="6FFAD65D"/>
    <w:rsid w:val="6FFBB509"/>
    <w:rsid w:val="6FFCF285"/>
    <w:rsid w:val="6FFE3B82"/>
    <w:rsid w:val="6FFF93DE"/>
    <w:rsid w:val="6FFFE187"/>
    <w:rsid w:val="6FFFE3E4"/>
    <w:rsid w:val="70A7E81F"/>
    <w:rsid w:val="71BFDD28"/>
    <w:rsid w:val="72D347D6"/>
    <w:rsid w:val="72EF18BF"/>
    <w:rsid w:val="7393C866"/>
    <w:rsid w:val="73DE8AD9"/>
    <w:rsid w:val="73DF2C71"/>
    <w:rsid w:val="73F75856"/>
    <w:rsid w:val="73FFFDEE"/>
    <w:rsid w:val="74D70651"/>
    <w:rsid w:val="752F070C"/>
    <w:rsid w:val="757BBBED"/>
    <w:rsid w:val="75A60C51"/>
    <w:rsid w:val="75DEDD9B"/>
    <w:rsid w:val="75FB9EFF"/>
    <w:rsid w:val="75FFC882"/>
    <w:rsid w:val="76BB2BF3"/>
    <w:rsid w:val="76BF9B58"/>
    <w:rsid w:val="76CB5B57"/>
    <w:rsid w:val="76DF9CFC"/>
    <w:rsid w:val="76FB10A1"/>
    <w:rsid w:val="77595570"/>
    <w:rsid w:val="77BBDA04"/>
    <w:rsid w:val="77CB087D"/>
    <w:rsid w:val="77DEC6C2"/>
    <w:rsid w:val="77E565FC"/>
    <w:rsid w:val="77EF4890"/>
    <w:rsid w:val="77F635B0"/>
    <w:rsid w:val="77FCD403"/>
    <w:rsid w:val="77FECC90"/>
    <w:rsid w:val="77FF041E"/>
    <w:rsid w:val="77FF5FB2"/>
    <w:rsid w:val="77FF9663"/>
    <w:rsid w:val="7840713B"/>
    <w:rsid w:val="791DBE6E"/>
    <w:rsid w:val="796F17C8"/>
    <w:rsid w:val="79FF9FFC"/>
    <w:rsid w:val="7A7F3823"/>
    <w:rsid w:val="7A7F5CCA"/>
    <w:rsid w:val="7AF35B74"/>
    <w:rsid w:val="7AFF8C35"/>
    <w:rsid w:val="7B4F11C6"/>
    <w:rsid w:val="7B7D0B55"/>
    <w:rsid w:val="7B7E7E52"/>
    <w:rsid w:val="7B9265CA"/>
    <w:rsid w:val="7BBF168B"/>
    <w:rsid w:val="7BD31EDF"/>
    <w:rsid w:val="7BE6D1D7"/>
    <w:rsid w:val="7BE961D5"/>
    <w:rsid w:val="7BEEF4C2"/>
    <w:rsid w:val="7BEFFA34"/>
    <w:rsid w:val="7BF3C029"/>
    <w:rsid w:val="7BFB439C"/>
    <w:rsid w:val="7BFC7290"/>
    <w:rsid w:val="7BFF06A3"/>
    <w:rsid w:val="7CBB2C13"/>
    <w:rsid w:val="7CDF6539"/>
    <w:rsid w:val="7CF5F114"/>
    <w:rsid w:val="7CFF5B96"/>
    <w:rsid w:val="7D5B8375"/>
    <w:rsid w:val="7D5E9F21"/>
    <w:rsid w:val="7D5F426B"/>
    <w:rsid w:val="7D7F11C6"/>
    <w:rsid w:val="7D7FE2A9"/>
    <w:rsid w:val="7D8EA66B"/>
    <w:rsid w:val="7DB1CD68"/>
    <w:rsid w:val="7DBE2F68"/>
    <w:rsid w:val="7DBEF996"/>
    <w:rsid w:val="7DBF08A4"/>
    <w:rsid w:val="7DDB974D"/>
    <w:rsid w:val="7DDF7A19"/>
    <w:rsid w:val="7DF565B3"/>
    <w:rsid w:val="7DFBC57B"/>
    <w:rsid w:val="7DFC2138"/>
    <w:rsid w:val="7DFE21F7"/>
    <w:rsid w:val="7DFF83FF"/>
    <w:rsid w:val="7E3B4745"/>
    <w:rsid w:val="7E3B6BCB"/>
    <w:rsid w:val="7E5CD719"/>
    <w:rsid w:val="7E7F77D9"/>
    <w:rsid w:val="7EA472C0"/>
    <w:rsid w:val="7EAEA8BB"/>
    <w:rsid w:val="7EAED07D"/>
    <w:rsid w:val="7EB10F14"/>
    <w:rsid w:val="7EBEFBD0"/>
    <w:rsid w:val="7EDAA1BC"/>
    <w:rsid w:val="7EE6288A"/>
    <w:rsid w:val="7EEF1003"/>
    <w:rsid w:val="7EF57076"/>
    <w:rsid w:val="7EF9A3D0"/>
    <w:rsid w:val="7EFF54D7"/>
    <w:rsid w:val="7EFF7249"/>
    <w:rsid w:val="7F3D6BAA"/>
    <w:rsid w:val="7F3F222B"/>
    <w:rsid w:val="7F57921E"/>
    <w:rsid w:val="7F6E3FC1"/>
    <w:rsid w:val="7F772017"/>
    <w:rsid w:val="7F77DF8A"/>
    <w:rsid w:val="7F7A6D8B"/>
    <w:rsid w:val="7F8A7A48"/>
    <w:rsid w:val="7FA59176"/>
    <w:rsid w:val="7FAE0E2E"/>
    <w:rsid w:val="7FB303A1"/>
    <w:rsid w:val="7FB4F957"/>
    <w:rsid w:val="7FB73BE8"/>
    <w:rsid w:val="7FBB69B7"/>
    <w:rsid w:val="7FBE1E44"/>
    <w:rsid w:val="7FBF30BA"/>
    <w:rsid w:val="7FCB7986"/>
    <w:rsid w:val="7FD734FD"/>
    <w:rsid w:val="7FD7707A"/>
    <w:rsid w:val="7FDBB8DE"/>
    <w:rsid w:val="7FDDA73A"/>
    <w:rsid w:val="7FDF1586"/>
    <w:rsid w:val="7FE61844"/>
    <w:rsid w:val="7FE640A1"/>
    <w:rsid w:val="7FE78A5F"/>
    <w:rsid w:val="7FECA34B"/>
    <w:rsid w:val="7FEF433B"/>
    <w:rsid w:val="7FEFBAE2"/>
    <w:rsid w:val="7FEFE6B4"/>
    <w:rsid w:val="7FF58E34"/>
    <w:rsid w:val="7FF743AE"/>
    <w:rsid w:val="7FF7BE11"/>
    <w:rsid w:val="7FF7C805"/>
    <w:rsid w:val="7FF7CDDF"/>
    <w:rsid w:val="7FF82247"/>
    <w:rsid w:val="7FFAE58B"/>
    <w:rsid w:val="7FFAFA4E"/>
    <w:rsid w:val="7FFB82B3"/>
    <w:rsid w:val="7FFB856D"/>
    <w:rsid w:val="7FFBCC30"/>
    <w:rsid w:val="7FFD1453"/>
    <w:rsid w:val="7FFF23D5"/>
    <w:rsid w:val="7FFF63C1"/>
    <w:rsid w:val="7FFF9228"/>
    <w:rsid w:val="7FFFC55C"/>
    <w:rsid w:val="7FFFE0CF"/>
    <w:rsid w:val="87F68D25"/>
    <w:rsid w:val="895BE3A0"/>
    <w:rsid w:val="8ECF6D37"/>
    <w:rsid w:val="8EF715EA"/>
    <w:rsid w:val="8EFBF4FB"/>
    <w:rsid w:val="907F34B5"/>
    <w:rsid w:val="933FFCFA"/>
    <w:rsid w:val="96F9519C"/>
    <w:rsid w:val="973FAF35"/>
    <w:rsid w:val="977F7A75"/>
    <w:rsid w:val="97F6314E"/>
    <w:rsid w:val="9ADF1C69"/>
    <w:rsid w:val="9BDB68BE"/>
    <w:rsid w:val="9BF98F24"/>
    <w:rsid w:val="9DDF4455"/>
    <w:rsid w:val="9DEF567C"/>
    <w:rsid w:val="9DFF477A"/>
    <w:rsid w:val="9F4D9FD6"/>
    <w:rsid w:val="9F972545"/>
    <w:rsid w:val="9FF7BC96"/>
    <w:rsid w:val="9FF83137"/>
    <w:rsid w:val="A2FF147F"/>
    <w:rsid w:val="A5F56472"/>
    <w:rsid w:val="A9F76EFA"/>
    <w:rsid w:val="AA6F6976"/>
    <w:rsid w:val="AA7FD956"/>
    <w:rsid w:val="ACDAF51B"/>
    <w:rsid w:val="ADB794C3"/>
    <w:rsid w:val="ADBF1FD5"/>
    <w:rsid w:val="ADE32E15"/>
    <w:rsid w:val="ADEBC5FA"/>
    <w:rsid w:val="ADEE4DD0"/>
    <w:rsid w:val="AEDD86A4"/>
    <w:rsid w:val="AF0F4962"/>
    <w:rsid w:val="AF5FAF1B"/>
    <w:rsid w:val="AFFF9B46"/>
    <w:rsid w:val="B2CF050D"/>
    <w:rsid w:val="B3DE58A9"/>
    <w:rsid w:val="B3F60BF9"/>
    <w:rsid w:val="B5DE31BA"/>
    <w:rsid w:val="B6FB75EC"/>
    <w:rsid w:val="B6FE5140"/>
    <w:rsid w:val="B77F0756"/>
    <w:rsid w:val="B7AE5A38"/>
    <w:rsid w:val="B7F37CD5"/>
    <w:rsid w:val="B7F93F77"/>
    <w:rsid w:val="B7FC30E7"/>
    <w:rsid w:val="B8F7993A"/>
    <w:rsid w:val="BADD1D6F"/>
    <w:rsid w:val="BAEAB4B9"/>
    <w:rsid w:val="BB6FD15F"/>
    <w:rsid w:val="BB788985"/>
    <w:rsid w:val="BB9EE114"/>
    <w:rsid w:val="BBCF5C80"/>
    <w:rsid w:val="BBF789A5"/>
    <w:rsid w:val="BBF87021"/>
    <w:rsid w:val="BBFAFEC8"/>
    <w:rsid w:val="BBFFAB5E"/>
    <w:rsid w:val="BC79ABB9"/>
    <w:rsid w:val="BDD2022F"/>
    <w:rsid w:val="BDFD1701"/>
    <w:rsid w:val="BDFE8200"/>
    <w:rsid w:val="BDFFD6B1"/>
    <w:rsid w:val="BE56332C"/>
    <w:rsid w:val="BEB97C69"/>
    <w:rsid w:val="BED6D514"/>
    <w:rsid w:val="BEEF0F8D"/>
    <w:rsid w:val="BEF373A5"/>
    <w:rsid w:val="BF5A360F"/>
    <w:rsid w:val="BF752314"/>
    <w:rsid w:val="BF79B082"/>
    <w:rsid w:val="BF7B4854"/>
    <w:rsid w:val="BF7CE4A3"/>
    <w:rsid w:val="BF7E3E3D"/>
    <w:rsid w:val="BF8FF379"/>
    <w:rsid w:val="BFBD310E"/>
    <w:rsid w:val="BFD6F17D"/>
    <w:rsid w:val="BFD78896"/>
    <w:rsid w:val="BFDEC6AA"/>
    <w:rsid w:val="BFDFC5F7"/>
    <w:rsid w:val="BFEDD467"/>
    <w:rsid w:val="BFEE27F7"/>
    <w:rsid w:val="BFEF1E75"/>
    <w:rsid w:val="BFEF5021"/>
    <w:rsid w:val="BFF3F635"/>
    <w:rsid w:val="BFFC357E"/>
    <w:rsid w:val="BFFDD661"/>
    <w:rsid w:val="BFFF7BDA"/>
    <w:rsid w:val="BFFF8D2C"/>
    <w:rsid w:val="C4FEFAE3"/>
    <w:rsid w:val="C5FEB914"/>
    <w:rsid w:val="C7EFB94D"/>
    <w:rsid w:val="CA95E6EE"/>
    <w:rsid w:val="CCD99769"/>
    <w:rsid w:val="CDD7F189"/>
    <w:rsid w:val="CDFE2105"/>
    <w:rsid w:val="CDFF224F"/>
    <w:rsid w:val="CEFF3234"/>
    <w:rsid w:val="CFEEDE9D"/>
    <w:rsid w:val="CFF5A644"/>
    <w:rsid w:val="CFF7E2AD"/>
    <w:rsid w:val="CFF94772"/>
    <w:rsid w:val="CFFBC60C"/>
    <w:rsid w:val="D1EBF91F"/>
    <w:rsid w:val="D24F7777"/>
    <w:rsid w:val="D2D2D85E"/>
    <w:rsid w:val="D4ED01F8"/>
    <w:rsid w:val="D5DF7A31"/>
    <w:rsid w:val="D5EEB4CA"/>
    <w:rsid w:val="D7FB11D0"/>
    <w:rsid w:val="D7FBA33B"/>
    <w:rsid w:val="D7FF3FD8"/>
    <w:rsid w:val="D9AABD33"/>
    <w:rsid w:val="DA3C32C9"/>
    <w:rsid w:val="DB5DB301"/>
    <w:rsid w:val="DB6BDB2A"/>
    <w:rsid w:val="DB6F862A"/>
    <w:rsid w:val="DB7BF7B0"/>
    <w:rsid w:val="DBBFB707"/>
    <w:rsid w:val="DBE5EE26"/>
    <w:rsid w:val="DBFF45FC"/>
    <w:rsid w:val="DBFF5225"/>
    <w:rsid w:val="DCE78BCC"/>
    <w:rsid w:val="DDDF7214"/>
    <w:rsid w:val="DDEFC54D"/>
    <w:rsid w:val="DDFE7D80"/>
    <w:rsid w:val="DDFFA43F"/>
    <w:rsid w:val="DE5FF01B"/>
    <w:rsid w:val="DEBBD0E0"/>
    <w:rsid w:val="DEBF52B0"/>
    <w:rsid w:val="DEFFA212"/>
    <w:rsid w:val="DEFFEE22"/>
    <w:rsid w:val="DF7E9A01"/>
    <w:rsid w:val="DFBB0C99"/>
    <w:rsid w:val="DFCF8AC7"/>
    <w:rsid w:val="DFED83A8"/>
    <w:rsid w:val="DFEDB44C"/>
    <w:rsid w:val="DFF50B00"/>
    <w:rsid w:val="DFFE7B5B"/>
    <w:rsid w:val="E077C72D"/>
    <w:rsid w:val="E3BBB71E"/>
    <w:rsid w:val="E3E31976"/>
    <w:rsid w:val="E4379DA2"/>
    <w:rsid w:val="E5AD40FA"/>
    <w:rsid w:val="E6CCA6CD"/>
    <w:rsid w:val="E6DBDB82"/>
    <w:rsid w:val="E72F8043"/>
    <w:rsid w:val="E78F8745"/>
    <w:rsid w:val="E7B3FA24"/>
    <w:rsid w:val="E7BCA493"/>
    <w:rsid w:val="E7BE2D7C"/>
    <w:rsid w:val="E7E3691A"/>
    <w:rsid w:val="E7E890D8"/>
    <w:rsid w:val="E7EEA7E6"/>
    <w:rsid w:val="E7FF8720"/>
    <w:rsid w:val="E9FE9B59"/>
    <w:rsid w:val="EA7A7DB9"/>
    <w:rsid w:val="EAFB8255"/>
    <w:rsid w:val="EBAF9602"/>
    <w:rsid w:val="EBF9646C"/>
    <w:rsid w:val="EBFEA6EB"/>
    <w:rsid w:val="EBFFE5AA"/>
    <w:rsid w:val="ED3FBE2D"/>
    <w:rsid w:val="ED5EFE3B"/>
    <w:rsid w:val="ED9F2618"/>
    <w:rsid w:val="EDBF715C"/>
    <w:rsid w:val="EDFB9F39"/>
    <w:rsid w:val="EDFE6C09"/>
    <w:rsid w:val="EDFF411B"/>
    <w:rsid w:val="EE5F5100"/>
    <w:rsid w:val="EEBF1B43"/>
    <w:rsid w:val="EEDDE832"/>
    <w:rsid w:val="EEFB2804"/>
    <w:rsid w:val="EEFBB70D"/>
    <w:rsid w:val="EF0F8135"/>
    <w:rsid w:val="EF5549F4"/>
    <w:rsid w:val="EF7FF777"/>
    <w:rsid w:val="EFB9E7C8"/>
    <w:rsid w:val="EFCBE1E7"/>
    <w:rsid w:val="EFCF59C1"/>
    <w:rsid w:val="EFE77930"/>
    <w:rsid w:val="EFEE47FA"/>
    <w:rsid w:val="EFFC2960"/>
    <w:rsid w:val="EFFE0F68"/>
    <w:rsid w:val="EFFEAD17"/>
    <w:rsid w:val="EFFEF138"/>
    <w:rsid w:val="EFFFF184"/>
    <w:rsid w:val="F16E25C5"/>
    <w:rsid w:val="F1AE90EC"/>
    <w:rsid w:val="F2EEDB83"/>
    <w:rsid w:val="F37AD2A1"/>
    <w:rsid w:val="F3DFA8AC"/>
    <w:rsid w:val="F3FFF9CE"/>
    <w:rsid w:val="F4FB407B"/>
    <w:rsid w:val="F579320D"/>
    <w:rsid w:val="F57F9D4C"/>
    <w:rsid w:val="F5971F3D"/>
    <w:rsid w:val="F62F92CD"/>
    <w:rsid w:val="F6F5D552"/>
    <w:rsid w:val="F6FF054C"/>
    <w:rsid w:val="F76BD644"/>
    <w:rsid w:val="F7971A77"/>
    <w:rsid w:val="F7A8C266"/>
    <w:rsid w:val="F7BB640C"/>
    <w:rsid w:val="F7BE68A9"/>
    <w:rsid w:val="F7C66EF1"/>
    <w:rsid w:val="F7CF41C3"/>
    <w:rsid w:val="F7D33727"/>
    <w:rsid w:val="F7F93373"/>
    <w:rsid w:val="F7FB4D71"/>
    <w:rsid w:val="F7FD8D43"/>
    <w:rsid w:val="F7FFB14B"/>
    <w:rsid w:val="F7FFE03D"/>
    <w:rsid w:val="F8472F22"/>
    <w:rsid w:val="F8CF9959"/>
    <w:rsid w:val="F8F3BC1C"/>
    <w:rsid w:val="F8FF52E4"/>
    <w:rsid w:val="F9638F96"/>
    <w:rsid w:val="F9C76B35"/>
    <w:rsid w:val="F9F684D4"/>
    <w:rsid w:val="F9F73DCB"/>
    <w:rsid w:val="F9FBF5D1"/>
    <w:rsid w:val="FA7F9710"/>
    <w:rsid w:val="FA9F3311"/>
    <w:rsid w:val="FABFD704"/>
    <w:rsid w:val="FAF34467"/>
    <w:rsid w:val="FAF7C33B"/>
    <w:rsid w:val="FAFD6234"/>
    <w:rsid w:val="FAFE147C"/>
    <w:rsid w:val="FB3F7A6E"/>
    <w:rsid w:val="FB6F1701"/>
    <w:rsid w:val="FB7EAD6F"/>
    <w:rsid w:val="FB978593"/>
    <w:rsid w:val="FBA771D7"/>
    <w:rsid w:val="FBB74425"/>
    <w:rsid w:val="FBBB2925"/>
    <w:rsid w:val="FBDFB0B4"/>
    <w:rsid w:val="FBEDB782"/>
    <w:rsid w:val="FBF5BBB8"/>
    <w:rsid w:val="FBF74D76"/>
    <w:rsid w:val="FBFBFE67"/>
    <w:rsid w:val="FBFD03BA"/>
    <w:rsid w:val="FBFD46FB"/>
    <w:rsid w:val="FBFE01E6"/>
    <w:rsid w:val="FBFEF9F6"/>
    <w:rsid w:val="FCBFB822"/>
    <w:rsid w:val="FCF684CF"/>
    <w:rsid w:val="FD0F77CD"/>
    <w:rsid w:val="FD5E4987"/>
    <w:rsid w:val="FD6C0995"/>
    <w:rsid w:val="FD7D2860"/>
    <w:rsid w:val="FDBB8677"/>
    <w:rsid w:val="FDDFC1B3"/>
    <w:rsid w:val="FDEDB430"/>
    <w:rsid w:val="FDF7A99C"/>
    <w:rsid w:val="FDFEA37A"/>
    <w:rsid w:val="FE6D475B"/>
    <w:rsid w:val="FE737DDA"/>
    <w:rsid w:val="FE7BDE71"/>
    <w:rsid w:val="FE7DA78B"/>
    <w:rsid w:val="FE7E1246"/>
    <w:rsid w:val="FE7EF5A3"/>
    <w:rsid w:val="FEAFA7D6"/>
    <w:rsid w:val="FEB62F5D"/>
    <w:rsid w:val="FEB7CC69"/>
    <w:rsid w:val="FEBFB4F2"/>
    <w:rsid w:val="FEDA1DD4"/>
    <w:rsid w:val="FEDDB17B"/>
    <w:rsid w:val="FEDDC4A8"/>
    <w:rsid w:val="FEE42DB0"/>
    <w:rsid w:val="FEEB5CA1"/>
    <w:rsid w:val="FEEED0CA"/>
    <w:rsid w:val="FEFAC69A"/>
    <w:rsid w:val="FEFDCFF2"/>
    <w:rsid w:val="FEFF1E56"/>
    <w:rsid w:val="FF16BE9F"/>
    <w:rsid w:val="FF264B95"/>
    <w:rsid w:val="FF36BAA8"/>
    <w:rsid w:val="FF379CE3"/>
    <w:rsid w:val="FF4925AB"/>
    <w:rsid w:val="FF4FD6D6"/>
    <w:rsid w:val="FF577302"/>
    <w:rsid w:val="FF66B976"/>
    <w:rsid w:val="FF7565E5"/>
    <w:rsid w:val="FF77F20F"/>
    <w:rsid w:val="FF7A0875"/>
    <w:rsid w:val="FF7A7D74"/>
    <w:rsid w:val="FF7F358F"/>
    <w:rsid w:val="FF7FD4AD"/>
    <w:rsid w:val="FF8CCF80"/>
    <w:rsid w:val="FF95E222"/>
    <w:rsid w:val="FF9D6033"/>
    <w:rsid w:val="FF9F7678"/>
    <w:rsid w:val="FF9FA066"/>
    <w:rsid w:val="FFA5B259"/>
    <w:rsid w:val="FFA73509"/>
    <w:rsid w:val="FFA76E1B"/>
    <w:rsid w:val="FFAA9504"/>
    <w:rsid w:val="FFACB205"/>
    <w:rsid w:val="FFAFE557"/>
    <w:rsid w:val="FFB38CBF"/>
    <w:rsid w:val="FFB5116B"/>
    <w:rsid w:val="FFB65612"/>
    <w:rsid w:val="FFBE551B"/>
    <w:rsid w:val="FFBF3724"/>
    <w:rsid w:val="FFCED12E"/>
    <w:rsid w:val="FFCF32D5"/>
    <w:rsid w:val="FFD64388"/>
    <w:rsid w:val="FFDC1563"/>
    <w:rsid w:val="FFE3D3C7"/>
    <w:rsid w:val="FFE5EBF4"/>
    <w:rsid w:val="FFEB962A"/>
    <w:rsid w:val="FFF27951"/>
    <w:rsid w:val="FFF6E29A"/>
    <w:rsid w:val="FFFAFF3A"/>
    <w:rsid w:val="FFFB4525"/>
    <w:rsid w:val="FFFD48A8"/>
    <w:rsid w:val="FFFD4F5A"/>
    <w:rsid w:val="FFFD70C0"/>
    <w:rsid w:val="FFFE0947"/>
    <w:rsid w:val="FFFE2EFB"/>
    <w:rsid w:val="FFFE4E74"/>
    <w:rsid w:val="FFFF30BB"/>
    <w:rsid w:val="FFFF7B92"/>
    <w:rsid w:val="FFFFAECD"/>
    <w:rsid w:val="FFFFBE1B"/>
    <w:rsid w:val="FFFFF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customStyle="1" w:styleId="20">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60469a95-7298-4a6e-b42a-3f8caf0950c0</errorID>
      <errorWord xmlns="http://schemas.wps.cn/vas-ai-hub/contract-review">免申即享</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“免申即享”</item>
      </candidateList>
      <explain xmlns="http://schemas.wps.cn/vas-ai-hub/contract-review">注意检查当前固定表述标点是否使用规范。</explain>
      <paraID xmlns="http://schemas.wps.cn/vas-ai-hub/contract-review">6819A958</paraID>
      <start xmlns="http://schemas.wps.cn/vas-ai-hub/contract-review">52</start>
      <end xmlns="http://schemas.wps.cn/vas-ai-hub/contract-review">58</end>
      <status xmlns="http://schemas.wps.cn/vas-ai-hub/contract-review">modified</status>
      <modifiedWord xmlns="http://schemas.wps.cn/vas-ai-hub/contract-review">“免申即享”</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4daf9-3e8c-4238-88df-a37df19a5f49}">
  <ds:schemaRefs/>
</ds:datastoreItem>
</file>

<file path=docProps/app.xml><?xml version="1.0" encoding="utf-8"?>
<Properties xmlns="http://schemas.openxmlformats.org/officeDocument/2006/extended-properties" xmlns:vt="http://schemas.openxmlformats.org/officeDocument/2006/docPropsVTypes">
  <Pages>6</Pages>
  <Words>2673</Words>
  <Characters>2768</Characters>
  <TotalTime>115</TotalTime>
  <ScaleCrop>false</ScaleCrop>
  <LinksUpToDate>false</LinksUpToDate>
  <CharactersWithSpaces>2768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2026-02-24T18:40:00Z</dcterms:created>
  <dc:creator>Apache POI</dc:creator>
  <cp:lastModifiedBy>微言</cp:lastModifiedBy>
  <cp:lastPrinted>2026-04-16T01:39:33Z</cp:lastPrinted>
  <dcterms:modified xsi:type="dcterms:W3CDTF">2026-04-16T01:39:37Z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eyJoZGlkIjoiZjMxYTZhNTdiMWE1MzYwMmE4NjdkMWVmOTc5MmQ2MDQiLCJ1c2VySWQiOiIzMDk2MTIwMTQifQ==</vt:lpwstr>
  </property>
  <property fmtid="{D5CDD505-2E9C-101B-9397-08002B2CF9AE}" pid="3" name="KSOProductBuildVer">
    <vt:lpwstr>2052-12.1.0.25225</vt:lpwstr>
  </property>
  <property fmtid="{D5CDD505-2E9C-101B-9397-08002B2CF9AE}" pid="4" name="ICV">
    <vt:lpwstr>65B3F230EAE14388A5FAA7FFE968A332_13</vt:lpwstr>
  </property>
  <property fmtid="{D5CDD505-2E9C-101B-9397-08002B2CF9AE}" pid="5" name="标题_1">
    <vt:lpwstr>夷陵区支持包装产业高质量发展的若干政策措施（征求意见稿）</vt:lpwstr>
  </property>
</Properties>
</file>