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D7BB">
      <w:pPr>
        <w:pStyle w:val="5"/>
        <w:keepNext w:val="0"/>
        <w:keepLines w:val="0"/>
        <w:pageBreakBefore w:val="0"/>
        <w:widowControl w:val="0"/>
        <w:tabs>
          <w:tab w:val="left" w:pos="3780"/>
        </w:tabs>
        <w:kinsoku/>
        <w:wordWrap/>
        <w:overflowPunct w:val="0"/>
        <w:topLinePunct/>
        <w:autoSpaceDE/>
        <w:autoSpaceDN/>
        <w:bidi w:val="0"/>
        <w:spacing w:line="520" w:lineRule="exact"/>
        <w:jc w:val="both"/>
        <w:rPr>
          <w:rFonts w:hint="eastAsia" w:ascii="国标黑体" w:hAnsi="国标黑体" w:eastAsia="国标黑体" w:cs="国标黑体"/>
          <w:color w:val="000000" w:themeColor="text1"/>
          <w:sz w:val="32"/>
          <w:szCs w:val="32"/>
          <w:lang w:eastAsia="zh-CN"/>
          <w14:textFill>
            <w14:solidFill>
              <w14:schemeClr w14:val="tx1"/>
            </w14:solidFill>
          </w14:textFill>
        </w:rPr>
      </w:pPr>
      <w:bookmarkStart w:id="0" w:name="_GoBack"/>
      <w:bookmarkEnd w:id="0"/>
      <w:r>
        <w:rPr>
          <w:rFonts w:hint="eastAsia" w:ascii="国标黑体" w:hAnsi="国标黑体" w:eastAsia="国标黑体" w:cs="国标黑体"/>
          <w:color w:val="000000" w:themeColor="text1"/>
          <w:sz w:val="32"/>
          <w:szCs w:val="32"/>
          <w:lang w:eastAsia="zh-CN"/>
          <w14:textFill>
            <w14:solidFill>
              <w14:schemeClr w14:val="tx1"/>
            </w14:solidFill>
          </w14:textFill>
        </w:rPr>
        <w:t>附件</w:t>
      </w:r>
    </w:p>
    <w:p w14:paraId="733A974C">
      <w:pPr>
        <w:pStyle w:val="5"/>
        <w:keepNext w:val="0"/>
        <w:keepLines w:val="0"/>
        <w:pageBreakBefore w:val="0"/>
        <w:widowControl w:val="0"/>
        <w:tabs>
          <w:tab w:val="left" w:pos="3780"/>
        </w:tabs>
        <w:kinsoku/>
        <w:wordWrap/>
        <w:overflowPunct w:val="0"/>
        <w:topLinePunct/>
        <w:autoSpaceDE/>
        <w:autoSpaceDN/>
        <w:bidi w:val="0"/>
        <w:spacing w:line="5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夷陵区输变电工程项目EPC建设模式</w:t>
      </w:r>
    </w:p>
    <w:p w14:paraId="04BACB55">
      <w:pPr>
        <w:pStyle w:val="5"/>
        <w:keepNext w:val="0"/>
        <w:keepLines w:val="0"/>
        <w:pageBreakBefore w:val="0"/>
        <w:widowControl w:val="0"/>
        <w:tabs>
          <w:tab w:val="left" w:pos="3780"/>
        </w:tabs>
        <w:kinsoku/>
        <w:wordWrap/>
        <w:overflowPunct w:val="0"/>
        <w:topLinePunct/>
        <w:autoSpaceDE/>
        <w:autoSpaceDN/>
        <w:bidi w:val="0"/>
        <w:spacing w:line="520" w:lineRule="exact"/>
        <w:jc w:val="center"/>
        <w:rPr>
          <w:rFonts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招投标</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评分办法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（试行）</w:t>
      </w:r>
    </w:p>
    <w:p w14:paraId="35048863">
      <w:pPr>
        <w:keepNext w:val="0"/>
        <w:keepLines w:val="0"/>
        <w:pageBreakBefore w:val="0"/>
        <w:widowControl w:val="0"/>
        <w:suppressAutoHyphens/>
        <w:kinsoku/>
        <w:wordWrap/>
        <w:overflowPunct w:val="0"/>
        <w:topLinePunct/>
        <w:autoSpaceDE/>
        <w:autoSpaceDN/>
        <w:bidi w:val="0"/>
        <w:adjustRightInd/>
        <w:snapToGrid/>
        <w:spacing w:line="520" w:lineRule="exact"/>
        <w:jc w:val="center"/>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14:paraId="240357B2">
      <w:pPr>
        <w:keepNext w:val="0"/>
        <w:keepLines w:val="0"/>
        <w:pageBreakBefore w:val="0"/>
        <w:widowControl w:val="0"/>
        <w:suppressAutoHyphens/>
        <w:kinsoku/>
        <w:wordWrap/>
        <w:overflowPunct w:val="0"/>
        <w:topLinePunct/>
        <w:autoSpaceDE/>
        <w:autoSpaceDN/>
        <w:bidi w:val="0"/>
        <w:adjustRightInd/>
        <w:snapToGrid/>
        <w:spacing w:line="520" w:lineRule="exact"/>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p>
    <w:p w14:paraId="2A58652F">
      <w:pPr>
        <w:keepNext w:val="0"/>
        <w:keepLines w:val="0"/>
        <w:pageBreakBefore w:val="0"/>
        <w:widowControl w:val="0"/>
        <w:kinsoku/>
        <w:wordWrap/>
        <w:overflowPunct w:val="0"/>
        <w:topLinePunct/>
        <w:autoSpaceDE/>
        <w:autoSpaceDN/>
        <w:bidi w:val="0"/>
        <w:adjustRightInd w:val="0"/>
        <w:snapToGrid w:val="0"/>
        <w:spacing w:line="520" w:lineRule="exact"/>
        <w:ind w:firstLine="640" w:firstLineChars="200"/>
        <w:jc w:val="both"/>
        <w:textAlignment w:val="baseline"/>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一</w:t>
      </w:r>
      <w:r>
        <w:rPr>
          <w:rFonts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eastAsia="zh-CN"/>
          <w14:textFill>
            <w14:solidFill>
              <w14:schemeClr w14:val="tx1"/>
            </w14:solidFill>
          </w14:textFill>
        </w:rPr>
        <w:t xml:space="preserve"> </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为进一步规范夷陵区范围内输变电工程项目工程总承包建设模式招投标相关活动，根据《中华人民共和国招标投标法》《中华人民共和国招标投标法实施条例》等法律法规和有关文件精神，结合我区实际，制定本办法。</w:t>
      </w:r>
    </w:p>
    <w:p w14:paraId="17B0CECF">
      <w:pPr>
        <w:pStyle w:val="5"/>
        <w:keepNext w:val="0"/>
        <w:keepLines w:val="0"/>
        <w:pageBreakBefore w:val="0"/>
        <w:widowControl w:val="0"/>
        <w:tabs>
          <w:tab w:val="left" w:pos="3780"/>
        </w:tabs>
        <w:kinsoku/>
        <w:wordWrap/>
        <w:overflowPunct w:val="0"/>
        <w:topLinePunct/>
        <w:autoSpaceDE/>
        <w:autoSpaceDN/>
        <w:bidi w:val="0"/>
        <w:adjustRightInd w:val="0"/>
        <w:snapToGrid w:val="0"/>
        <w:spacing w:line="520" w:lineRule="exact"/>
        <w:ind w:firstLine="619"/>
        <w:jc w:val="both"/>
        <w:textAlignment w:val="baseline"/>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w:t>
      </w:r>
      <w:r>
        <w:rPr>
          <w:rFonts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eastAsia="zh-CN"/>
          <w14:textFill>
            <w14:solidFill>
              <w14:schemeClr w14:val="tx1"/>
            </w14:solidFill>
          </w14:textFill>
        </w:rPr>
        <w:t xml:space="preserve"> </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夷陵区范围内依法必须进行招标且全部或者部分使用国有资金的输变电工程，拟采用设计施工总承包（EPC）建设模式招标的(以下简称招标项目),适用本办法（由国家电网有限公司代建和自建的项目按国家电网有限公司相关规定执行）。</w:t>
      </w:r>
    </w:p>
    <w:p w14:paraId="3F416901">
      <w:pPr>
        <w:pStyle w:val="5"/>
        <w:keepNext w:val="0"/>
        <w:keepLines w:val="0"/>
        <w:pageBreakBefore w:val="0"/>
        <w:widowControl w:val="0"/>
        <w:kinsoku/>
        <w:wordWrap/>
        <w:overflowPunct w:val="0"/>
        <w:topLinePunct/>
        <w:autoSpaceDE/>
        <w:autoSpaceDN/>
        <w:bidi w:val="0"/>
        <w:spacing w:line="520" w:lineRule="exact"/>
        <w:ind w:firstLine="619"/>
        <w:jc w:val="both"/>
        <w:rPr>
          <w:rFonts w:hint="eastAsia" w:ascii="仿宋GB2312" w:hAnsi="仿宋GB2312" w:eastAsia="仿宋GB2312" w:cs="仿宋GB2312"/>
          <w:color w:val="000000" w:themeColor="text1"/>
          <w:sz w:val="32"/>
          <w:szCs w:val="32"/>
          <w:lang w:val="en-US"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三</w:t>
      </w:r>
      <w:r>
        <w:rPr>
          <w:rFonts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eastAsia="zh-CN"/>
          <w14:textFill>
            <w14:solidFill>
              <w14:schemeClr w14:val="tx1"/>
            </w14:solidFill>
          </w14:textFill>
        </w:rPr>
        <w:t xml:space="preserve"> </w:t>
      </w:r>
      <w:r>
        <w:rPr>
          <w:rFonts w:hint="eastAsia" w:ascii="仿宋GB2312" w:hAnsi="仿宋GB2312" w:eastAsia="仿宋GB2312" w:cs="仿宋GB2312"/>
          <w:color w:val="000000" w:themeColor="text1"/>
          <w:sz w:val="32"/>
          <w:szCs w:val="32"/>
          <w:lang w:eastAsia="zh-CN"/>
          <w14:textFill>
            <w14:solidFill>
              <w14:schemeClr w14:val="tx1"/>
            </w14:solidFill>
          </w14:textFill>
        </w:rPr>
        <w:t>1000万元以下（初设概算投资，下同）的输变电工程项目不宜采用设计</w:t>
      </w:r>
      <w:r>
        <w:rPr>
          <w:rFonts w:hint="eastAsia" w:ascii="仿宋GB2312" w:hAnsi="仿宋GB2312" w:eastAsia="仿宋GB2312" w:cs="仿宋GB2312"/>
          <w:color w:val="000000" w:themeColor="text1"/>
          <w:sz w:val="32"/>
          <w:szCs w:val="32"/>
          <w14:textFill>
            <w14:solidFill>
              <w14:schemeClr w14:val="tx1"/>
            </w14:solidFill>
          </w14:textFill>
        </w:rPr>
        <w:t>施工</w:t>
      </w:r>
      <w:r>
        <w:rPr>
          <w:rFonts w:hint="eastAsia" w:ascii="仿宋GB2312" w:hAnsi="仿宋GB2312" w:eastAsia="仿宋GB2312" w:cs="仿宋GB2312"/>
          <w:color w:val="000000" w:themeColor="text1"/>
          <w:sz w:val="32"/>
          <w:szCs w:val="32"/>
          <w:lang w:eastAsia="zh-CN"/>
          <w14:textFill>
            <w14:solidFill>
              <w14:schemeClr w14:val="tx1"/>
            </w14:solidFill>
          </w14:textFill>
        </w:rPr>
        <w:t>总承包（</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EPC</w:t>
      </w:r>
      <w:r>
        <w:rPr>
          <w:rFonts w:hint="eastAsia" w:ascii="仿宋GB2312" w:hAnsi="仿宋GB2312" w:eastAsia="仿宋GB2312" w:cs="仿宋GB2312"/>
          <w:color w:val="000000" w:themeColor="text1"/>
          <w:sz w:val="32"/>
          <w:szCs w:val="32"/>
          <w:lang w:eastAsia="zh-CN"/>
          <w14:textFill>
            <w14:solidFill>
              <w14:schemeClr w14:val="tx1"/>
            </w14:solidFill>
          </w14:textFill>
        </w:rPr>
        <w:t>）模式招标，1000万元以上的输变电工程项目招标人可自由选择是否采用设计</w:t>
      </w:r>
      <w:r>
        <w:rPr>
          <w:rFonts w:hint="eastAsia" w:ascii="仿宋GB2312" w:hAnsi="仿宋GB2312" w:eastAsia="仿宋GB2312" w:cs="仿宋GB2312"/>
          <w:color w:val="000000" w:themeColor="text1"/>
          <w:sz w:val="32"/>
          <w:szCs w:val="32"/>
          <w14:textFill>
            <w14:solidFill>
              <w14:schemeClr w14:val="tx1"/>
            </w14:solidFill>
          </w14:textFill>
        </w:rPr>
        <w:t>施工</w:t>
      </w:r>
      <w:r>
        <w:rPr>
          <w:rFonts w:hint="eastAsia" w:ascii="仿宋GB2312" w:hAnsi="仿宋GB2312" w:eastAsia="仿宋GB2312" w:cs="仿宋GB2312"/>
          <w:color w:val="000000" w:themeColor="text1"/>
          <w:sz w:val="32"/>
          <w:szCs w:val="32"/>
          <w:lang w:eastAsia="zh-CN"/>
          <w14:textFill>
            <w14:solidFill>
              <w14:schemeClr w14:val="tx1"/>
            </w14:solidFill>
          </w14:textFill>
        </w:rPr>
        <w:t>总承包（</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EPC</w:t>
      </w:r>
      <w:r>
        <w:rPr>
          <w:rFonts w:hint="eastAsia" w:ascii="仿宋GB2312" w:hAnsi="仿宋GB2312" w:eastAsia="仿宋GB2312" w:cs="仿宋GB2312"/>
          <w:color w:val="000000" w:themeColor="text1"/>
          <w:sz w:val="32"/>
          <w:szCs w:val="32"/>
          <w:lang w:eastAsia="zh-CN"/>
          <w14:textFill>
            <w14:solidFill>
              <w14:schemeClr w14:val="tx1"/>
            </w14:solidFill>
          </w14:textFill>
        </w:rPr>
        <w:t>）建设模式招标</w:t>
      </w:r>
      <w:r>
        <w:rPr>
          <w:rFonts w:hint="eastAsia" w:ascii="仿宋GB2312" w:hAnsi="仿宋GB2312" w:eastAsia="仿宋GB2312" w:cs="仿宋GB2312"/>
          <w:color w:val="000000" w:themeColor="text1"/>
          <w:sz w:val="32"/>
          <w:szCs w:val="32"/>
          <w14:textFill>
            <w14:solidFill>
              <w14:schemeClr w14:val="tx1"/>
            </w14:solidFill>
          </w14:textFill>
        </w:rPr>
        <w:t>。</w:t>
      </w:r>
    </w:p>
    <w:p w14:paraId="28208208">
      <w:pPr>
        <w:pStyle w:val="5"/>
        <w:keepNext w:val="0"/>
        <w:keepLines w:val="0"/>
        <w:pageBreakBefore w:val="0"/>
        <w:widowControl w:val="0"/>
        <w:kinsoku/>
        <w:wordWrap/>
        <w:overflowPunct w:val="0"/>
        <w:topLinePunct/>
        <w:autoSpaceDE/>
        <w:autoSpaceDN/>
        <w:bidi w:val="0"/>
        <w:spacing w:line="520" w:lineRule="exact"/>
        <w:ind w:firstLine="619"/>
        <w:jc w:val="both"/>
        <w:rPr>
          <w:rFonts w:hint="eastAsia" w:ascii="仿宋GB2312" w:hAnsi="仿宋GB2312" w:eastAsia="仿宋GB2312" w:cs="仿宋GB2312"/>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w:t>
      </w:r>
      <w:r>
        <w:rPr>
          <w:rFonts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eastAsia="zh-CN"/>
          <w14:textFill>
            <w14:solidFill>
              <w14:schemeClr w14:val="tx1"/>
            </w14:solidFill>
          </w14:textFill>
        </w:rPr>
        <w:t xml:space="preserve"> </w:t>
      </w:r>
      <w:r>
        <w:rPr>
          <w:rFonts w:hint="eastAsia" w:ascii="仿宋GB2312" w:hAnsi="仿宋GB2312" w:eastAsia="仿宋GB2312" w:cs="仿宋GB2312"/>
          <w:color w:val="000000" w:themeColor="text1"/>
          <w:sz w:val="32"/>
          <w:szCs w:val="32"/>
          <w:lang w:eastAsia="zh-CN"/>
          <w14:textFill>
            <w14:solidFill>
              <w14:schemeClr w14:val="tx1"/>
            </w14:solidFill>
          </w14:textFill>
        </w:rPr>
        <w:t>输变电工程设计施工总承包（</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EPC</w:t>
      </w:r>
      <w:r>
        <w:rPr>
          <w:rFonts w:hint="eastAsia" w:ascii="仿宋GB2312" w:hAnsi="仿宋GB2312" w:eastAsia="仿宋GB2312" w:cs="仿宋GB2312"/>
          <w:color w:val="000000" w:themeColor="text1"/>
          <w:sz w:val="32"/>
          <w:szCs w:val="32"/>
          <w:lang w:eastAsia="zh-CN"/>
          <w14:textFill>
            <w14:solidFill>
              <w14:schemeClr w14:val="tx1"/>
            </w14:solidFill>
          </w14:textFill>
        </w:rPr>
        <w:t>）项目评标办法以综合评估法为主，按项目规模（1000万（含）- 5000万元（不含）、≥5000万元）设定差异化评审标准。原则上接受联合体投标，联合体中设计方需具备电力行业相应设计资质、施工方需具备输变电工程施工相应资质，联合体协议中需明确电力专业分工及责任主体。</w:t>
      </w:r>
    </w:p>
    <w:p w14:paraId="7DA1D59F">
      <w:pPr>
        <w:keepNext w:val="0"/>
        <w:keepLines w:val="0"/>
        <w:pageBreakBefore w:val="0"/>
        <w:widowControl w:val="0"/>
        <w:suppressLineNumbers w:val="0"/>
        <w:kinsoku/>
        <w:wordWrap/>
        <w:overflowPunct w:val="0"/>
        <w:topLinePunct/>
        <w:autoSpaceDE/>
        <w:autoSpaceDN/>
        <w:bidi w:val="0"/>
        <w:adjustRightInd w:val="0"/>
        <w:snapToGrid w:val="0"/>
        <w:spacing w:line="520" w:lineRule="exact"/>
        <w:ind w:firstLine="640" w:firstLineChars="200"/>
        <w:jc w:val="both"/>
        <w:textAlignment w:val="baseline"/>
        <w:rPr>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z w:val="32"/>
          <w:szCs w:val="32"/>
          <w:lang w:val="en-US" w:eastAsia="zh-CN" w:bidi="ar-SA"/>
          <w14:textFill>
            <w14:solidFill>
              <w14:schemeClr w14:val="tx1"/>
            </w14:solidFill>
          </w14:textFill>
        </w:rPr>
        <w:t>五</w:t>
      </w:r>
      <w:r>
        <w:rPr>
          <w:rFonts w:hint="eastAsia" w:ascii="黑体" w:hAnsi="黑体" w:eastAsia="黑体" w:cs="黑体"/>
          <w:snapToGrid w:val="0"/>
          <w:color w:val="000000" w:themeColor="text1"/>
          <w:sz w:val="32"/>
          <w:szCs w:val="32"/>
          <w:lang w:val="en-US" w:eastAsia="en-US" w:bidi="ar-SA"/>
          <w14:textFill>
            <w14:solidFill>
              <w14:schemeClr w14:val="tx1"/>
            </w14:solidFill>
          </w14:textFill>
        </w:rPr>
        <w:t>条</w:t>
      </w:r>
      <w:r>
        <w:rPr>
          <w:rFonts w:hint="eastAsia" w:ascii="仿宋" w:hAnsi="仿宋" w:eastAsia="仿宋" w:cs="仿宋"/>
          <w:snapToGrid w:val="0"/>
          <w:color w:val="000000" w:themeColor="text1"/>
          <w:sz w:val="32"/>
          <w:szCs w:val="32"/>
          <w:lang w:val="en-US" w:eastAsia="en-US" w:bidi="ar-SA"/>
          <w14:textFill>
            <w14:solidFill>
              <w14:schemeClr w14:val="tx1"/>
            </w14:solidFill>
          </w14:textFill>
        </w:rPr>
        <w:t xml:space="preserve"> 按照工程总承包管理办法及相关配套文件</w:t>
      </w:r>
      <w:r>
        <w:rPr>
          <w:rFonts w:hint="eastAsia" w:ascii="仿宋" w:hAnsi="仿宋" w:eastAsia="仿宋" w:cs="仿宋"/>
          <w:snapToGrid w:val="0"/>
          <w:color w:val="000000" w:themeColor="text1"/>
          <w:sz w:val="32"/>
          <w:szCs w:val="32"/>
          <w:lang w:val="en-US" w:eastAsia="zh-CN" w:bidi="ar-SA"/>
          <w14:textFill>
            <w14:solidFill>
              <w14:schemeClr w14:val="tx1"/>
            </w14:solidFill>
          </w14:textFill>
        </w:rPr>
        <w:t>要求，</w:t>
      </w:r>
      <w:r>
        <w:rPr>
          <w:rFonts w:hint="eastAsia" w:ascii="仿宋" w:hAnsi="仿宋" w:eastAsia="仿宋" w:cs="仿宋"/>
          <w:snapToGrid w:val="0"/>
          <w:color w:val="000000" w:themeColor="text1"/>
          <w:sz w:val="32"/>
          <w:szCs w:val="32"/>
          <w:lang w:val="en-US" w:eastAsia="en-US" w:bidi="ar-SA"/>
          <w14:textFill>
            <w14:solidFill>
              <w14:schemeClr w14:val="tx1"/>
            </w14:solidFill>
          </w14:textFill>
        </w:rPr>
        <w:t>招标人</w:t>
      </w:r>
      <w:r>
        <w:rPr>
          <w:rFonts w:hint="eastAsia" w:ascii="仿宋" w:hAnsi="仿宋" w:eastAsia="仿宋" w:cs="仿宋"/>
          <w:snapToGrid w:val="0"/>
          <w:color w:val="000000" w:themeColor="text1"/>
          <w:sz w:val="32"/>
          <w:szCs w:val="32"/>
          <w:lang w:val="en-US" w:eastAsia="zh-CN" w:bidi="ar-SA"/>
          <w14:textFill>
            <w14:solidFill>
              <w14:schemeClr w14:val="tx1"/>
            </w14:solidFill>
          </w14:textFill>
        </w:rPr>
        <w:t>原则上</w:t>
      </w:r>
      <w:r>
        <w:rPr>
          <w:rFonts w:hint="eastAsia" w:ascii="仿宋" w:hAnsi="仿宋" w:eastAsia="仿宋" w:cs="仿宋"/>
          <w:snapToGrid w:val="0"/>
          <w:color w:val="000000" w:themeColor="text1"/>
          <w:sz w:val="32"/>
          <w:szCs w:val="32"/>
          <w:lang w:val="en-US" w:eastAsia="en-US" w:bidi="ar-SA"/>
          <w14:textFill>
            <w14:solidFill>
              <w14:schemeClr w14:val="tx1"/>
            </w14:solidFill>
          </w14:textFill>
        </w:rPr>
        <w:t>应</w:t>
      </w:r>
      <w:r>
        <w:rPr>
          <w:rFonts w:hint="eastAsia" w:ascii="仿宋" w:hAnsi="仿宋" w:eastAsia="仿宋" w:cs="仿宋"/>
          <w:snapToGrid w:val="0"/>
          <w:color w:val="000000" w:themeColor="text1"/>
          <w:sz w:val="32"/>
          <w:szCs w:val="32"/>
          <w:lang w:val="en-US" w:eastAsia="zh-CN" w:bidi="ar-SA"/>
          <w14:textFill>
            <w14:solidFill>
              <w14:schemeClr w14:val="tx1"/>
            </w14:solidFill>
          </w14:textFill>
        </w:rPr>
        <w:t>采用经批复的初步设计概算为预算评审依据，根据评审结论合理设置</w:t>
      </w:r>
      <w:r>
        <w:rPr>
          <w:rFonts w:ascii="仿宋" w:hAnsi="仿宋" w:eastAsia="仿宋" w:cs="仿宋"/>
          <w:snapToGrid w:val="0"/>
          <w:color w:val="000000" w:themeColor="text1"/>
          <w:sz w:val="32"/>
          <w:szCs w:val="32"/>
          <w:lang w:val="en-US" w:eastAsia="en-US" w:bidi="ar-SA"/>
          <w14:textFill>
            <w14:solidFill>
              <w14:schemeClr w14:val="tx1"/>
            </w14:solidFill>
          </w14:textFill>
        </w:rPr>
        <w:t>最高投标限价</w:t>
      </w:r>
      <w:r>
        <w:rPr>
          <w:rFonts w:hint="eastAsia" w:ascii="仿宋" w:hAnsi="仿宋" w:eastAsia="仿宋" w:cs="仿宋"/>
          <w:snapToGrid w:val="0"/>
          <w:color w:val="000000" w:themeColor="text1"/>
          <w:sz w:val="32"/>
          <w:szCs w:val="32"/>
          <w:lang w:val="en-US" w:eastAsia="zh-CN" w:bidi="ar-SA"/>
          <w14:textFill>
            <w14:solidFill>
              <w14:schemeClr w14:val="tx1"/>
            </w14:solidFill>
          </w14:textFill>
        </w:rPr>
        <w:t>，不得采用下浮率和模拟清单招标</w:t>
      </w:r>
      <w:r>
        <w:rPr>
          <w:rFonts w:ascii="仿宋" w:hAnsi="仿宋" w:eastAsia="仿宋" w:cs="仿宋"/>
          <w:snapToGrid w:val="0"/>
          <w:color w:val="000000" w:themeColor="text1"/>
          <w:sz w:val="32"/>
          <w:szCs w:val="32"/>
          <w:lang w:val="en-US" w:eastAsia="en-US" w:bidi="ar-SA"/>
          <w14:textFill>
            <w14:solidFill>
              <w14:schemeClr w14:val="tx1"/>
            </w14:solidFill>
          </w14:textFill>
        </w:rPr>
        <w:t>。</w:t>
      </w:r>
      <w:r>
        <w:rPr>
          <w:rFonts w:ascii="仿宋" w:hAnsi="仿宋" w:eastAsia="仿宋" w:cs="仿宋"/>
          <w:snapToGrid w:val="0"/>
          <w:color w:val="000000" w:themeColor="text1"/>
          <w:sz w:val="32"/>
          <w:szCs w:val="32"/>
          <w:lang w:val="en-US" w:eastAsia="zh-CN" w:bidi="ar-SA"/>
          <w14:textFill>
            <w14:solidFill>
              <w14:schemeClr w14:val="tx1"/>
            </w14:solidFill>
          </w14:textFill>
        </w:rPr>
        <w:t>最高投标限价中需单独列明电力设备、主材的费用占比及限价标准，</w:t>
      </w:r>
      <w:r>
        <w:rPr>
          <w:rFonts w:hint="eastAsia" w:ascii="仿宋" w:hAnsi="仿宋" w:eastAsia="仿宋" w:cs="仿宋"/>
          <w:snapToGrid w:val="0"/>
          <w:color w:val="000000" w:themeColor="text1"/>
          <w:sz w:val="32"/>
          <w:szCs w:val="32"/>
          <w:lang w:val="en-US" w:eastAsia="zh-CN" w:bidi="ar-SA"/>
          <w14:textFill>
            <w14:solidFill>
              <w14:schemeClr w14:val="tx1"/>
            </w14:solidFill>
          </w14:textFill>
        </w:rPr>
        <w:t>应</w:t>
      </w:r>
      <w:r>
        <w:rPr>
          <w:rFonts w:ascii="仿宋" w:hAnsi="仿宋" w:eastAsia="仿宋" w:cs="仿宋"/>
          <w:snapToGrid w:val="0"/>
          <w:color w:val="000000" w:themeColor="text1"/>
          <w:sz w:val="32"/>
          <w:szCs w:val="32"/>
          <w:lang w:val="en-US" w:eastAsia="zh-CN" w:bidi="ar-SA"/>
          <w14:textFill>
            <w14:solidFill>
              <w14:schemeClr w14:val="tx1"/>
            </w14:solidFill>
          </w14:textFill>
        </w:rPr>
        <w:t>符合电力行业定额要求。</w:t>
      </w:r>
    </w:p>
    <w:p w14:paraId="66540994">
      <w:pPr>
        <w:pStyle w:val="5"/>
        <w:keepNext w:val="0"/>
        <w:keepLines w:val="0"/>
        <w:pageBreakBefore w:val="0"/>
        <w:widowControl w:val="0"/>
        <w:kinsoku/>
        <w:wordWrap/>
        <w:overflowPunct w:val="0"/>
        <w:topLinePunct/>
        <w:autoSpaceDE/>
        <w:autoSpaceDN/>
        <w:bidi w:val="0"/>
        <w:spacing w:line="520" w:lineRule="exact"/>
        <w:ind w:firstLine="594"/>
        <w:jc w:val="both"/>
        <w:rPr>
          <w:rFonts w:hint="eastAsia" w:ascii="仿宋GB2312" w:hAnsi="仿宋GB2312" w:eastAsia="仿宋GB2312" w:cs="仿宋GB2312"/>
          <w:color w:val="000000" w:themeColor="text1"/>
          <w:sz w:val="32"/>
          <w:szCs w:val="32"/>
          <w:lang w:eastAsia="zh-CN"/>
          <w14:textFill>
            <w14:solidFill>
              <w14:schemeClr w14:val="tx1"/>
            </w14:solidFill>
          </w14:textFill>
        </w:rPr>
      </w:pPr>
      <w:r>
        <w:rPr>
          <w:rFonts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六</w:t>
      </w:r>
      <w:r>
        <w:rPr>
          <w:rFonts w:ascii="黑体" w:hAnsi="黑体" w:eastAsia="黑体" w:cs="黑体"/>
          <w:bCs/>
          <w:color w:val="000000" w:themeColor="text1"/>
          <w:sz w:val="32"/>
          <w:szCs w:val="32"/>
          <w14:textFill>
            <w14:solidFill>
              <w14:schemeClr w14:val="tx1"/>
            </w14:solidFill>
          </w14:textFill>
        </w:rPr>
        <w:t>条</w:t>
      </w:r>
      <w:r>
        <w:rPr>
          <w:rFonts w:ascii="黑体" w:hAnsi="黑体" w:eastAsia="黑体" w:cs="黑体"/>
          <w:color w:val="000000" w:themeColor="text1"/>
          <w:sz w:val="32"/>
          <w:szCs w:val="32"/>
          <w14:textFill>
            <w14:solidFill>
              <w14:schemeClr w14:val="tx1"/>
            </w14:solidFill>
          </w14:textFill>
        </w:rPr>
        <w:t xml:space="preserve"> </w:t>
      </w:r>
      <w:r>
        <w:rPr>
          <w:rFonts w:hint="eastAsia" w:ascii="仿宋GB2312" w:hAnsi="仿宋GB2312" w:eastAsia="仿宋GB2312" w:cs="仿宋GB2312"/>
          <w:color w:val="000000" w:themeColor="text1"/>
          <w:sz w:val="32"/>
          <w:szCs w:val="32"/>
          <w:lang w:eastAsia="zh-CN"/>
          <w14:textFill>
            <w14:solidFill>
              <w14:schemeClr w14:val="tx1"/>
            </w14:solidFill>
          </w14:textFill>
        </w:rPr>
        <w:t>以暂估价形式的工程、货物、服务,达到依法必须招标规模的，由施工总承包单位或项目业主或施工总承包单位和项目业主作为招标人依法进行招标。电力设备招标须符合国家能源局行业技术规范及最新能效标准，投标产品制造商应具备生产检测能力，投标人在投标时须提交型式试验报告，总承包单位不得利用信息优势影响招标公正性，相关质量管控要求应在设计施工总承包（EPC）合同条款中明确载明。</w:t>
      </w:r>
    </w:p>
    <w:p w14:paraId="40380254">
      <w:pPr>
        <w:pStyle w:val="5"/>
        <w:keepNext w:val="0"/>
        <w:keepLines w:val="0"/>
        <w:pageBreakBefore w:val="0"/>
        <w:widowControl w:val="0"/>
        <w:tabs>
          <w:tab w:val="left" w:pos="3780"/>
        </w:tabs>
        <w:kinsoku/>
        <w:wordWrap/>
        <w:overflowPunct w:val="0"/>
        <w:topLinePunct/>
        <w:autoSpaceDE/>
        <w:autoSpaceDN/>
        <w:bidi w:val="0"/>
        <w:adjustRightInd w:val="0"/>
        <w:snapToGrid w:val="0"/>
        <w:spacing w:line="520" w:lineRule="exact"/>
        <w:ind w:firstLine="619"/>
        <w:jc w:val="both"/>
        <w:textAlignment w:val="baseline"/>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七</w:t>
      </w:r>
      <w:r>
        <w:rPr>
          <w:rFonts w:ascii="黑体" w:hAnsi="黑体" w:eastAsia="黑体" w:cs="黑体"/>
          <w:color w:val="000000" w:themeColor="text1"/>
          <w:sz w:val="32"/>
          <w:szCs w:val="32"/>
          <w14:textFill>
            <w14:solidFill>
              <w14:schemeClr w14:val="tx1"/>
            </w14:solidFill>
          </w14:textFill>
        </w:rPr>
        <w:t xml:space="preserve">条 </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依法必须进行招标的项目，其评标委员会由招标人代表和有关技术、经济等方面的专家组成。评标委员会人员数量为5人以上单数。</w:t>
      </w:r>
    </w:p>
    <w:p w14:paraId="7FD7CFF9">
      <w:pPr>
        <w:pStyle w:val="5"/>
        <w:keepNext w:val="0"/>
        <w:keepLines w:val="0"/>
        <w:pageBreakBefore w:val="0"/>
        <w:widowControl w:val="0"/>
        <w:tabs>
          <w:tab w:val="left" w:pos="3780"/>
        </w:tabs>
        <w:kinsoku/>
        <w:wordWrap/>
        <w:overflowPunct w:val="0"/>
        <w:topLinePunct/>
        <w:autoSpaceDE/>
        <w:autoSpaceDN/>
        <w:bidi w:val="0"/>
        <w:adjustRightInd w:val="0"/>
        <w:snapToGrid w:val="0"/>
        <w:spacing w:line="520" w:lineRule="exact"/>
        <w:ind w:firstLine="619"/>
        <w:jc w:val="both"/>
        <w:textAlignment w:val="baseline"/>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招标人选派或委托参加评标的代表，应从本单位、本系统内部筛选熟悉业务、公道正派的人员，并遵守利益冲突回避原则。无合适人选的，可不选派或委托代表参加评标。行政监督部门工作人员不得担任本部门监督项目的业主评委。</w:t>
      </w:r>
    </w:p>
    <w:p w14:paraId="4C9B49A5">
      <w:pPr>
        <w:pStyle w:val="5"/>
        <w:keepNext w:val="0"/>
        <w:keepLines w:val="0"/>
        <w:pageBreakBefore w:val="0"/>
        <w:widowControl w:val="0"/>
        <w:kinsoku/>
        <w:wordWrap/>
        <w:overflowPunct w:val="0"/>
        <w:topLinePunct/>
        <w:autoSpaceDE/>
        <w:autoSpaceDN/>
        <w:bidi w:val="0"/>
        <w:spacing w:line="520" w:lineRule="exact"/>
        <w:ind w:firstLine="609"/>
        <w:jc w:val="both"/>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八</w:t>
      </w:r>
      <w:r>
        <w:rPr>
          <w:rFonts w:ascii="黑体" w:hAnsi="黑体" w:eastAsia="黑体" w:cs="黑体"/>
          <w:color w:val="000000" w:themeColor="text1"/>
          <w:sz w:val="32"/>
          <w:szCs w:val="32"/>
          <w14:textFill>
            <w14:solidFill>
              <w14:schemeClr w14:val="tx1"/>
            </w14:solidFill>
          </w14:textFill>
        </w:rPr>
        <w:t xml:space="preserve">条 </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本办法未尽事宜，按照国家相关法律法规要求执行。</w:t>
      </w:r>
    </w:p>
    <w:p w14:paraId="2034176B">
      <w:pPr>
        <w:pStyle w:val="5"/>
        <w:keepNext w:val="0"/>
        <w:keepLines w:val="0"/>
        <w:pageBreakBefore w:val="0"/>
        <w:widowControl w:val="0"/>
        <w:kinsoku/>
        <w:wordWrap/>
        <w:overflowPunct w:val="0"/>
        <w:topLinePunct/>
        <w:autoSpaceDE/>
        <w:autoSpaceDN/>
        <w:bidi w:val="0"/>
        <w:spacing w:line="520" w:lineRule="exact"/>
        <w:ind w:firstLine="609"/>
        <w:jc w:val="both"/>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九</w:t>
      </w:r>
      <w:r>
        <w:rPr>
          <w:rFonts w:ascii="黑体" w:hAnsi="黑体" w:eastAsia="黑体" w:cs="黑体"/>
          <w:color w:val="000000" w:themeColor="text1"/>
          <w:sz w:val="32"/>
          <w:szCs w:val="32"/>
          <w14:textFill>
            <w14:solidFill>
              <w14:schemeClr w14:val="tx1"/>
            </w14:solidFill>
          </w14:textFill>
        </w:rPr>
        <w:t xml:space="preserve">条 </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施行过程中，本办法与国家、省、市相关规定不一致的，从其规定。</w:t>
      </w:r>
    </w:p>
    <w:p w14:paraId="64EED0A0">
      <w:pPr>
        <w:pStyle w:val="5"/>
        <w:keepNext w:val="0"/>
        <w:keepLines w:val="0"/>
        <w:pageBreakBefore w:val="0"/>
        <w:widowControl w:val="0"/>
        <w:kinsoku/>
        <w:wordWrap/>
        <w:overflowPunct w:val="0"/>
        <w:topLinePunct/>
        <w:autoSpaceDE/>
        <w:autoSpaceDN/>
        <w:bidi w:val="0"/>
        <w:spacing w:line="520" w:lineRule="exact"/>
        <w:ind w:firstLine="609"/>
        <w:jc w:val="both"/>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十</w:t>
      </w:r>
      <w:r>
        <w:rPr>
          <w:rFonts w:ascii="黑体" w:hAnsi="黑体" w:eastAsia="黑体" w:cs="黑体"/>
          <w:color w:val="000000" w:themeColor="text1"/>
          <w:sz w:val="32"/>
          <w:szCs w:val="32"/>
          <w14:textFill>
            <w14:solidFill>
              <w14:schemeClr w14:val="tx1"/>
            </w14:solidFill>
          </w14:textFill>
        </w:rPr>
        <w:t xml:space="preserve">条 </w:t>
      </w:r>
      <w:r>
        <w:rPr>
          <w:rFonts w:hint="eastAsia"/>
          <w:color w:val="000000" w:themeColor="text1"/>
          <w:sz w:val="32"/>
          <w:szCs w:val="32"/>
          <w:lang w:eastAsia="zh-CN"/>
          <w14:textFill>
            <w14:solidFill>
              <w14:schemeClr w14:val="tx1"/>
            </w14:solidFill>
          </w14:textFill>
        </w:rPr>
        <w:t>本</w:t>
      </w: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办法试行期一年，自发文之日起算。</w:t>
      </w:r>
    </w:p>
    <w:p w14:paraId="4FF4DA9E">
      <w:pPr>
        <w:pStyle w:val="5"/>
        <w:keepNext w:val="0"/>
        <w:keepLines w:val="0"/>
        <w:pageBreakBefore w:val="0"/>
        <w:widowControl w:val="0"/>
        <w:kinsoku/>
        <w:wordWrap/>
        <w:overflowPunct w:val="0"/>
        <w:topLinePunct/>
        <w:autoSpaceDE/>
        <w:autoSpaceDN/>
        <w:bidi w:val="0"/>
        <w:adjustRightInd w:val="0"/>
        <w:snapToGrid w:val="0"/>
        <w:spacing w:line="520" w:lineRule="exact"/>
        <w:ind w:firstLine="640" w:firstLineChars="200"/>
        <w:jc w:val="both"/>
        <w:textAlignment w:val="baseline"/>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p>
    <w:p w14:paraId="118EE95C">
      <w:pPr>
        <w:pStyle w:val="5"/>
        <w:keepNext w:val="0"/>
        <w:keepLines w:val="0"/>
        <w:pageBreakBefore w:val="0"/>
        <w:widowControl w:val="0"/>
        <w:kinsoku/>
        <w:wordWrap/>
        <w:overflowPunct w:val="0"/>
        <w:topLinePunct/>
        <w:autoSpaceDE/>
        <w:autoSpaceDN/>
        <w:bidi w:val="0"/>
        <w:adjustRightInd w:val="0"/>
        <w:snapToGrid w:val="0"/>
        <w:spacing w:line="520" w:lineRule="exact"/>
        <w:ind w:firstLine="640" w:firstLineChars="200"/>
        <w:jc w:val="both"/>
        <w:textAlignment w:val="baseline"/>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pPr>
      <w:r>
        <w:rPr>
          <w:rFonts w:hint="eastAsia" w:ascii="仿宋GB2312" w:hAnsi="仿宋GB2312" w:eastAsia="仿宋GB2312" w:cs="仿宋GB2312"/>
          <w:snapToGrid w:val="0"/>
          <w:color w:val="000000" w:themeColor="text1"/>
          <w:sz w:val="32"/>
          <w:szCs w:val="32"/>
          <w:lang w:val="en-US" w:eastAsia="zh-CN" w:bidi="ar-SA"/>
          <w14:textFill>
            <w14:solidFill>
              <w14:schemeClr w14:val="tx1"/>
            </w14:solidFill>
          </w14:textFill>
        </w:rPr>
        <w:t>附件：夷陵区输变电工程项目EPC建设模式评标办法</w:t>
      </w:r>
    </w:p>
    <w:p w14:paraId="3E8E405B">
      <w:pPr>
        <w:pStyle w:val="2"/>
        <w:widowControl w:val="0"/>
        <w:kinsoku/>
        <w:autoSpaceDE/>
        <w:autoSpaceDN/>
        <w:adjustRightInd/>
        <w:snapToGrid/>
        <w:spacing w:before="0" w:after="0" w:line="560" w:lineRule="exact"/>
        <w:jc w:val="both"/>
        <w:textAlignment w:val="auto"/>
        <w:rPr>
          <w:rFonts w:hint="eastAsia" w:ascii="国标黑体" w:hAnsi="国标黑体" w:eastAsia="国标黑体" w:cs="国标黑体"/>
          <w:b w:val="0"/>
          <w:bCs/>
          <w:color w:val="000000" w:themeColor="text1"/>
          <w:spacing w:val="0"/>
          <w:sz w:val="32"/>
          <w:szCs w:val="32"/>
          <w:lang w:eastAsia="zh-CN"/>
          <w14:textFill>
            <w14:solidFill>
              <w14:schemeClr w14:val="tx1"/>
            </w14:solidFill>
          </w14:textFill>
        </w:rPr>
      </w:pPr>
      <w:r>
        <w:rPr>
          <w:rFonts w:hint="eastAsia" w:ascii="国标黑体" w:hAnsi="国标黑体" w:eastAsia="国标黑体" w:cs="国标黑体"/>
          <w:b w:val="0"/>
          <w:bCs/>
          <w:color w:val="000000" w:themeColor="text1"/>
          <w:spacing w:val="0"/>
          <w:sz w:val="32"/>
          <w:szCs w:val="32"/>
          <w:lang w:eastAsia="zh-CN"/>
          <w14:textFill>
            <w14:solidFill>
              <w14:schemeClr w14:val="tx1"/>
            </w14:solidFill>
          </w14:textFill>
        </w:rPr>
        <w:t>附件</w:t>
      </w:r>
    </w:p>
    <w:p w14:paraId="4C0FB6A5">
      <w:pPr>
        <w:pStyle w:val="2"/>
        <w:widowControl w:val="0"/>
        <w:kinsoku/>
        <w:autoSpaceDE/>
        <w:autoSpaceDN/>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00000" w:themeColor="text1"/>
          <w:spacing w:val="0"/>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sz w:val="36"/>
          <w:szCs w:val="36"/>
          <w14:textFill>
            <w14:solidFill>
              <w14:schemeClr w14:val="tx1"/>
            </w14:solidFill>
          </w14:textFill>
        </w:rPr>
        <w:t>夷陵区输变电工程项目EPC建设模式评分</w:t>
      </w:r>
      <w:r>
        <w:rPr>
          <w:rFonts w:hint="eastAsia" w:ascii="方正小标宋简体" w:hAnsi="方正小标宋简体" w:eastAsia="方正小标宋简体" w:cs="方正小标宋简体"/>
          <w:b w:val="0"/>
          <w:bCs/>
          <w:color w:val="000000" w:themeColor="text1"/>
          <w:spacing w:val="0"/>
          <w:sz w:val="36"/>
          <w:szCs w:val="36"/>
          <w:lang w:eastAsia="zh-CN"/>
          <w14:textFill>
            <w14:solidFill>
              <w14:schemeClr w14:val="tx1"/>
            </w14:solidFill>
          </w14:textFill>
        </w:rPr>
        <w:t>细则</w:t>
      </w:r>
    </w:p>
    <w:p w14:paraId="4B8B16DB">
      <w:pPr>
        <w:rPr>
          <w:rFonts w:hint="eastAsia" w:ascii="黑体" w:hAnsi="黑体" w:eastAsia="黑体" w:cs="黑体"/>
          <w:color w:val="000000" w:themeColor="text1"/>
          <w:sz w:val="28"/>
          <w14:textFill>
            <w14:solidFill>
              <w14:schemeClr w14:val="tx1"/>
            </w14:solidFill>
          </w14:textFill>
        </w:rPr>
      </w:pPr>
    </w:p>
    <w:p w14:paraId="2EE79696">
      <w:pPr>
        <w:keepNext w:val="0"/>
        <w:keepLines w:val="0"/>
        <w:pageBreakBefore w:val="0"/>
        <w:widowControl/>
        <w:kinsoku w:val="0"/>
        <w:wordWrap/>
        <w:overflowPunct w:val="0"/>
        <w:topLinePunct w:val="0"/>
        <w:autoSpaceDE w:val="0"/>
        <w:autoSpaceDN w:val="0"/>
        <w:bidi w:val="0"/>
        <w:adjustRightInd w:val="0"/>
        <w:snapToGrid w:val="0"/>
        <w:textAlignment w:val="baseline"/>
        <w:rPr>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一、相关权重</w:t>
      </w:r>
    </w:p>
    <w:tbl>
      <w:tblPr>
        <w:tblStyle w:val="17"/>
        <w:tblW w:w="8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518"/>
        <w:gridCol w:w="876"/>
        <w:gridCol w:w="990"/>
        <w:gridCol w:w="956"/>
        <w:gridCol w:w="970"/>
        <w:gridCol w:w="850"/>
        <w:gridCol w:w="817"/>
        <w:gridCol w:w="1135"/>
      </w:tblGrid>
      <w:tr w14:paraId="7AD06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699" w:type="dxa"/>
            <w:vMerge w:val="restart"/>
            <w:tcBorders>
              <w:bottom w:val="nil"/>
            </w:tcBorders>
            <w:vAlign w:val="center"/>
          </w:tcPr>
          <w:p w14:paraId="7B20BAC3">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2"/>
                <w:sz w:val="20"/>
                <w:szCs w:val="20"/>
                <w14:textFill>
                  <w14:solidFill>
                    <w14:schemeClr w14:val="tx1"/>
                  </w14:solidFill>
                </w14:textFill>
              </w:rPr>
              <w:t>序号</w:t>
            </w:r>
          </w:p>
        </w:tc>
        <w:tc>
          <w:tcPr>
            <w:tcW w:w="1518" w:type="dxa"/>
            <w:vMerge w:val="restart"/>
            <w:tcBorders>
              <w:bottom w:val="nil"/>
            </w:tcBorders>
            <w:vAlign w:val="center"/>
          </w:tcPr>
          <w:p w14:paraId="6EA3B1C9">
            <w:pPr>
              <w:jc w:val="center"/>
              <w:rPr>
                <w:rFonts w:ascii="宋体" w:hAnsi="宋体" w:eastAsia="宋体" w:cs="宋体"/>
                <w:b/>
                <w:bCs/>
                <w:color w:val="000000" w:themeColor="text1"/>
                <w:spacing w:val="-2"/>
                <w:sz w:val="20"/>
                <w:szCs w:val="20"/>
                <w14:textFill>
                  <w14:solidFill>
                    <w14:schemeClr w14:val="tx1"/>
                  </w14:solidFill>
                </w14:textFill>
              </w:rPr>
            </w:pPr>
            <w:r>
              <w:rPr>
                <w:rFonts w:ascii="宋体" w:hAnsi="宋体" w:eastAsia="宋体" w:cs="宋体"/>
                <w:b/>
                <w:bCs/>
                <w:color w:val="000000" w:themeColor="text1"/>
                <w:spacing w:val="-2"/>
                <w:sz w:val="20"/>
                <w:szCs w:val="20"/>
                <w14:textFill>
                  <w14:solidFill>
                    <w14:schemeClr w14:val="tx1"/>
                  </w14:solidFill>
                </w14:textFill>
              </w:rPr>
              <w:t>招标项目规模</w:t>
            </w:r>
          </w:p>
          <w:p w14:paraId="39D75048">
            <w:pPr>
              <w:jc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2"/>
                <w:sz w:val="20"/>
                <w:szCs w:val="20"/>
                <w14:textFill>
                  <w14:solidFill>
                    <w14:schemeClr w14:val="tx1"/>
                  </w14:solidFill>
                </w14:textFill>
              </w:rPr>
              <w:t>（初设概算投资）</w:t>
            </w:r>
          </w:p>
        </w:tc>
        <w:tc>
          <w:tcPr>
            <w:tcW w:w="6594" w:type="dxa"/>
            <w:gridSpan w:val="7"/>
            <w:vAlign w:val="center"/>
          </w:tcPr>
          <w:p w14:paraId="31EBD865">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2"/>
                <w:sz w:val="20"/>
                <w:szCs w:val="20"/>
                <w14:textFill>
                  <w14:solidFill>
                    <w14:schemeClr w14:val="tx1"/>
                  </w14:solidFill>
                </w14:textFill>
              </w:rPr>
              <w:t>各部分分值设置</w:t>
            </w:r>
          </w:p>
        </w:tc>
      </w:tr>
      <w:tr w14:paraId="17A1E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699" w:type="dxa"/>
            <w:vMerge w:val="continue"/>
            <w:tcBorders>
              <w:top w:val="nil"/>
              <w:bottom w:val="nil"/>
            </w:tcBorders>
            <w:vAlign w:val="center"/>
          </w:tcPr>
          <w:p w14:paraId="7F475155">
            <w:pPr>
              <w:jc w:val="center"/>
              <w:rPr>
                <w:b/>
                <w:bCs/>
                <w:color w:val="000000" w:themeColor="text1"/>
                <w:sz w:val="20"/>
                <w14:textFill>
                  <w14:solidFill>
                    <w14:schemeClr w14:val="tx1"/>
                  </w14:solidFill>
                </w14:textFill>
              </w:rPr>
            </w:pPr>
          </w:p>
        </w:tc>
        <w:tc>
          <w:tcPr>
            <w:tcW w:w="1518" w:type="dxa"/>
            <w:vMerge w:val="continue"/>
            <w:tcBorders>
              <w:top w:val="nil"/>
              <w:bottom w:val="nil"/>
            </w:tcBorders>
            <w:vAlign w:val="center"/>
          </w:tcPr>
          <w:p w14:paraId="249557CD">
            <w:pPr>
              <w:jc w:val="center"/>
              <w:rPr>
                <w:b/>
                <w:bCs/>
                <w:color w:val="000000" w:themeColor="text1"/>
                <w:sz w:val="20"/>
                <w14:textFill>
                  <w14:solidFill>
                    <w14:schemeClr w14:val="tx1"/>
                  </w14:solidFill>
                </w14:textFill>
              </w:rPr>
            </w:pPr>
          </w:p>
        </w:tc>
        <w:tc>
          <w:tcPr>
            <w:tcW w:w="4642" w:type="dxa"/>
            <w:gridSpan w:val="5"/>
            <w:vAlign w:val="center"/>
          </w:tcPr>
          <w:p w14:paraId="6A13B078">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3"/>
                <w:sz w:val="20"/>
                <w:szCs w:val="20"/>
                <w14:textFill>
                  <w14:solidFill>
                    <w14:schemeClr w14:val="tx1"/>
                  </w14:solidFill>
                </w14:textFill>
              </w:rPr>
              <w:t>商务标</w:t>
            </w:r>
          </w:p>
        </w:tc>
        <w:tc>
          <w:tcPr>
            <w:tcW w:w="817" w:type="dxa"/>
            <w:vMerge w:val="restart"/>
            <w:tcBorders>
              <w:bottom w:val="nil"/>
            </w:tcBorders>
            <w:vAlign w:val="center"/>
          </w:tcPr>
          <w:p w14:paraId="41DCD360">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2"/>
                <w:sz w:val="20"/>
                <w:szCs w:val="20"/>
                <w14:textFill>
                  <w14:solidFill>
                    <w14:schemeClr w14:val="tx1"/>
                  </w14:solidFill>
                </w14:textFill>
              </w:rPr>
              <w:t>技术标</w:t>
            </w:r>
          </w:p>
        </w:tc>
        <w:tc>
          <w:tcPr>
            <w:tcW w:w="1135" w:type="dxa"/>
            <w:vMerge w:val="restart"/>
            <w:tcBorders>
              <w:bottom w:val="nil"/>
            </w:tcBorders>
            <w:vAlign w:val="center"/>
          </w:tcPr>
          <w:p w14:paraId="503B69AB">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经济标</w:t>
            </w:r>
          </w:p>
        </w:tc>
      </w:tr>
      <w:tr w14:paraId="5078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99" w:type="dxa"/>
            <w:vMerge w:val="continue"/>
            <w:tcBorders>
              <w:top w:val="nil"/>
            </w:tcBorders>
            <w:vAlign w:val="center"/>
          </w:tcPr>
          <w:p w14:paraId="08E7197D">
            <w:pPr>
              <w:jc w:val="center"/>
              <w:rPr>
                <w:b/>
                <w:bCs/>
                <w:color w:val="000000" w:themeColor="text1"/>
                <w:sz w:val="20"/>
                <w14:textFill>
                  <w14:solidFill>
                    <w14:schemeClr w14:val="tx1"/>
                  </w14:solidFill>
                </w14:textFill>
              </w:rPr>
            </w:pPr>
          </w:p>
        </w:tc>
        <w:tc>
          <w:tcPr>
            <w:tcW w:w="1518" w:type="dxa"/>
            <w:vMerge w:val="continue"/>
            <w:tcBorders>
              <w:top w:val="nil"/>
            </w:tcBorders>
            <w:vAlign w:val="center"/>
          </w:tcPr>
          <w:p w14:paraId="3D2B0B7D">
            <w:pPr>
              <w:jc w:val="center"/>
              <w:rPr>
                <w:b/>
                <w:bCs/>
                <w:color w:val="000000" w:themeColor="text1"/>
                <w:sz w:val="20"/>
                <w14:textFill>
                  <w14:solidFill>
                    <w14:schemeClr w14:val="tx1"/>
                  </w14:solidFill>
                </w14:textFill>
              </w:rPr>
            </w:pPr>
          </w:p>
        </w:tc>
        <w:tc>
          <w:tcPr>
            <w:tcW w:w="876" w:type="dxa"/>
            <w:vAlign w:val="center"/>
          </w:tcPr>
          <w:p w14:paraId="5A335BFA">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3"/>
                <w:sz w:val="20"/>
                <w:szCs w:val="20"/>
                <w14:textFill>
                  <w14:solidFill>
                    <w14:schemeClr w14:val="tx1"/>
                  </w14:solidFill>
                </w14:textFill>
              </w:rPr>
              <w:t>合计</w:t>
            </w:r>
          </w:p>
        </w:tc>
        <w:tc>
          <w:tcPr>
            <w:tcW w:w="990" w:type="dxa"/>
            <w:vAlign w:val="center"/>
          </w:tcPr>
          <w:p w14:paraId="1055E7EA">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1"/>
                <w:sz w:val="20"/>
                <w:szCs w:val="20"/>
                <w14:textFill>
                  <w14:solidFill>
                    <w14:schemeClr w14:val="tx1"/>
                  </w14:solidFill>
                </w14:textFill>
              </w:rPr>
              <w:t>其中：</w:t>
            </w:r>
          </w:p>
          <w:p w14:paraId="449562C6">
            <w:pPr>
              <w:jc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7"/>
                <w:sz w:val="20"/>
                <w:szCs w:val="20"/>
                <w14:textFill>
                  <w14:solidFill>
                    <w14:schemeClr w14:val="tx1"/>
                  </w14:solidFill>
                </w14:textFill>
              </w:rPr>
              <w:t>施工业绩</w:t>
            </w:r>
          </w:p>
        </w:tc>
        <w:tc>
          <w:tcPr>
            <w:tcW w:w="956" w:type="dxa"/>
            <w:vAlign w:val="center"/>
          </w:tcPr>
          <w:p w14:paraId="01D03BF0">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pacing w:val="-1"/>
                <w:sz w:val="20"/>
                <w:szCs w:val="20"/>
                <w14:textFill>
                  <w14:solidFill>
                    <w14:schemeClr w14:val="tx1"/>
                  </w14:solidFill>
                </w14:textFill>
              </w:rPr>
              <w:t>其中：</w:t>
            </w:r>
          </w:p>
          <w:p w14:paraId="5BD7CB46">
            <w:pPr>
              <w:jc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3"/>
                <w:sz w:val="20"/>
                <w:szCs w:val="20"/>
                <w14:textFill>
                  <w14:solidFill>
                    <w14:schemeClr w14:val="tx1"/>
                  </w14:solidFill>
                </w14:textFill>
              </w:rPr>
              <w:t>设计业绩</w:t>
            </w:r>
          </w:p>
        </w:tc>
        <w:tc>
          <w:tcPr>
            <w:tcW w:w="970" w:type="dxa"/>
            <w:tcBorders>
              <w:right w:val="single" w:color="auto" w:sz="4" w:space="0"/>
            </w:tcBorders>
            <w:vAlign w:val="center"/>
          </w:tcPr>
          <w:p w14:paraId="3BC9CB21">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z w:val="20"/>
                <w:szCs w:val="20"/>
                <w14:textFill>
                  <w14:solidFill>
                    <w14:schemeClr w14:val="tx1"/>
                  </w14:solidFill>
                </w14:textFill>
              </w:rPr>
              <w:t>其中</w:t>
            </w:r>
            <w:r>
              <w:rPr>
                <w:rFonts w:hint="eastAsia" w:ascii="宋体" w:hAnsi="宋体" w:eastAsia="宋体" w:cs="宋体"/>
                <w:b/>
                <w:bCs/>
                <w:color w:val="000000" w:themeColor="text1"/>
                <w:sz w:val="20"/>
                <w:szCs w:val="20"/>
                <w14:textFill>
                  <w14:solidFill>
                    <w14:schemeClr w14:val="tx1"/>
                  </w14:solidFill>
                </w14:textFill>
              </w:rPr>
              <w:t>：</w:t>
            </w:r>
          </w:p>
          <w:p w14:paraId="483900BE">
            <w:pPr>
              <w:jc w:val="center"/>
              <w:rPr>
                <w:rFonts w:hint="eastAsia" w:ascii="宋体" w:hAnsi="宋体" w:eastAsia="宋体" w:cs="宋体"/>
                <w:b/>
                <w:bCs/>
                <w:color w:val="000000" w:themeColor="text1"/>
                <w:sz w:val="20"/>
                <w:szCs w:val="20"/>
                <w:lang w:eastAsia="zh-CN"/>
                <w14:textFill>
                  <w14:solidFill>
                    <w14:schemeClr w14:val="tx1"/>
                  </w14:solidFill>
                </w14:textFill>
              </w:rPr>
            </w:pPr>
            <w:r>
              <w:rPr>
                <w:rFonts w:hint="eastAsia" w:ascii="宋体" w:hAnsi="宋体" w:eastAsia="宋体" w:cs="宋体"/>
                <w:b/>
                <w:bCs/>
                <w:color w:val="000000" w:themeColor="text1"/>
                <w:sz w:val="20"/>
                <w:szCs w:val="20"/>
                <w:lang w:eastAsia="zh-CN"/>
                <w14:textFill>
                  <w14:solidFill>
                    <w14:schemeClr w14:val="tx1"/>
                  </w14:solidFill>
                </w14:textFill>
              </w:rPr>
              <w:t>企业证书</w:t>
            </w:r>
          </w:p>
        </w:tc>
        <w:tc>
          <w:tcPr>
            <w:tcW w:w="850" w:type="dxa"/>
            <w:tcBorders>
              <w:left w:val="single" w:color="auto" w:sz="4" w:space="0"/>
            </w:tcBorders>
            <w:vAlign w:val="center"/>
          </w:tcPr>
          <w:p w14:paraId="4632D80C">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z w:val="20"/>
                <w:szCs w:val="20"/>
                <w14:textFill>
                  <w14:solidFill>
                    <w14:schemeClr w14:val="tx1"/>
                  </w14:solidFill>
                </w14:textFill>
              </w:rPr>
              <w:t>其中</w:t>
            </w:r>
            <w:r>
              <w:rPr>
                <w:rFonts w:hint="eastAsia" w:ascii="宋体" w:hAnsi="宋体" w:eastAsia="宋体" w:cs="宋体"/>
                <w:b/>
                <w:bCs/>
                <w:color w:val="000000" w:themeColor="text1"/>
                <w:sz w:val="20"/>
                <w:szCs w:val="20"/>
                <w14:textFill>
                  <w14:solidFill>
                    <w14:schemeClr w14:val="tx1"/>
                  </w14:solidFill>
                </w14:textFill>
              </w:rPr>
              <w:t>：</w:t>
            </w:r>
          </w:p>
          <w:p w14:paraId="75464BAD">
            <w:pPr>
              <w:jc w:val="center"/>
              <w:rPr>
                <w:rFonts w:ascii="宋体" w:hAnsi="宋体" w:eastAsia="宋体" w:cs="宋体"/>
                <w:b/>
                <w:bCs/>
                <w:color w:val="000000" w:themeColor="text1"/>
                <w:spacing w:val="3"/>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设计人员</w:t>
            </w:r>
          </w:p>
        </w:tc>
        <w:tc>
          <w:tcPr>
            <w:tcW w:w="817" w:type="dxa"/>
            <w:vMerge w:val="continue"/>
            <w:tcBorders>
              <w:top w:val="nil"/>
            </w:tcBorders>
            <w:vAlign w:val="center"/>
          </w:tcPr>
          <w:p w14:paraId="62EC9F44">
            <w:pPr>
              <w:jc w:val="center"/>
              <w:rPr>
                <w:b/>
                <w:bCs/>
                <w:color w:val="000000" w:themeColor="text1"/>
                <w:sz w:val="20"/>
                <w14:textFill>
                  <w14:solidFill>
                    <w14:schemeClr w14:val="tx1"/>
                  </w14:solidFill>
                </w14:textFill>
              </w:rPr>
            </w:pPr>
          </w:p>
        </w:tc>
        <w:tc>
          <w:tcPr>
            <w:tcW w:w="1135" w:type="dxa"/>
            <w:vMerge w:val="continue"/>
            <w:tcBorders>
              <w:top w:val="nil"/>
            </w:tcBorders>
            <w:vAlign w:val="center"/>
          </w:tcPr>
          <w:p w14:paraId="34A2002F">
            <w:pPr>
              <w:jc w:val="center"/>
              <w:rPr>
                <w:b/>
                <w:bCs/>
                <w:color w:val="000000" w:themeColor="text1"/>
                <w:sz w:val="20"/>
                <w14:textFill>
                  <w14:solidFill>
                    <w14:schemeClr w14:val="tx1"/>
                  </w14:solidFill>
                </w14:textFill>
              </w:rPr>
            </w:pPr>
          </w:p>
        </w:tc>
      </w:tr>
      <w:tr w14:paraId="6DD4B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699" w:type="dxa"/>
            <w:vAlign w:val="center"/>
          </w:tcPr>
          <w:p w14:paraId="574B4544">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z w:val="20"/>
                <w:szCs w:val="20"/>
                <w14:textFill>
                  <w14:solidFill>
                    <w14:schemeClr w14:val="tx1"/>
                  </w14:solidFill>
                </w14:textFill>
              </w:rPr>
              <w:t>1</w:t>
            </w:r>
          </w:p>
        </w:tc>
        <w:tc>
          <w:tcPr>
            <w:tcW w:w="1518" w:type="dxa"/>
            <w:vAlign w:val="center"/>
          </w:tcPr>
          <w:p w14:paraId="2F006A49">
            <w:pPr>
              <w:jc w:val="center"/>
              <w:rPr>
                <w:rFonts w:hint="eastAsia" w:ascii="宋体" w:hAnsi="宋体" w:eastAsia="宋体" w:cs="宋体"/>
                <w:color w:val="000000" w:themeColor="text1"/>
                <w:spacing w:val="-4"/>
                <w:sz w:val="20"/>
                <w:szCs w:val="20"/>
                <w:lang w:eastAsia="zh-CN"/>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1000万</w:t>
            </w:r>
            <w:r>
              <w:rPr>
                <w:rFonts w:hint="eastAsia" w:ascii="宋体" w:hAnsi="宋体" w:eastAsia="宋体" w:cs="宋体"/>
                <w:color w:val="000000" w:themeColor="text1"/>
                <w:spacing w:val="-4"/>
                <w:sz w:val="20"/>
                <w:szCs w:val="20"/>
                <w:lang w:eastAsia="zh-CN"/>
                <w14:textFill>
                  <w14:solidFill>
                    <w14:schemeClr w14:val="tx1"/>
                  </w14:solidFill>
                </w14:textFill>
              </w:rPr>
              <w:t>（含）</w:t>
            </w:r>
            <w:r>
              <w:rPr>
                <w:rFonts w:ascii="宋体" w:hAnsi="宋体" w:eastAsia="宋体" w:cs="宋体"/>
                <w:color w:val="000000" w:themeColor="text1"/>
                <w:spacing w:val="-4"/>
                <w:sz w:val="20"/>
                <w:szCs w:val="20"/>
                <w14:textFill>
                  <w14:solidFill>
                    <w14:schemeClr w14:val="tx1"/>
                  </w14:solidFill>
                </w14:textFill>
              </w:rPr>
              <w:t>-5000万</w:t>
            </w:r>
            <w:r>
              <w:rPr>
                <w:rFonts w:hint="eastAsia" w:ascii="宋体" w:hAnsi="宋体" w:eastAsia="宋体" w:cs="宋体"/>
                <w:color w:val="000000" w:themeColor="text1"/>
                <w:spacing w:val="-4"/>
                <w:sz w:val="20"/>
                <w:szCs w:val="20"/>
                <w:lang w:eastAsia="zh-CN"/>
                <w14:textFill>
                  <w14:solidFill>
                    <w14:schemeClr w14:val="tx1"/>
                  </w14:solidFill>
                </w14:textFill>
              </w:rPr>
              <w:t>（不含）</w:t>
            </w:r>
          </w:p>
        </w:tc>
        <w:tc>
          <w:tcPr>
            <w:tcW w:w="876" w:type="dxa"/>
            <w:vAlign w:val="center"/>
          </w:tcPr>
          <w:p w14:paraId="09DD3B55">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hint="eastAsia" w:ascii="宋体" w:hAnsi="宋体" w:eastAsia="宋体" w:cs="宋体"/>
                <w:color w:val="000000" w:themeColor="text1"/>
                <w:spacing w:val="-4"/>
                <w:sz w:val="20"/>
                <w:szCs w:val="20"/>
                <w:lang w:val="en-US" w:eastAsia="zh-CN"/>
                <w14:textFill>
                  <w14:solidFill>
                    <w14:schemeClr w14:val="tx1"/>
                  </w14:solidFill>
                </w14:textFill>
              </w:rPr>
              <w:t>2</w:t>
            </w:r>
            <w:r>
              <w:rPr>
                <w:rFonts w:ascii="宋体" w:hAnsi="宋体" w:eastAsia="宋体" w:cs="宋体"/>
                <w:color w:val="000000" w:themeColor="text1"/>
                <w:spacing w:val="-4"/>
                <w:sz w:val="20"/>
                <w:szCs w:val="20"/>
                <w14:textFill>
                  <w14:solidFill>
                    <w14:schemeClr w14:val="tx1"/>
                  </w14:solidFill>
                </w14:textFill>
              </w:rPr>
              <w:t xml:space="preserve">-25 </w:t>
            </w:r>
          </w:p>
        </w:tc>
        <w:tc>
          <w:tcPr>
            <w:tcW w:w="990" w:type="dxa"/>
            <w:vAlign w:val="center"/>
          </w:tcPr>
          <w:p w14:paraId="4E7B60C9">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4-8</w:t>
            </w:r>
          </w:p>
        </w:tc>
        <w:tc>
          <w:tcPr>
            <w:tcW w:w="956" w:type="dxa"/>
            <w:vAlign w:val="center"/>
          </w:tcPr>
          <w:p w14:paraId="504FEBAA">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4-8</w:t>
            </w:r>
          </w:p>
        </w:tc>
        <w:tc>
          <w:tcPr>
            <w:tcW w:w="970" w:type="dxa"/>
            <w:tcBorders>
              <w:right w:val="single" w:color="auto" w:sz="4" w:space="0"/>
            </w:tcBorders>
            <w:vAlign w:val="center"/>
          </w:tcPr>
          <w:p w14:paraId="71725101">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2-5</w:t>
            </w:r>
          </w:p>
        </w:tc>
        <w:tc>
          <w:tcPr>
            <w:tcW w:w="850" w:type="dxa"/>
            <w:tcBorders>
              <w:left w:val="single" w:color="auto" w:sz="4" w:space="0"/>
            </w:tcBorders>
            <w:vAlign w:val="center"/>
          </w:tcPr>
          <w:p w14:paraId="17701063">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2-4</w:t>
            </w:r>
          </w:p>
        </w:tc>
        <w:tc>
          <w:tcPr>
            <w:tcW w:w="817" w:type="dxa"/>
            <w:vAlign w:val="center"/>
          </w:tcPr>
          <w:p w14:paraId="637A6406">
            <w:pPr>
              <w:jc w:val="center"/>
              <w:rPr>
                <w:rFonts w:hint="default" w:ascii="宋体" w:hAnsi="宋体" w:eastAsia="宋体" w:cs="宋体"/>
                <w:color w:val="000000" w:themeColor="text1"/>
                <w:spacing w:val="-4"/>
                <w:sz w:val="20"/>
                <w:szCs w:val="20"/>
                <w:lang w:val="en-US" w:eastAsia="zh-CN"/>
                <w14:textFill>
                  <w14:solidFill>
                    <w14:schemeClr w14:val="tx1"/>
                  </w14:solidFill>
                </w14:textFill>
              </w:rPr>
            </w:pPr>
            <w:r>
              <w:rPr>
                <w:rFonts w:hint="eastAsia" w:ascii="宋体" w:hAnsi="宋体" w:eastAsia="宋体" w:cs="宋体"/>
                <w:color w:val="000000" w:themeColor="text1"/>
                <w:spacing w:val="-4"/>
                <w:sz w:val="20"/>
                <w:szCs w:val="20"/>
                <w:lang w:val="en-US" w:eastAsia="zh-CN"/>
                <w14:textFill>
                  <w14:solidFill>
                    <w14:schemeClr w14:val="tx1"/>
                  </w14:solidFill>
                </w14:textFill>
              </w:rPr>
              <w:t>2</w:t>
            </w:r>
            <w:r>
              <w:rPr>
                <w:rFonts w:hint="eastAsia" w:ascii="宋体" w:hAnsi="宋体" w:eastAsia="宋体" w:cs="宋体"/>
                <w:color w:val="000000" w:themeColor="text1"/>
                <w:spacing w:val="-4"/>
                <w:sz w:val="20"/>
                <w:szCs w:val="20"/>
                <w:lang w:eastAsia="zh-CN"/>
                <w14:textFill>
                  <w14:solidFill>
                    <w14:schemeClr w14:val="tx1"/>
                  </w14:solidFill>
                </w14:textFill>
              </w:rPr>
              <w:t>0</w:t>
            </w:r>
            <w:r>
              <w:rPr>
                <w:rFonts w:ascii="宋体" w:hAnsi="宋体" w:eastAsia="宋体" w:cs="宋体"/>
                <w:color w:val="000000" w:themeColor="text1"/>
                <w:spacing w:val="-4"/>
                <w:sz w:val="20"/>
                <w:szCs w:val="20"/>
                <w14:textFill>
                  <w14:solidFill>
                    <w14:schemeClr w14:val="tx1"/>
                  </w14:solidFill>
                </w14:textFill>
              </w:rPr>
              <w:t>-</w:t>
            </w:r>
            <w:r>
              <w:rPr>
                <w:rFonts w:hint="eastAsia" w:ascii="宋体" w:hAnsi="宋体" w:eastAsia="宋体" w:cs="宋体"/>
                <w:color w:val="000000" w:themeColor="text1"/>
                <w:spacing w:val="-4"/>
                <w:sz w:val="20"/>
                <w:szCs w:val="20"/>
                <w:lang w:eastAsia="zh-CN"/>
                <w14:textFill>
                  <w14:solidFill>
                    <w14:schemeClr w14:val="tx1"/>
                  </w14:solidFill>
                </w14:textFill>
              </w:rPr>
              <w:t>30</w:t>
            </w:r>
          </w:p>
        </w:tc>
        <w:tc>
          <w:tcPr>
            <w:tcW w:w="1135" w:type="dxa"/>
            <w:vAlign w:val="center"/>
          </w:tcPr>
          <w:p w14:paraId="4E16536A">
            <w:pPr>
              <w:jc w:val="center"/>
              <w:rPr>
                <w:rFonts w:ascii="宋体" w:hAnsi="宋体" w:eastAsia="宋体" w:cs="宋体"/>
                <w:color w:val="000000" w:themeColor="text1"/>
                <w:spacing w:val="-4"/>
                <w:sz w:val="20"/>
                <w:szCs w:val="20"/>
                <w:lang w:eastAsia="zh-CN"/>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不低于</w:t>
            </w:r>
            <w:r>
              <w:rPr>
                <w:rFonts w:hint="eastAsia" w:ascii="宋体" w:hAnsi="宋体" w:eastAsia="宋体" w:cs="宋体"/>
                <w:color w:val="000000" w:themeColor="text1"/>
                <w:spacing w:val="-4"/>
                <w:sz w:val="20"/>
                <w:szCs w:val="20"/>
                <w:lang w:eastAsia="zh-CN"/>
                <w14:textFill>
                  <w14:solidFill>
                    <w14:schemeClr w14:val="tx1"/>
                  </w14:solidFill>
                </w14:textFill>
              </w:rPr>
              <w:t>50</w:t>
            </w:r>
          </w:p>
        </w:tc>
      </w:tr>
      <w:tr w14:paraId="173F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699" w:type="dxa"/>
            <w:vAlign w:val="center"/>
          </w:tcPr>
          <w:p w14:paraId="23B4A0FE">
            <w:pPr>
              <w:jc w:val="center"/>
              <w:rPr>
                <w:rFonts w:ascii="宋体" w:hAnsi="宋体" w:eastAsia="宋体" w:cs="宋体"/>
                <w:b/>
                <w:bCs/>
                <w:color w:val="000000" w:themeColor="text1"/>
                <w:sz w:val="20"/>
                <w:szCs w:val="20"/>
                <w14:textFill>
                  <w14:solidFill>
                    <w14:schemeClr w14:val="tx1"/>
                  </w14:solidFill>
                </w14:textFill>
              </w:rPr>
            </w:pPr>
            <w:r>
              <w:rPr>
                <w:rFonts w:ascii="宋体" w:hAnsi="宋体" w:eastAsia="宋体" w:cs="宋体"/>
                <w:b/>
                <w:bCs/>
                <w:color w:val="000000" w:themeColor="text1"/>
                <w:sz w:val="20"/>
                <w:szCs w:val="20"/>
                <w14:textFill>
                  <w14:solidFill>
                    <w14:schemeClr w14:val="tx1"/>
                  </w14:solidFill>
                </w14:textFill>
              </w:rPr>
              <w:t>2</w:t>
            </w:r>
          </w:p>
        </w:tc>
        <w:tc>
          <w:tcPr>
            <w:tcW w:w="1518" w:type="dxa"/>
            <w:vAlign w:val="center"/>
          </w:tcPr>
          <w:p w14:paraId="71B8DD4B">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≥5000万</w:t>
            </w:r>
          </w:p>
        </w:tc>
        <w:tc>
          <w:tcPr>
            <w:tcW w:w="876" w:type="dxa"/>
            <w:vAlign w:val="center"/>
          </w:tcPr>
          <w:p w14:paraId="29BF4870">
            <w:pPr>
              <w:jc w:val="center"/>
              <w:rPr>
                <w:rFonts w:ascii="宋体" w:hAnsi="宋体" w:eastAsia="宋体" w:cs="宋体"/>
                <w:color w:val="000000" w:themeColor="text1"/>
                <w:spacing w:val="-4"/>
                <w:sz w:val="20"/>
                <w:szCs w:val="20"/>
                <w:lang w:eastAsia="zh-CN"/>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20-3</w:t>
            </w:r>
            <w:r>
              <w:rPr>
                <w:rFonts w:hint="eastAsia" w:ascii="宋体" w:hAnsi="宋体" w:eastAsia="宋体" w:cs="宋体"/>
                <w:color w:val="000000" w:themeColor="text1"/>
                <w:spacing w:val="-4"/>
                <w:sz w:val="20"/>
                <w:szCs w:val="20"/>
                <w:lang w:val="en-US" w:eastAsia="zh-CN"/>
                <w14:textFill>
                  <w14:solidFill>
                    <w14:schemeClr w14:val="tx1"/>
                  </w14:solidFill>
                </w14:textFill>
              </w:rPr>
              <w:t>5</w:t>
            </w:r>
          </w:p>
        </w:tc>
        <w:tc>
          <w:tcPr>
            <w:tcW w:w="990" w:type="dxa"/>
            <w:vAlign w:val="center"/>
          </w:tcPr>
          <w:p w14:paraId="2A74D58B">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6-10</w:t>
            </w:r>
          </w:p>
        </w:tc>
        <w:tc>
          <w:tcPr>
            <w:tcW w:w="956" w:type="dxa"/>
            <w:vAlign w:val="center"/>
          </w:tcPr>
          <w:p w14:paraId="2C91B1E9">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6-10</w:t>
            </w:r>
          </w:p>
        </w:tc>
        <w:tc>
          <w:tcPr>
            <w:tcW w:w="970" w:type="dxa"/>
            <w:tcBorders>
              <w:right w:val="single" w:color="auto" w:sz="4" w:space="0"/>
            </w:tcBorders>
            <w:vAlign w:val="center"/>
          </w:tcPr>
          <w:p w14:paraId="57FC34AC">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4-10</w:t>
            </w:r>
          </w:p>
        </w:tc>
        <w:tc>
          <w:tcPr>
            <w:tcW w:w="850" w:type="dxa"/>
            <w:tcBorders>
              <w:left w:val="single" w:color="auto" w:sz="4" w:space="0"/>
            </w:tcBorders>
            <w:vAlign w:val="center"/>
          </w:tcPr>
          <w:p w14:paraId="77957C0B">
            <w:pPr>
              <w:jc w:val="center"/>
              <w:rPr>
                <w:rFonts w:ascii="宋体" w:hAnsi="宋体" w:eastAsia="宋体" w:cs="宋体"/>
                <w:color w:val="000000" w:themeColor="text1"/>
                <w:spacing w:val="-4"/>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4-5</w:t>
            </w:r>
          </w:p>
        </w:tc>
        <w:tc>
          <w:tcPr>
            <w:tcW w:w="817" w:type="dxa"/>
            <w:vAlign w:val="center"/>
          </w:tcPr>
          <w:p w14:paraId="11B0511E">
            <w:pPr>
              <w:jc w:val="center"/>
              <w:rPr>
                <w:rFonts w:ascii="宋体" w:hAnsi="宋体" w:eastAsia="宋体" w:cs="宋体"/>
                <w:color w:val="000000" w:themeColor="text1"/>
                <w:spacing w:val="-4"/>
                <w:sz w:val="20"/>
                <w:szCs w:val="20"/>
                <w:lang w:eastAsia="zh-CN"/>
                <w14:textFill>
                  <w14:solidFill>
                    <w14:schemeClr w14:val="tx1"/>
                  </w14:solidFill>
                </w14:textFill>
              </w:rPr>
            </w:pPr>
            <w:r>
              <w:rPr>
                <w:rFonts w:hint="eastAsia" w:ascii="宋体" w:hAnsi="宋体" w:eastAsia="宋体" w:cs="宋体"/>
                <w:color w:val="000000" w:themeColor="text1"/>
                <w:spacing w:val="-4"/>
                <w:sz w:val="20"/>
                <w:szCs w:val="20"/>
                <w:lang w:val="en-US" w:eastAsia="zh-CN"/>
                <w14:textFill>
                  <w14:solidFill>
                    <w14:schemeClr w14:val="tx1"/>
                  </w14:solidFill>
                </w14:textFill>
              </w:rPr>
              <w:t>25</w:t>
            </w:r>
            <w:r>
              <w:rPr>
                <w:rFonts w:ascii="宋体" w:hAnsi="宋体" w:eastAsia="宋体" w:cs="宋体"/>
                <w:color w:val="000000" w:themeColor="text1"/>
                <w:spacing w:val="-4"/>
                <w:sz w:val="20"/>
                <w:szCs w:val="20"/>
                <w14:textFill>
                  <w14:solidFill>
                    <w14:schemeClr w14:val="tx1"/>
                  </w14:solidFill>
                </w14:textFill>
              </w:rPr>
              <w:t>-</w:t>
            </w:r>
            <w:r>
              <w:rPr>
                <w:rFonts w:hint="eastAsia" w:ascii="宋体" w:hAnsi="宋体" w:eastAsia="宋体" w:cs="宋体"/>
                <w:color w:val="000000" w:themeColor="text1"/>
                <w:spacing w:val="-4"/>
                <w:sz w:val="20"/>
                <w:szCs w:val="20"/>
                <w:lang w:val="en-US" w:eastAsia="zh-CN"/>
                <w14:textFill>
                  <w14:solidFill>
                    <w14:schemeClr w14:val="tx1"/>
                  </w14:solidFill>
                </w14:textFill>
              </w:rPr>
              <w:t>35</w:t>
            </w:r>
          </w:p>
        </w:tc>
        <w:tc>
          <w:tcPr>
            <w:tcW w:w="1135" w:type="dxa"/>
            <w:vAlign w:val="center"/>
          </w:tcPr>
          <w:p w14:paraId="2AEFAECD">
            <w:pPr>
              <w:jc w:val="center"/>
              <w:rPr>
                <w:rFonts w:ascii="宋体" w:hAnsi="宋体" w:eastAsia="宋体" w:cs="宋体"/>
                <w:color w:val="000000" w:themeColor="text1"/>
                <w:spacing w:val="-4"/>
                <w:sz w:val="20"/>
                <w:szCs w:val="20"/>
                <w:lang w:eastAsia="zh-CN"/>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不低于</w:t>
            </w:r>
            <w:r>
              <w:rPr>
                <w:rFonts w:hint="eastAsia" w:ascii="宋体" w:hAnsi="宋体" w:eastAsia="宋体" w:cs="宋体"/>
                <w:color w:val="000000" w:themeColor="text1"/>
                <w:spacing w:val="-4"/>
                <w:sz w:val="20"/>
                <w:szCs w:val="20"/>
                <w:lang w:eastAsia="zh-CN"/>
                <w14:textFill>
                  <w14:solidFill>
                    <w14:schemeClr w14:val="tx1"/>
                  </w14:solidFill>
                </w14:textFill>
              </w:rPr>
              <w:t>50</w:t>
            </w:r>
          </w:p>
        </w:tc>
      </w:tr>
    </w:tbl>
    <w:p w14:paraId="4B47BD73">
      <w:pPr>
        <w:rPr>
          <w:rFonts w:ascii="黑体" w:hAnsi="黑体" w:eastAsia="黑体" w:cs="黑体"/>
          <w:color w:val="000000" w:themeColor="text1"/>
          <w:sz w:val="28"/>
          <w:lang w:eastAsia="zh-CN"/>
          <w14:textFill>
            <w14:solidFill>
              <w14:schemeClr w14:val="tx1"/>
            </w14:solidFill>
          </w14:textFill>
        </w:rPr>
      </w:pPr>
    </w:p>
    <w:p w14:paraId="44526164">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二、评分细则表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11"/>
        <w:gridCol w:w="1756"/>
        <w:gridCol w:w="2054"/>
        <w:gridCol w:w="3329"/>
      </w:tblGrid>
      <w:tr w14:paraId="4935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16"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E74D0A8">
            <w:pPr>
              <w:jc w:val="center"/>
              <w:rPr>
                <w:rFonts w:ascii="宋体" w:hAnsi="宋体" w:eastAsia="宋体" w:cs="宋体"/>
                <w:b/>
                <w:bCs/>
                <w:color w:val="000000" w:themeColor="text1"/>
                <w:szCs w:val="24"/>
                <w14:textFill>
                  <w14:solidFill>
                    <w14:schemeClr w14:val="tx1"/>
                  </w14:solidFill>
                </w14:textFill>
              </w:rPr>
            </w:pPr>
            <w:r>
              <w:rPr>
                <w:rFonts w:ascii="宋体" w:hAnsi="宋体" w:eastAsia="宋体" w:cs="宋体"/>
                <w:b/>
                <w:bCs/>
                <w:color w:val="000000" w:themeColor="text1"/>
                <w:szCs w:val="24"/>
                <w14:textFill>
                  <w14:solidFill>
                    <w14:schemeClr w14:val="tx1"/>
                  </w14:solidFill>
                </w14:textFill>
              </w:rPr>
              <w:t>条款号</w:t>
            </w:r>
          </w:p>
        </w:tc>
        <w:tc>
          <w:tcPr>
            <w:tcW w:w="3810"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E46ED34">
            <w:pPr>
              <w:jc w:val="center"/>
              <w:rPr>
                <w:rFonts w:ascii="宋体" w:hAnsi="宋体" w:eastAsia="宋体" w:cs="宋体"/>
                <w:b/>
                <w:bCs/>
                <w:color w:val="000000" w:themeColor="text1"/>
                <w:szCs w:val="24"/>
                <w14:textFill>
                  <w14:solidFill>
                    <w14:schemeClr w14:val="tx1"/>
                  </w14:solidFill>
                </w14:textFill>
              </w:rPr>
            </w:pPr>
            <w:r>
              <w:rPr>
                <w:rFonts w:ascii="宋体" w:hAnsi="宋体" w:eastAsia="宋体" w:cs="宋体"/>
                <w:b/>
                <w:bCs/>
                <w:color w:val="000000" w:themeColor="text1"/>
                <w:szCs w:val="24"/>
                <w14:textFill>
                  <w14:solidFill>
                    <w14:schemeClr w14:val="tx1"/>
                  </w14:solidFill>
                </w14:textFill>
              </w:rPr>
              <w:t>评审因素</w:t>
            </w:r>
          </w:p>
        </w:tc>
        <w:tc>
          <w:tcPr>
            <w:tcW w:w="332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07AE566">
            <w:pPr>
              <w:jc w:val="center"/>
              <w:rPr>
                <w:rFonts w:ascii="宋体" w:hAnsi="宋体" w:eastAsia="宋体" w:cs="宋体"/>
                <w:b/>
                <w:bCs/>
                <w:color w:val="000000" w:themeColor="text1"/>
                <w:szCs w:val="24"/>
                <w14:textFill>
                  <w14:solidFill>
                    <w14:schemeClr w14:val="tx1"/>
                  </w14:solidFill>
                </w14:textFill>
              </w:rPr>
            </w:pPr>
            <w:r>
              <w:rPr>
                <w:rFonts w:ascii="宋体" w:hAnsi="宋体" w:eastAsia="宋体" w:cs="宋体"/>
                <w:b/>
                <w:bCs/>
                <w:color w:val="000000" w:themeColor="text1"/>
                <w:szCs w:val="24"/>
                <w14:textFill>
                  <w14:solidFill>
                    <w14:schemeClr w14:val="tx1"/>
                  </w14:solidFill>
                </w14:textFill>
              </w:rPr>
              <w:t>评审标准</w:t>
            </w:r>
          </w:p>
        </w:tc>
      </w:tr>
      <w:tr w14:paraId="062A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916"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EBB1F52">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3.2.2</w:t>
            </w:r>
          </w:p>
        </w:tc>
        <w:tc>
          <w:tcPr>
            <w:tcW w:w="7139"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4DF52AC">
            <w:pPr>
              <w:jc w:val="both"/>
              <w:rPr>
                <w:rFonts w:ascii="宋体" w:hAnsi="宋体" w:eastAsia="宋体" w:cs="宋体"/>
                <w:b/>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投标人不得存在的其他情形：</w:t>
            </w:r>
          </w:p>
          <w:p w14:paraId="62A074CF">
            <w:pPr>
              <w:jc w:val="both"/>
              <w:rPr>
                <w:rFonts w:ascii="宋体" w:hAnsi="宋体" w:eastAsia="宋体" w:cs="宋体"/>
                <w:b/>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（1）有串通投标、弄虚作假、行贿或有其他违法行为；</w:t>
            </w:r>
          </w:p>
          <w:p w14:paraId="541E6705">
            <w:pPr>
              <w:jc w:val="both"/>
              <w:rPr>
                <w:rFonts w:ascii="宋体" w:hAnsi="宋体" w:eastAsia="宋体" w:cs="宋体"/>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（2）评标办法规定的其他情形。</w:t>
            </w:r>
          </w:p>
        </w:tc>
      </w:tr>
      <w:tr w14:paraId="51D7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916"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441520E">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2.2.1</w:t>
            </w: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7BAF1E3">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分值构成</w:t>
            </w:r>
          </w:p>
          <w:p w14:paraId="18E7C8F2">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(总分100.00分)</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83668EE">
            <w:pPr>
              <w:jc w:val="both"/>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技术评审：</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b/>
                <w:color w:val="000000" w:themeColor="text1"/>
                <w:u w:val="single"/>
                <w:lang w:val="en-US" w:eastAsia="zh-CN"/>
                <w14:textFill>
                  <w14:solidFill>
                    <w14:schemeClr w14:val="tx1"/>
                  </w14:solidFill>
                </w14:textFill>
              </w:rPr>
              <w:t xml:space="preserve">    </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p>
          <w:p w14:paraId="755B5DC7">
            <w:pPr>
              <w:jc w:val="both"/>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综合评审：</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b/>
                <w:color w:val="000000" w:themeColor="text1"/>
                <w:u w:val="single"/>
                <w:lang w:val="en-US" w:eastAsia="zh-CN"/>
                <w14:textFill>
                  <w14:solidFill>
                    <w14:schemeClr w14:val="tx1"/>
                  </w14:solidFill>
                </w14:textFill>
              </w:rPr>
              <w:t xml:space="preserve">    </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p>
          <w:p w14:paraId="75CBC23E">
            <w:pPr>
              <w:jc w:val="both"/>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经济评审：</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b/>
                <w:color w:val="000000" w:themeColor="text1"/>
                <w:u w:val="single"/>
                <w:lang w:val="en-US" w:eastAsia="zh-CN"/>
                <w14:textFill>
                  <w14:solidFill>
                    <w14:schemeClr w14:val="tx1"/>
                  </w14:solidFill>
                </w14:textFill>
              </w:rPr>
              <w:t xml:space="preserve">    </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p>
          <w:p w14:paraId="65BBE04B">
            <w:pPr>
              <w:jc w:val="both"/>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其他评审：</w:t>
            </w:r>
            <w:r>
              <w:rPr>
                <w:rFonts w:hint="eastAsia" w:ascii="宋体" w:hAnsi="宋体" w:eastAsia="宋体" w:cs="宋体"/>
                <w:color w:val="000000" w:themeColor="text1"/>
                <w:szCs w:val="24"/>
                <w:u w:val="single"/>
                <w:lang w:val="en-US" w:eastAsia="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分</w:t>
            </w:r>
          </w:p>
        </w:tc>
      </w:tr>
      <w:tr w14:paraId="505B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C335F55">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条款号</w:t>
            </w:r>
          </w:p>
        </w:tc>
        <w:tc>
          <w:tcPr>
            <w:tcW w:w="111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B588423">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评分因素</w:t>
            </w: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0A69B5B">
            <w:pPr>
              <w:jc w:val="center"/>
              <w:rPr>
                <w:rFonts w:ascii="宋体" w:hAnsi="宋体" w:eastAsia="宋体" w:cs="宋体"/>
                <w:b/>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各评分因素</w:t>
            </w:r>
          </w:p>
          <w:p w14:paraId="72A0DE8B">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细分项</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A10A3EC">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b/>
                <w:color w:val="000000" w:themeColor="text1"/>
                <w:szCs w:val="24"/>
                <w14:textFill>
                  <w14:solidFill>
                    <w14:schemeClr w14:val="tx1"/>
                  </w14:solidFill>
                </w14:textFill>
              </w:rPr>
              <w:t>评分标准</w:t>
            </w:r>
          </w:p>
        </w:tc>
      </w:tr>
      <w:tr w14:paraId="547C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05"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B11C1D8">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2.2.2</w:t>
            </w:r>
          </w:p>
          <w:p w14:paraId="39A43425">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(1)</w:t>
            </w:r>
          </w:p>
        </w:tc>
        <w:tc>
          <w:tcPr>
            <w:tcW w:w="1111"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CDD5585">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技术评审</w:t>
            </w: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A51B153">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总体设计方案</w:t>
            </w:r>
          </w:p>
          <w:p w14:paraId="0518A48B">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1EFC436">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对本项目工程进行总体设计，设计内容需全面、准确、完备，由评标委员会针对总体设计方案分等级进行评审：A级</w:t>
            </w:r>
            <w:r>
              <w:rPr>
                <w:rFonts w:ascii="宋体" w:hAnsi="宋体" w:eastAsia="宋体" w:cs="宋体"/>
                <w:color w:val="000000" w:themeColor="text1"/>
                <w:szCs w:val="24"/>
                <w:u w:val="single"/>
                <w14:textFill>
                  <w14:solidFill>
                    <w14:schemeClr w14:val="tx1"/>
                  </w14:solidFill>
                </w14:textFill>
              </w:rPr>
              <w:t>：</w:t>
            </w:r>
            <w:r>
              <w:rPr>
                <w:rFonts w:ascii="宋体" w:hAnsi="宋体" w:eastAsia="宋体" w:cs="宋体"/>
                <w:color w:val="000000" w:themeColor="text1"/>
                <w:szCs w:val="24"/>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；B级</w:t>
            </w:r>
            <w:r>
              <w:rPr>
                <w:rFonts w:ascii="宋体" w:hAnsi="宋体" w:eastAsia="宋体" w:cs="宋体"/>
                <w:color w:val="000000" w:themeColor="text1"/>
                <w:szCs w:val="24"/>
                <w:u w:val="single"/>
                <w14:textFill>
                  <w14:solidFill>
                    <w14:schemeClr w14:val="tx1"/>
                  </w14:solidFill>
                </w14:textFill>
              </w:rPr>
              <w:t>：</w:t>
            </w:r>
            <w:r>
              <w:rPr>
                <w:rFonts w:ascii="宋体" w:hAnsi="宋体" w:eastAsia="宋体" w:cs="宋体"/>
                <w:color w:val="000000" w:themeColor="text1"/>
                <w:szCs w:val="24"/>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；C级</w:t>
            </w:r>
            <w:r>
              <w:rPr>
                <w:rFonts w:ascii="宋体" w:hAnsi="宋体" w:eastAsia="宋体" w:cs="宋体"/>
                <w:color w:val="000000" w:themeColor="text1"/>
                <w:szCs w:val="24"/>
                <w:u w:val="single"/>
                <w14:textFill>
                  <w14:solidFill>
                    <w14:schemeClr w14:val="tx1"/>
                  </w14:solidFill>
                </w14:textFill>
              </w:rPr>
              <w:t>：</w:t>
            </w:r>
            <w:r>
              <w:rPr>
                <w:rFonts w:ascii="宋体" w:hAnsi="宋体" w:eastAsia="宋体" w:cs="宋体"/>
                <w:color w:val="000000" w:themeColor="text1"/>
                <w:szCs w:val="24"/>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；D级</w:t>
            </w:r>
            <w:r>
              <w:rPr>
                <w:rFonts w:ascii="宋体" w:hAnsi="宋体" w:eastAsia="宋体" w:cs="宋体"/>
                <w:color w:val="000000" w:themeColor="text1"/>
                <w:szCs w:val="24"/>
                <w:u w:val="single"/>
                <w14:textFill>
                  <w14:solidFill>
                    <w14:schemeClr w14:val="tx1"/>
                  </w14:solidFill>
                </w14:textFill>
              </w:rPr>
              <w:t>：</w:t>
            </w:r>
            <w:r>
              <w:rPr>
                <w:rFonts w:ascii="宋体" w:hAnsi="宋体" w:eastAsia="宋体" w:cs="宋体"/>
                <w:color w:val="000000" w:themeColor="text1"/>
                <w:szCs w:val="24"/>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；E级</w:t>
            </w:r>
            <w:r>
              <w:rPr>
                <w:rFonts w:ascii="宋体" w:hAnsi="宋体" w:eastAsia="宋体" w:cs="宋体"/>
                <w:color w:val="000000" w:themeColor="text1"/>
                <w:szCs w:val="24"/>
                <w:u w:val="single"/>
                <w14:textFill>
                  <w14:solidFill>
                    <w14:schemeClr w14:val="tx1"/>
                  </w14:solidFill>
                </w14:textFill>
              </w:rPr>
              <w:t>：</w:t>
            </w:r>
            <w:r>
              <w:rPr>
                <w:rFonts w:ascii="宋体" w:hAnsi="宋体" w:eastAsia="宋体" w:cs="宋体"/>
                <w:color w:val="000000" w:themeColor="text1"/>
                <w:szCs w:val="24"/>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；F级：0 分</w:t>
            </w:r>
            <w:r>
              <w:rPr>
                <w:rFonts w:hint="eastAsia" w:ascii="宋体" w:hAnsi="宋体" w:eastAsia="宋体" w:cs="宋体"/>
                <w:color w:val="000000" w:themeColor="text1"/>
                <w:szCs w:val="24"/>
                <w:lang w:eastAsia="zh-CN"/>
                <w14:textFill>
                  <w14:solidFill>
                    <w14:schemeClr w14:val="tx1"/>
                  </w14:solidFill>
                </w14:textFill>
              </w:rPr>
              <w:t>，各等级对应分值为该</w:t>
            </w:r>
            <w:r>
              <w:rPr>
                <w:rFonts w:ascii="宋体" w:hAnsi="宋体" w:eastAsia="宋体" w:cs="宋体"/>
                <w:color w:val="000000" w:themeColor="text1"/>
                <w:szCs w:val="24"/>
                <w14:textFill>
                  <w14:solidFill>
                    <w14:schemeClr w14:val="tx1"/>
                  </w14:solidFill>
                </w14:textFill>
              </w:rPr>
              <w:t>项评审分值的100%、90%、80%、70%、60%、0%。</w:t>
            </w:r>
          </w:p>
        </w:tc>
      </w:tr>
      <w:tr w14:paraId="3D8E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D41D7C3">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5251EA6">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FD9A71">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施工图纸设计完整性、合理性及重点难点分析与解决</w:t>
            </w:r>
          </w:p>
          <w:p w14:paraId="1730CBB9">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CD883E1">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对各专业施工图设计图纸及相关说明的完整性、合理性和施工图纸设计时的重点、难点做出响应，图纸深度达到施工图要求，并针对性解决本工程的重点、难点，由评标委员会分等级进行评审：A级：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；B级</w:t>
            </w:r>
            <w:r>
              <w:rPr>
                <w:rFonts w:hint="eastAsia" w:ascii="宋体" w:hAnsi="宋体" w:eastAsia="宋体" w:cs="宋体"/>
                <w:color w:val="000000" w:themeColor="text1"/>
                <w:szCs w:val="24"/>
                <w:lang w:eastAsia="zh-CN"/>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；C级：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；D级：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；E级：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；F 级：0 分。</w:t>
            </w:r>
            <w:r>
              <w:rPr>
                <w:rFonts w:hint="eastAsia" w:ascii="宋体" w:hAnsi="宋体" w:eastAsia="宋体" w:cs="宋体"/>
                <w:color w:val="000000" w:themeColor="text1"/>
                <w:szCs w:val="24"/>
                <w:lang w:eastAsia="zh-CN"/>
                <w14:textFill>
                  <w14:solidFill>
                    <w14:schemeClr w14:val="tx1"/>
                  </w14:solidFill>
                </w14:textFill>
              </w:rPr>
              <w:t>各等级对应分值为该</w:t>
            </w:r>
            <w:r>
              <w:rPr>
                <w:rFonts w:ascii="宋体" w:hAnsi="宋体" w:eastAsia="宋体" w:cs="宋体"/>
                <w:color w:val="000000" w:themeColor="text1"/>
                <w:szCs w:val="24"/>
                <w14:textFill>
                  <w14:solidFill>
                    <w14:schemeClr w14:val="tx1"/>
                  </w14:solidFill>
                </w14:textFill>
              </w:rPr>
              <w:t>项评审分值的100%、90%、80%、70%、60%、0%。</w:t>
            </w:r>
          </w:p>
        </w:tc>
      </w:tr>
      <w:tr w14:paraId="26ED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C4E3A36">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ADD2F0E">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D9D4268">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设计进度计划安排及后续服务</w:t>
            </w:r>
          </w:p>
          <w:p w14:paraId="26EB6113">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B7B8D7">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设计时间节点必须满足招标人的进度要求，进度安排合理，计划编制详尽。设计人员的安排需满足招标人的要求，项目实施期间遇到问题能及时解决，服务承诺好，保障措施周全，后续服务响应时间短等，由评标委员会分等级进行评审：A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；B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；C级：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；D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；E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；F 级：0 分。</w:t>
            </w:r>
            <w:r>
              <w:rPr>
                <w:rFonts w:hint="eastAsia" w:ascii="宋体" w:hAnsi="宋体" w:eastAsia="宋体" w:cs="宋体"/>
                <w:color w:val="000000" w:themeColor="text1"/>
                <w:szCs w:val="24"/>
                <w:lang w:eastAsia="zh-CN"/>
                <w14:textFill>
                  <w14:solidFill>
                    <w14:schemeClr w14:val="tx1"/>
                  </w14:solidFill>
                </w14:textFill>
              </w:rPr>
              <w:t>各等级对应分值为该</w:t>
            </w:r>
            <w:r>
              <w:rPr>
                <w:rFonts w:ascii="宋体" w:hAnsi="宋体" w:eastAsia="宋体" w:cs="宋体"/>
                <w:color w:val="000000" w:themeColor="text1"/>
                <w:szCs w:val="24"/>
                <w14:textFill>
                  <w14:solidFill>
                    <w14:schemeClr w14:val="tx1"/>
                  </w14:solidFill>
                </w14:textFill>
              </w:rPr>
              <w:t>项评审分值的100%、90%、80%、70%、60%、0%。</w:t>
            </w:r>
          </w:p>
        </w:tc>
      </w:tr>
      <w:tr w14:paraId="108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DD4EB2F">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3721BC0">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75E5402">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EPC工程总承包项目管理</w:t>
            </w:r>
          </w:p>
          <w:p w14:paraId="22D5D65F">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09CF6CB">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投标人针对本项目特点，在项目总承包管理上有透彻的分析，从合同管理要点，资源管理要点，质量进度控制、费用估算及控制要点、安全管理、环境、沟通与协调管理、财务管理、风险管理、文件及信息管理等方面进行分析。由评标委员会分等级进行评审：A</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级</w:t>
            </w:r>
            <w:r>
              <w:rPr>
                <w:rFonts w:hint="eastAsia" w:ascii="宋体" w:hAnsi="宋体" w:eastAsia="宋体" w:cs="宋体"/>
                <w:color w:val="000000" w:themeColor="text1"/>
                <w:szCs w:val="24"/>
                <w:lang w:eastAsia="zh-CN"/>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；B</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；C</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D级：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；E级：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；F 级：0 分。</w:t>
            </w:r>
            <w:r>
              <w:rPr>
                <w:rFonts w:hint="eastAsia" w:ascii="宋体" w:hAnsi="宋体" w:eastAsia="宋体" w:cs="宋体"/>
                <w:color w:val="000000" w:themeColor="text1"/>
                <w:szCs w:val="24"/>
                <w:lang w:eastAsia="zh-CN"/>
                <w14:textFill>
                  <w14:solidFill>
                    <w14:schemeClr w14:val="tx1"/>
                  </w14:solidFill>
                </w14:textFill>
              </w:rPr>
              <w:t>各等级对应分值为该</w:t>
            </w:r>
            <w:r>
              <w:rPr>
                <w:rFonts w:ascii="宋体" w:hAnsi="宋体" w:eastAsia="宋体" w:cs="宋体"/>
                <w:color w:val="000000" w:themeColor="text1"/>
                <w:szCs w:val="24"/>
                <w14:textFill>
                  <w14:solidFill>
                    <w14:schemeClr w14:val="tx1"/>
                  </w14:solidFill>
                </w14:textFill>
              </w:rPr>
              <w:t>项评审分值的100%、90%、80%、70%、60%、0%。</w:t>
            </w:r>
          </w:p>
        </w:tc>
      </w:tr>
      <w:tr w14:paraId="5E59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7C2A049">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D6993B1">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340BFC0">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施工组织设计</w:t>
            </w:r>
          </w:p>
          <w:p w14:paraId="5C39D033">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E011915">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施工组织设计应包含以下内容：（1）总体概述：施工组织总体设想、方案针对性及施工区段划分；（2）施工现场平面布置和临时设施、临时道路布置；（3）质量管理体系与措施；（4）安全管理体系与措施；（5）文明施工管理体系与措施；（6）施工进度计划和各阶段进度及保证措施；（7）劳动力、机械设备和材料投入计划；（8）关键施工技术、工艺及工程项目实施的重点、难点和解决方案。施工组织设计内容完整性、合理性、可行性进行分析。由评标委员会分等级进行评审：A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；B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；C级：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；D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；E 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；F 级：0 分。</w:t>
            </w:r>
            <w:r>
              <w:rPr>
                <w:rFonts w:hint="eastAsia" w:ascii="宋体" w:hAnsi="宋体" w:eastAsia="宋体" w:cs="宋体"/>
                <w:color w:val="000000" w:themeColor="text1"/>
                <w:szCs w:val="24"/>
                <w:lang w:eastAsia="zh-CN"/>
                <w14:textFill>
                  <w14:solidFill>
                    <w14:schemeClr w14:val="tx1"/>
                  </w14:solidFill>
                </w14:textFill>
              </w:rPr>
              <w:t>各等级对应分值为该</w:t>
            </w:r>
            <w:r>
              <w:rPr>
                <w:rFonts w:ascii="宋体" w:hAnsi="宋体" w:eastAsia="宋体" w:cs="宋体"/>
                <w:color w:val="000000" w:themeColor="text1"/>
                <w:szCs w:val="24"/>
                <w14:textFill>
                  <w14:solidFill>
                    <w14:schemeClr w14:val="tx1"/>
                  </w14:solidFill>
                </w14:textFill>
              </w:rPr>
              <w:t>项评审分值的100%、90%、80%、70%、60%、0%。</w:t>
            </w:r>
          </w:p>
        </w:tc>
      </w:tr>
      <w:tr w14:paraId="3E2B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08570E6">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73D7257">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2FDDC9">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项目管理要点</w:t>
            </w:r>
          </w:p>
          <w:p w14:paraId="7F83169F">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9430618">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根据项目设计管理、项目采购管理、项目施工管理、项目试运行管理、项目风险管理、项目进度管理、项目质量管理、项目安全管理、项目费用管理、项目职业健康与环境管理、项目沟通与信息管理、项目合同档案管理、项目收尾管理等要点的合理性、先进性、针对性分等级进行评审：A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；B级：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；C级：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；D级：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；E级：</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；F级：0分。</w:t>
            </w:r>
            <w:r>
              <w:rPr>
                <w:rFonts w:hint="eastAsia" w:ascii="宋体" w:hAnsi="宋体" w:eastAsia="宋体" w:cs="宋体"/>
                <w:color w:val="000000" w:themeColor="text1"/>
                <w:szCs w:val="24"/>
                <w:lang w:eastAsia="zh-CN"/>
                <w14:textFill>
                  <w14:solidFill>
                    <w14:schemeClr w14:val="tx1"/>
                  </w14:solidFill>
                </w14:textFill>
              </w:rPr>
              <w:t>各等级对应分值为该</w:t>
            </w:r>
            <w:r>
              <w:rPr>
                <w:rFonts w:ascii="宋体" w:hAnsi="宋体" w:eastAsia="宋体" w:cs="宋体"/>
                <w:color w:val="000000" w:themeColor="text1"/>
                <w:szCs w:val="24"/>
                <w14:textFill>
                  <w14:solidFill>
                    <w14:schemeClr w14:val="tx1"/>
                  </w14:solidFill>
                </w14:textFill>
              </w:rPr>
              <w:t>项评审分值的100%、90%、80%、70%、60%、0%。</w:t>
            </w:r>
          </w:p>
        </w:tc>
      </w:tr>
      <w:tr w14:paraId="32FE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2" w:hRule="atLeast"/>
          <w:jc w:val="center"/>
        </w:trPr>
        <w:tc>
          <w:tcPr>
            <w:tcW w:w="805"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A37B9D3">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2.2.2</w:t>
            </w:r>
          </w:p>
          <w:p w14:paraId="084F8896">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w:t>
            </w:r>
          </w:p>
        </w:tc>
        <w:tc>
          <w:tcPr>
            <w:tcW w:w="1111"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C0654C6">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综合评审</w:t>
            </w: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9DD34B0">
            <w:pPr>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投标人施工业绩</w:t>
            </w: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25238BF">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投标人（以联合体形式投标的，指联合体施工方）近</w:t>
            </w:r>
            <w:r>
              <w:rPr>
                <w:rFonts w:ascii="宋体" w:hAnsi="宋体" w:eastAsia="宋体" w:cs="宋体"/>
                <w:color w:val="000000" w:themeColor="text1"/>
                <w:szCs w:val="24"/>
                <w14:textFill>
                  <w14:solidFill>
                    <w14:schemeClr w14:val="tx1"/>
                  </w14:solidFill>
                </w14:textFill>
              </w:rPr>
              <w:t>5年（从投标截止时间往前推算）承接过单项建安工程费不</w:t>
            </w:r>
            <w:r>
              <w:rPr>
                <w:rFonts w:hint="eastAsia" w:ascii="宋体" w:hAnsi="宋体" w:eastAsia="宋体" w:cs="宋体"/>
                <w:color w:val="000000" w:themeColor="text1"/>
                <w:szCs w:val="24"/>
                <w14:textFill>
                  <w14:solidFill>
                    <w14:schemeClr w14:val="tx1"/>
                  </w14:solidFill>
                </w14:textFill>
              </w:rPr>
              <w:t>低于</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万元（不高于项目投资额的</w:t>
            </w:r>
            <w:r>
              <w:rPr>
                <w:rFonts w:ascii="宋体" w:hAnsi="宋体" w:eastAsia="宋体" w:cs="宋体"/>
                <w:color w:val="000000" w:themeColor="text1"/>
                <w:szCs w:val="24"/>
                <w14:textFill>
                  <w14:solidFill>
                    <w14:schemeClr w14:val="tx1"/>
                  </w14:solidFill>
                </w14:textFill>
              </w:rPr>
              <w:t>70%）</w:t>
            </w:r>
            <w:r>
              <w:rPr>
                <w:rFonts w:hint="eastAsia" w:ascii="宋体" w:hAnsi="宋体" w:eastAsia="宋体" w:cs="宋体"/>
                <w:color w:val="000000" w:themeColor="text1"/>
                <w:szCs w:val="24"/>
                <w14:textFill>
                  <w14:solidFill>
                    <w14:schemeClr w14:val="tx1"/>
                  </w14:solidFill>
                </w14:textFill>
              </w:rPr>
              <w:t>及以上且电压等级不低于</w:t>
            </w:r>
            <w:r>
              <w:rPr>
                <w:rFonts w:ascii="宋体" w:hAnsi="宋体" w:cs="宋体"/>
                <w:b/>
                <w:color w:val="000000" w:themeColor="text1"/>
                <w:u w:val="single"/>
                <w:lang w:val="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kV（不高于本招标项目的最高电压）的输变电工程</w:t>
            </w:r>
            <w:r>
              <w:rPr>
                <w:rFonts w:hint="eastAsia" w:ascii="宋体" w:hAnsi="宋体" w:eastAsia="宋体" w:cs="宋体"/>
                <w:color w:val="000000" w:themeColor="text1"/>
                <w:szCs w:val="24"/>
                <w14:textFill>
                  <w14:solidFill>
                    <w14:schemeClr w14:val="tx1"/>
                  </w14:solidFill>
                </w14:textFill>
              </w:rPr>
              <w:t>施工项目，每提供一个得</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分，本项最多得</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未完成项目以施工合同签订日期为准，须上传施工合同原件扫描件；已完成项目以通过竣工验收日期为准，须上传施工合同原件扫描件、竣工验收报告（验收单）、供电公司或监理单位出具的竣工检验意见单（如有））。</w:t>
            </w:r>
          </w:p>
          <w:p w14:paraId="063C5A2E">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注：若为施工总承包、</w:t>
            </w:r>
            <w:r>
              <w:rPr>
                <w:rFonts w:ascii="宋体" w:hAnsi="宋体" w:eastAsia="宋体" w:cs="宋体"/>
                <w:color w:val="000000" w:themeColor="text1"/>
                <w:szCs w:val="24"/>
                <w14:textFill>
                  <w14:solidFill>
                    <w14:schemeClr w14:val="tx1"/>
                  </w14:solidFill>
                </w14:textFill>
              </w:rPr>
              <w:t>EPC、PPP或设计施工一体化等类型业绩的，</w:t>
            </w:r>
            <w:r>
              <w:rPr>
                <w:rFonts w:hint="eastAsia" w:ascii="宋体" w:hAnsi="宋体" w:eastAsia="宋体" w:cs="宋体"/>
                <w:color w:val="000000" w:themeColor="text1"/>
                <w:szCs w:val="24"/>
                <w14:textFill>
                  <w14:solidFill>
                    <w14:schemeClr w14:val="tx1"/>
                  </w14:solidFill>
                </w14:textFill>
              </w:rPr>
              <w:t>还须上传联合体协议书（应明确联合体成员承担工作的内容，承担的项目金额须满足评审标准），否则评标委员会不予认可。</w:t>
            </w:r>
          </w:p>
          <w:p w14:paraId="203B085B">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b/>
                <w:color w:val="000000" w:themeColor="text1"/>
                <w:szCs w:val="24"/>
                <w:lang w:eastAsia="zh-CN"/>
                <w14:textFill>
                  <w14:solidFill>
                    <w14:schemeClr w14:val="tx1"/>
                  </w14:solidFill>
                </w14:textFill>
              </w:rPr>
            </w:pPr>
            <w:r>
              <w:rPr>
                <w:rFonts w:hint="eastAsia" w:ascii="宋体" w:hAnsi="宋体" w:eastAsia="宋体" w:cs="宋体"/>
                <w:b/>
                <w:color w:val="000000" w:themeColor="text1"/>
                <w:szCs w:val="24"/>
                <w:lang w:eastAsia="zh-CN"/>
                <w14:textFill>
                  <w14:solidFill>
                    <w14:schemeClr w14:val="tx1"/>
                  </w14:solidFill>
                </w14:textFill>
              </w:rPr>
              <w:t>（含资格要求业绩在内，设置的数量不超过</w:t>
            </w:r>
            <w:r>
              <w:rPr>
                <w:rFonts w:ascii="宋体" w:hAnsi="宋体" w:eastAsia="宋体" w:cs="宋体"/>
                <w:b/>
                <w:color w:val="000000" w:themeColor="text1"/>
                <w:szCs w:val="24"/>
                <w:lang w:eastAsia="zh-CN"/>
                <w14:textFill>
                  <w14:solidFill>
                    <w14:schemeClr w14:val="tx1"/>
                  </w14:solidFill>
                </w14:textFill>
              </w:rPr>
              <w:t>3</w:t>
            </w:r>
            <w:r>
              <w:rPr>
                <w:rFonts w:hint="eastAsia" w:ascii="宋体" w:hAnsi="宋体" w:eastAsia="宋体" w:cs="宋体"/>
                <w:b/>
                <w:color w:val="000000" w:themeColor="text1"/>
                <w:szCs w:val="24"/>
                <w:lang w:eastAsia="zh-CN"/>
                <w14:textFill>
                  <w14:solidFill>
                    <w14:schemeClr w14:val="tx1"/>
                  </w14:solidFill>
                </w14:textFill>
              </w:rPr>
              <w:t>项）</w:t>
            </w:r>
          </w:p>
        </w:tc>
      </w:tr>
      <w:tr w14:paraId="0BC7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251D54F">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FB14624">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147EE06">
            <w:pPr>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投标人设计业绩</w:t>
            </w:r>
          </w:p>
          <w:p w14:paraId="2213C415">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FB39886">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投标人（以联合体形式投标的，指联合体设计方）近</w:t>
            </w:r>
            <w:r>
              <w:rPr>
                <w:rFonts w:ascii="宋体" w:hAnsi="宋体" w:eastAsia="宋体" w:cs="宋体"/>
                <w:color w:val="000000" w:themeColor="text1"/>
                <w:szCs w:val="24"/>
                <w14:textFill>
                  <w14:solidFill>
                    <w14:schemeClr w14:val="tx1"/>
                  </w14:solidFill>
                </w14:textFill>
              </w:rPr>
              <w:t>5年（从投标截止时间往前推算）承接过</w:t>
            </w:r>
            <w:r>
              <w:rPr>
                <w:rFonts w:hint="eastAsia" w:ascii="宋体" w:hAnsi="宋体" w:eastAsia="宋体" w:cs="宋体"/>
                <w:color w:val="000000" w:themeColor="text1"/>
                <w:szCs w:val="24"/>
                <w14:textFill>
                  <w14:solidFill>
                    <w14:schemeClr w14:val="tx1"/>
                  </w14:solidFill>
                </w14:textFill>
              </w:rPr>
              <w:t>项目总投资不低于</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万元（不高于项目投资额的</w:t>
            </w:r>
            <w:r>
              <w:rPr>
                <w:rFonts w:ascii="宋体" w:hAnsi="宋体" w:eastAsia="宋体" w:cs="宋体"/>
                <w:color w:val="000000" w:themeColor="text1"/>
                <w:szCs w:val="24"/>
                <w14:textFill>
                  <w14:solidFill>
                    <w14:schemeClr w14:val="tx1"/>
                  </w14:solidFill>
                </w14:textFill>
              </w:rPr>
              <w:t>70%）</w:t>
            </w:r>
            <w:r>
              <w:rPr>
                <w:rFonts w:hint="eastAsia" w:ascii="宋体" w:hAnsi="宋体" w:eastAsia="宋体" w:cs="宋体"/>
                <w:color w:val="000000" w:themeColor="text1"/>
                <w:szCs w:val="24"/>
                <w14:textFill>
                  <w14:solidFill>
                    <w14:schemeClr w14:val="tx1"/>
                  </w14:solidFill>
                </w14:textFill>
              </w:rPr>
              <w:t>及以上且电压等级不低于</w:t>
            </w:r>
            <w:r>
              <w:rPr>
                <w:rFonts w:ascii="宋体" w:hAnsi="宋体" w:cs="宋体"/>
                <w:b/>
                <w:color w:val="000000" w:themeColor="text1"/>
                <w:u w:val="single"/>
                <w:lang w:val="zh-CN"/>
                <w14:textFill>
                  <w14:solidFill>
                    <w14:schemeClr w14:val="tx1"/>
                  </w14:solidFill>
                </w14:textFill>
              </w:rPr>
              <w:t xml:space="preserve">  </w:t>
            </w:r>
            <w:r>
              <w:rPr>
                <w:rFonts w:ascii="宋体" w:hAnsi="宋体" w:eastAsia="宋体" w:cs="宋体"/>
                <w:color w:val="000000" w:themeColor="text1"/>
                <w:szCs w:val="24"/>
                <w14:textFill>
                  <w14:solidFill>
                    <w14:schemeClr w14:val="tx1"/>
                  </w14:solidFill>
                </w14:textFill>
              </w:rPr>
              <w:t>kV（不高于本招标项目的最高电压）</w:t>
            </w:r>
            <w:r>
              <w:rPr>
                <w:rFonts w:hint="eastAsia" w:ascii="宋体" w:hAnsi="宋体" w:eastAsia="宋体" w:cs="宋体"/>
                <w:color w:val="000000" w:themeColor="text1"/>
                <w:szCs w:val="24"/>
                <w14:textFill>
                  <w14:solidFill>
                    <w14:schemeClr w14:val="tx1"/>
                  </w14:solidFill>
                </w14:textFill>
              </w:rPr>
              <w:t>的输变电工程设计业绩（须含施工图设计）的，每提供一个得</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分，本项最多得</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分。（不含分包业绩，以合同签订日期为准，须上传设计合同原件扫描件及其他证明材料，且应能完全反映出上述考核内容，否则评标委员会不予认可。）</w:t>
            </w:r>
          </w:p>
          <w:p w14:paraId="14C6B495">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注：若为</w:t>
            </w:r>
            <w:r>
              <w:rPr>
                <w:rFonts w:ascii="宋体" w:hAnsi="宋体" w:eastAsia="宋体" w:cs="宋体"/>
                <w:color w:val="000000" w:themeColor="text1"/>
                <w:szCs w:val="24"/>
                <w14:textFill>
                  <w14:solidFill>
                    <w14:schemeClr w14:val="tx1"/>
                  </w14:solidFill>
                </w14:textFill>
              </w:rPr>
              <w:t>EPC、PPP或设计施工一体化等类型业绩的，</w:t>
            </w:r>
            <w:r>
              <w:rPr>
                <w:rFonts w:hint="eastAsia" w:ascii="宋体" w:hAnsi="宋体" w:eastAsia="宋体" w:cs="宋体"/>
                <w:color w:val="000000" w:themeColor="text1"/>
                <w:szCs w:val="24"/>
                <w14:textFill>
                  <w14:solidFill>
                    <w14:schemeClr w14:val="tx1"/>
                  </w14:solidFill>
                </w14:textFill>
              </w:rPr>
              <w:t>还须上传联合体协议书（应明确联合体成员承担工作的内容，且项目金额须满足评审标准），否则评标委员会不予认可。</w:t>
            </w:r>
          </w:p>
          <w:p w14:paraId="034F897D">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b/>
                <w:color w:val="000000" w:themeColor="text1"/>
                <w:szCs w:val="24"/>
                <w:lang w:eastAsia="zh-CN"/>
                <w14:textFill>
                  <w14:solidFill>
                    <w14:schemeClr w14:val="tx1"/>
                  </w14:solidFill>
                </w14:textFill>
              </w:rPr>
            </w:pPr>
            <w:r>
              <w:rPr>
                <w:rFonts w:hint="eastAsia" w:ascii="宋体" w:hAnsi="宋体" w:eastAsia="宋体" w:cs="宋体"/>
                <w:b/>
                <w:color w:val="000000" w:themeColor="text1"/>
                <w:szCs w:val="24"/>
                <w:lang w:eastAsia="zh-CN"/>
                <w14:textFill>
                  <w14:solidFill>
                    <w14:schemeClr w14:val="tx1"/>
                  </w14:solidFill>
                </w14:textFill>
              </w:rPr>
              <w:t>（含资格要求业绩在内，设置的数量不超过</w:t>
            </w:r>
            <w:r>
              <w:rPr>
                <w:rFonts w:ascii="宋体" w:hAnsi="宋体" w:eastAsia="宋体" w:cs="宋体"/>
                <w:b/>
                <w:color w:val="000000" w:themeColor="text1"/>
                <w:szCs w:val="24"/>
                <w:lang w:eastAsia="zh-CN"/>
                <w14:textFill>
                  <w14:solidFill>
                    <w14:schemeClr w14:val="tx1"/>
                  </w14:solidFill>
                </w14:textFill>
              </w:rPr>
              <w:t>3</w:t>
            </w:r>
            <w:r>
              <w:rPr>
                <w:rFonts w:hint="eastAsia" w:ascii="宋体" w:hAnsi="宋体" w:eastAsia="宋体" w:cs="宋体"/>
                <w:b/>
                <w:color w:val="000000" w:themeColor="text1"/>
                <w:szCs w:val="24"/>
                <w:lang w:eastAsia="zh-CN"/>
                <w14:textFill>
                  <w14:solidFill>
                    <w14:schemeClr w14:val="tx1"/>
                  </w14:solidFill>
                </w14:textFill>
              </w:rPr>
              <w:t>项）</w:t>
            </w:r>
          </w:p>
        </w:tc>
      </w:tr>
      <w:tr w14:paraId="061A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98C6F66">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5EC64B6">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A521AAB">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设计人员配备</w:t>
            </w:r>
          </w:p>
          <w:p w14:paraId="6C1768D2">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3F8A272">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（以联合体形式投标的，指联合体设计方）</w:t>
            </w:r>
            <w:r>
              <w:rPr>
                <w:rFonts w:ascii="宋体" w:hAnsi="宋体" w:eastAsia="宋体" w:cs="宋体"/>
                <w:color w:val="000000" w:themeColor="text1"/>
                <w:szCs w:val="24"/>
                <w14:textFill>
                  <w14:solidFill>
                    <w14:schemeClr w14:val="tx1"/>
                  </w14:solidFill>
                </w14:textFill>
              </w:rPr>
              <w:t>拟派本项目设计</w:t>
            </w:r>
            <w:r>
              <w:rPr>
                <w:rFonts w:hint="eastAsia" w:ascii="宋体" w:hAnsi="宋体" w:eastAsia="宋体" w:cs="宋体"/>
                <w:color w:val="000000" w:themeColor="text1"/>
                <w:szCs w:val="24"/>
                <w14:textFill>
                  <w14:solidFill>
                    <w14:schemeClr w14:val="tx1"/>
                  </w14:solidFill>
                </w14:textFill>
              </w:rPr>
              <w:t>团队中</w:t>
            </w:r>
            <w:r>
              <w:rPr>
                <w:rFonts w:ascii="宋体" w:hAnsi="宋体" w:eastAsia="宋体" w:cs="宋体"/>
                <w:color w:val="000000" w:themeColor="text1"/>
                <w:szCs w:val="24"/>
                <w14:textFill>
                  <w14:solidFill>
                    <w14:schemeClr w14:val="tx1"/>
                  </w14:solidFill>
                </w14:textFill>
              </w:rPr>
              <w:t>（设计负责人除外）</w:t>
            </w:r>
            <w:r>
              <w:rPr>
                <w:rFonts w:hint="eastAsia" w:ascii="宋体" w:hAnsi="宋体" w:eastAsia="宋体" w:cs="宋体"/>
                <w:color w:val="000000" w:themeColor="text1"/>
                <w:szCs w:val="24"/>
                <w14:textFill>
                  <w14:solidFill>
                    <w14:schemeClr w14:val="tx1"/>
                  </w14:solidFill>
                </w14:textFill>
              </w:rPr>
              <w:t>每有一人具有输变电工程相关专业</w:t>
            </w:r>
            <w:r>
              <w:rPr>
                <w:rFonts w:ascii="宋体" w:hAnsi="宋体" w:eastAsia="宋体" w:cs="宋体"/>
                <w:color w:val="000000" w:themeColor="text1"/>
                <w:szCs w:val="24"/>
                <w14:textFill>
                  <w14:solidFill>
                    <w14:schemeClr w14:val="tx1"/>
                  </w14:solidFill>
                </w14:textFill>
              </w:rPr>
              <w:t>高级职称证书的，得</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本项</w:t>
            </w:r>
            <w:r>
              <w:rPr>
                <w:rFonts w:ascii="宋体" w:hAnsi="宋体" w:eastAsia="宋体" w:cs="宋体"/>
                <w:color w:val="000000" w:themeColor="text1"/>
                <w:szCs w:val="24"/>
                <w14:textFill>
                  <w14:solidFill>
                    <w14:schemeClr w14:val="tx1"/>
                  </w14:solidFill>
                </w14:textFill>
              </w:rPr>
              <w:t>最多得</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。（上传</w:t>
            </w:r>
            <w:r>
              <w:rPr>
                <w:rFonts w:hint="eastAsia" w:ascii="宋体" w:hAnsi="宋体" w:eastAsia="宋体" w:cs="宋体"/>
                <w:color w:val="000000" w:themeColor="text1"/>
                <w:szCs w:val="24"/>
                <w14:textFill>
                  <w14:solidFill>
                    <w14:schemeClr w14:val="tx1"/>
                  </w14:solidFill>
                </w14:textFill>
              </w:rPr>
              <w:t>职称</w:t>
            </w:r>
            <w:r>
              <w:rPr>
                <w:rFonts w:ascii="宋体" w:hAnsi="宋体" w:eastAsia="宋体" w:cs="宋体"/>
                <w:color w:val="000000" w:themeColor="text1"/>
                <w:szCs w:val="24"/>
                <w14:textFill>
                  <w14:solidFill>
                    <w14:schemeClr w14:val="tx1"/>
                  </w14:solidFill>
                </w14:textFill>
              </w:rPr>
              <w:t>证书扫描件及自202  年  月以来任意连续3个月的社会劳动保障部门出具的社会保险缴费证明（需加盖人社部门公章）原件扫描件或带电子章的参保单位缴费信息证明的原件扫描件，且社保证明材料所记载的单位必须是该投标单位或其分公司。</w:t>
            </w:r>
            <w:r>
              <w:rPr>
                <w:rFonts w:hint="eastAsia" w:ascii="宋体" w:hAnsi="宋体" w:eastAsia="宋体" w:cs="宋体"/>
                <w:color w:val="000000" w:themeColor="text1"/>
                <w:szCs w:val="24"/>
                <w14:textFill>
                  <w14:solidFill>
                    <w14:schemeClr w14:val="tx1"/>
                  </w14:solidFill>
                </w14:textFill>
              </w:rPr>
              <w:t>）</w:t>
            </w:r>
          </w:p>
          <w:p w14:paraId="2AA7FDC6">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b/>
                <w:color w:val="000000" w:themeColor="text1"/>
                <w:szCs w:val="24"/>
                <w:lang w:eastAsia="zh-CN"/>
                <w14:textFill>
                  <w14:solidFill>
                    <w14:schemeClr w14:val="tx1"/>
                  </w14:solidFill>
                </w14:textFill>
              </w:rPr>
            </w:pPr>
            <w:r>
              <w:rPr>
                <w:rFonts w:hint="eastAsia" w:ascii="宋体" w:hAnsi="宋体" w:eastAsia="宋体" w:cs="宋体"/>
                <w:b/>
                <w:color w:val="000000" w:themeColor="text1"/>
                <w:szCs w:val="24"/>
                <w:lang w:eastAsia="zh-CN"/>
                <w14:textFill>
                  <w14:solidFill>
                    <w14:schemeClr w14:val="tx1"/>
                  </w14:solidFill>
                </w14:textFill>
              </w:rPr>
              <w:t>（可考察设计人员职称、岗位证书、专业配置等）</w:t>
            </w:r>
          </w:p>
        </w:tc>
      </w:tr>
      <w:tr w14:paraId="2946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514D085">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5E3F536">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42FC905">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企业奖项</w:t>
            </w:r>
          </w:p>
          <w:p w14:paraId="17295EAF">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857FE42">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投标人（以联合体形式投标的，指联合体中任意一方）近三年</w:t>
            </w:r>
            <w:r>
              <w:rPr>
                <w:rFonts w:ascii="宋体" w:hAnsi="宋体" w:eastAsia="宋体" w:cs="宋体"/>
                <w:color w:val="000000" w:themeColor="text1"/>
                <w:szCs w:val="24"/>
                <w14:textFill>
                  <w14:solidFill>
                    <w14:schemeClr w14:val="tx1"/>
                  </w14:solidFill>
                </w14:textFill>
              </w:rPr>
              <w:t>(以投标文件递交截止时间往前推算，以奖项文件或奖项证书印发时间为准)，完成过的输变电工程相关项目业绩获得过国家级输变电工程类项目奖项的</w:t>
            </w:r>
            <w:r>
              <w:rPr>
                <w:rFonts w:hint="eastAsia" w:ascii="宋体" w:hAnsi="宋体" w:eastAsia="宋体" w:cs="宋体"/>
                <w:color w:val="000000" w:themeColor="text1"/>
                <w:szCs w:val="24"/>
                <w14:textFill>
                  <w14:solidFill>
                    <w14:schemeClr w14:val="tx1"/>
                  </w14:solidFill>
                </w14:textFill>
              </w:rPr>
              <w:t>，每有一个得</w:t>
            </w:r>
            <w:r>
              <w:rPr>
                <w:rFonts w:ascii="宋体" w:hAnsi="宋体" w:eastAsia="宋体" w:cs="宋体"/>
                <w:color w:val="000000" w:themeColor="text1"/>
                <w:szCs w:val="24"/>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分，获得过省级及以上</w:t>
            </w:r>
            <w:r>
              <w:rPr>
                <w:rFonts w:ascii="宋体" w:hAnsi="宋体" w:eastAsia="宋体" w:cs="宋体"/>
                <w:color w:val="000000" w:themeColor="text1"/>
                <w:szCs w:val="24"/>
                <w14:textFill>
                  <w14:solidFill>
                    <w14:schemeClr w14:val="tx1"/>
                  </w14:solidFill>
                </w14:textFill>
              </w:rPr>
              <w:t>(自治区、直辖市) 输变电工程类项目奖项的</w:t>
            </w:r>
            <w:r>
              <w:rPr>
                <w:rFonts w:hint="eastAsia" w:ascii="宋体" w:hAnsi="宋体" w:eastAsia="宋体" w:cs="宋体"/>
                <w:color w:val="000000" w:themeColor="text1"/>
                <w:szCs w:val="24"/>
                <w14:textFill>
                  <w14:solidFill>
                    <w14:schemeClr w14:val="tx1"/>
                  </w14:solidFill>
                </w14:textFill>
              </w:rPr>
              <w:t>，每有一个得</w:t>
            </w:r>
            <w:r>
              <w:rPr>
                <w:rFonts w:ascii="宋体" w:hAnsi="宋体" w:eastAsia="宋体" w:cs="宋体"/>
                <w:color w:val="000000" w:themeColor="text1"/>
                <w:szCs w:val="24"/>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分，获得过市级</w:t>
            </w:r>
            <w:r>
              <w:rPr>
                <w:rFonts w:ascii="宋体" w:hAnsi="宋体" w:eastAsia="宋体" w:cs="宋体"/>
                <w:color w:val="000000" w:themeColor="text1"/>
                <w:szCs w:val="24"/>
                <w14:textFill>
                  <w14:solidFill>
                    <w14:schemeClr w14:val="tx1"/>
                  </w14:solidFill>
                </w14:textFill>
              </w:rPr>
              <w:t>(副省、地市州)及以上</w:t>
            </w:r>
            <w:r>
              <w:rPr>
                <w:rFonts w:hint="eastAsia" w:ascii="宋体" w:hAnsi="宋体" w:eastAsia="宋体" w:cs="宋体"/>
                <w:color w:val="000000" w:themeColor="text1"/>
                <w:szCs w:val="24"/>
                <w14:textFill>
                  <w14:solidFill>
                    <w14:schemeClr w14:val="tx1"/>
                  </w14:solidFill>
                </w14:textFill>
              </w:rPr>
              <w:t>输变电工程类项目奖项的，每有一个得</w:t>
            </w:r>
            <w:r>
              <w:rPr>
                <w:rFonts w:ascii="宋体" w:hAnsi="宋体" w:eastAsia="宋体" w:cs="宋体"/>
                <w:color w:val="000000" w:themeColor="text1"/>
                <w:szCs w:val="24"/>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分，本项最多得</w:t>
            </w:r>
            <w:r>
              <w:rPr>
                <w:rFonts w:ascii="宋体" w:hAnsi="宋体" w:eastAsia="宋体" w:cs="宋体"/>
                <w:color w:val="000000" w:themeColor="text1"/>
                <w:szCs w:val="24"/>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分。（发证单位应为由国家机关或民政部门注册登记的合法颁奖单位，同一奖项只计取一次最高级别奖项。上传获奖证书或获奖文件的原件扫描件。）</w:t>
            </w:r>
          </w:p>
          <w:p w14:paraId="014FDA3E">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注：奖项包括但不限于：优质工程奖、优秀工程设计奖等。</w:t>
            </w:r>
          </w:p>
          <w:p w14:paraId="38E549AB">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b/>
                <w:color w:val="000000" w:themeColor="text1"/>
                <w:szCs w:val="24"/>
                <w:lang w:eastAsia="zh-CN"/>
                <w14:textFill>
                  <w14:solidFill>
                    <w14:schemeClr w14:val="tx1"/>
                  </w14:solidFill>
                </w14:textFill>
              </w:rPr>
            </w:pPr>
            <w:r>
              <w:rPr>
                <w:rFonts w:hint="eastAsia" w:ascii="宋体" w:hAnsi="宋体" w:eastAsia="宋体" w:cs="宋体"/>
                <w:b/>
                <w:color w:val="000000" w:themeColor="text1"/>
                <w:szCs w:val="24"/>
                <w:lang w:eastAsia="zh-CN"/>
                <w14:textFill>
                  <w14:solidFill>
                    <w14:schemeClr w14:val="tx1"/>
                  </w14:solidFill>
                </w14:textFill>
              </w:rPr>
              <w:t>（其中，提供</w:t>
            </w:r>
            <w:r>
              <w:rPr>
                <w:rFonts w:ascii="宋体" w:hAnsi="宋体" w:eastAsia="宋体" w:cs="宋体"/>
                <w:b/>
                <w:color w:val="000000" w:themeColor="text1"/>
                <w:szCs w:val="24"/>
                <w:lang w:eastAsia="zh-CN"/>
                <w14:textFill>
                  <w14:solidFill>
                    <w14:schemeClr w14:val="tx1"/>
                  </w14:solidFill>
                </w14:textFill>
              </w:rPr>
              <w:t>1</w:t>
            </w:r>
            <w:r>
              <w:rPr>
                <w:rFonts w:hint="eastAsia" w:ascii="宋体" w:hAnsi="宋体" w:eastAsia="宋体" w:cs="宋体"/>
                <w:b/>
                <w:color w:val="000000" w:themeColor="text1"/>
                <w:szCs w:val="24"/>
                <w:lang w:eastAsia="zh-CN"/>
                <w14:textFill>
                  <w14:solidFill>
                    <w14:schemeClr w14:val="tx1"/>
                  </w14:solidFill>
                </w14:textFill>
              </w:rPr>
              <w:t>项国家级奖项得分不低于工程奖项总分的</w:t>
            </w:r>
            <w:r>
              <w:rPr>
                <w:rFonts w:ascii="宋体" w:hAnsi="宋体" w:eastAsia="宋体" w:cs="宋体"/>
                <w:b/>
                <w:color w:val="000000" w:themeColor="text1"/>
                <w:szCs w:val="24"/>
                <w:lang w:eastAsia="zh-CN"/>
                <w14:textFill>
                  <w14:solidFill>
                    <w14:schemeClr w14:val="tx1"/>
                  </w14:solidFill>
                </w14:textFill>
              </w:rPr>
              <w:t>1/2</w:t>
            </w:r>
            <w:r>
              <w:rPr>
                <w:rFonts w:hint="eastAsia" w:ascii="宋体" w:hAnsi="宋体" w:eastAsia="宋体" w:cs="宋体"/>
                <w:b/>
                <w:color w:val="000000" w:themeColor="text1"/>
                <w:szCs w:val="24"/>
                <w:lang w:eastAsia="zh-CN"/>
                <w14:textFill>
                  <w14:solidFill>
                    <w14:schemeClr w14:val="tx1"/>
                  </w14:solidFill>
                </w14:textFill>
              </w:rPr>
              <w:t>，提供</w:t>
            </w:r>
            <w:r>
              <w:rPr>
                <w:rFonts w:ascii="宋体" w:hAnsi="宋体" w:eastAsia="宋体" w:cs="宋体"/>
                <w:b/>
                <w:color w:val="000000" w:themeColor="text1"/>
                <w:szCs w:val="24"/>
                <w:lang w:eastAsia="zh-CN"/>
                <w14:textFill>
                  <w14:solidFill>
                    <w14:schemeClr w14:val="tx1"/>
                  </w14:solidFill>
                </w14:textFill>
              </w:rPr>
              <w:t>1</w:t>
            </w:r>
            <w:r>
              <w:rPr>
                <w:rFonts w:hint="eastAsia" w:ascii="宋体" w:hAnsi="宋体" w:eastAsia="宋体" w:cs="宋体"/>
                <w:b/>
                <w:color w:val="000000" w:themeColor="text1"/>
                <w:szCs w:val="24"/>
                <w:lang w:eastAsia="zh-CN"/>
                <w14:textFill>
                  <w14:solidFill>
                    <w14:schemeClr w14:val="tx1"/>
                  </w14:solidFill>
                </w14:textFill>
              </w:rPr>
              <w:t>项省级奖项得分不低于工程奖项总分的</w:t>
            </w:r>
            <w:r>
              <w:rPr>
                <w:rFonts w:ascii="宋体" w:hAnsi="宋体" w:eastAsia="宋体" w:cs="宋体"/>
                <w:b/>
                <w:color w:val="000000" w:themeColor="text1"/>
                <w:szCs w:val="24"/>
                <w:lang w:eastAsia="zh-CN"/>
                <w14:textFill>
                  <w14:solidFill>
                    <w14:schemeClr w14:val="tx1"/>
                  </w14:solidFill>
                </w14:textFill>
              </w:rPr>
              <w:t>1/4</w:t>
            </w:r>
            <w:r>
              <w:rPr>
                <w:rFonts w:hint="eastAsia" w:ascii="宋体" w:hAnsi="宋体" w:eastAsia="宋体" w:cs="宋体"/>
                <w:b/>
                <w:color w:val="000000" w:themeColor="text1"/>
                <w:szCs w:val="24"/>
                <w:lang w:eastAsia="zh-CN"/>
                <w14:textFill>
                  <w14:solidFill>
                    <w14:schemeClr w14:val="tx1"/>
                  </w14:solidFill>
                </w14:textFill>
              </w:rPr>
              <w:t>，提供</w:t>
            </w:r>
            <w:r>
              <w:rPr>
                <w:rFonts w:ascii="宋体" w:hAnsi="宋体" w:eastAsia="宋体" w:cs="宋体"/>
                <w:b/>
                <w:color w:val="000000" w:themeColor="text1"/>
                <w:szCs w:val="24"/>
                <w:lang w:eastAsia="zh-CN"/>
                <w14:textFill>
                  <w14:solidFill>
                    <w14:schemeClr w14:val="tx1"/>
                  </w14:solidFill>
                </w14:textFill>
              </w:rPr>
              <w:t>1</w:t>
            </w:r>
            <w:r>
              <w:rPr>
                <w:rFonts w:hint="eastAsia" w:ascii="宋体" w:hAnsi="宋体" w:eastAsia="宋体" w:cs="宋体"/>
                <w:b/>
                <w:color w:val="000000" w:themeColor="text1"/>
                <w:szCs w:val="24"/>
                <w:lang w:eastAsia="zh-CN"/>
                <w14:textFill>
                  <w14:solidFill>
                    <w14:schemeClr w14:val="tx1"/>
                  </w14:solidFill>
                </w14:textFill>
              </w:rPr>
              <w:t>项市级奖项得分不低于工程奖项总分的</w:t>
            </w:r>
            <w:r>
              <w:rPr>
                <w:rFonts w:ascii="宋体" w:hAnsi="宋体" w:eastAsia="宋体" w:cs="宋体"/>
                <w:b/>
                <w:color w:val="000000" w:themeColor="text1"/>
                <w:szCs w:val="24"/>
                <w:lang w:eastAsia="zh-CN"/>
                <w14:textFill>
                  <w14:solidFill>
                    <w14:schemeClr w14:val="tx1"/>
                  </w14:solidFill>
                </w14:textFill>
              </w:rPr>
              <w:t>1/8</w:t>
            </w:r>
            <w:r>
              <w:rPr>
                <w:rFonts w:hint="eastAsia" w:ascii="宋体" w:hAnsi="宋体" w:eastAsia="宋体" w:cs="宋体"/>
                <w:b/>
                <w:color w:val="000000" w:themeColor="text1"/>
                <w:szCs w:val="24"/>
                <w:lang w:eastAsia="zh-CN"/>
                <w14:textFill>
                  <w14:solidFill>
                    <w14:schemeClr w14:val="tx1"/>
                  </w14:solidFill>
                </w14:textFill>
              </w:rPr>
              <w:t>。）</w:t>
            </w:r>
          </w:p>
        </w:tc>
      </w:tr>
      <w:tr w14:paraId="296E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988345">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2.2.2</w:t>
            </w:r>
          </w:p>
          <w:p w14:paraId="3C9E59C1">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(3)</w:t>
            </w:r>
          </w:p>
        </w:tc>
        <w:tc>
          <w:tcPr>
            <w:tcW w:w="1111"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3577284">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经济评审</w:t>
            </w: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06F0E46">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设计报价得分</w:t>
            </w:r>
          </w:p>
          <w:p w14:paraId="7F75C3AC">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27FF4D9">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1</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 xml:space="preserve">确定评标基准价：若通过初步评审的有效投标单位大于等于5家，评标基准价为各有效投标的投标报价中，去掉一个最高投标报价和一个最低投标报价后的算术平均值；若通过初步评审的有效投标单位少于5家 （不含5家），评标基准价为所有有效投标单位投标报价的算术平均。 </w:t>
            </w:r>
          </w:p>
          <w:p w14:paraId="55DB6A60">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 xml:space="preserve">当投标人的投标报价=评标基准价时，投标人报价得分为满分。 </w:t>
            </w:r>
          </w:p>
          <w:p w14:paraId="31586921">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3</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当投标人的投标报价小于评标基准价时，投标人报价得分=设计报价满分分值-（评标基准价-投标报价）/ 评标基准价×0.1，扣完为止。</w:t>
            </w:r>
          </w:p>
          <w:p w14:paraId="229F2C27">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4</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当投标人的投标报价大于等于评标基准价时，投标人报价得分=设计报价满分分值-（投标报价-评标基准价）/ 评标基准价×0.2，扣完为止。</w:t>
            </w:r>
          </w:p>
        </w:tc>
      </w:tr>
      <w:tr w14:paraId="6B1A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80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8EEE2EC">
            <w:pPr>
              <w:jc w:val="center"/>
              <w:rPr>
                <w:rFonts w:ascii="宋体" w:hAnsi="宋体" w:eastAsia="宋体" w:cs="宋体"/>
                <w:color w:val="000000" w:themeColor="text1"/>
                <w:szCs w:val="24"/>
                <w14:textFill>
                  <w14:solidFill>
                    <w14:schemeClr w14:val="tx1"/>
                  </w14:solidFill>
                </w14:textFill>
              </w:rPr>
            </w:pPr>
          </w:p>
        </w:tc>
        <w:tc>
          <w:tcPr>
            <w:tcW w:w="1111"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2E2BECC">
            <w:pPr>
              <w:jc w:val="center"/>
              <w:rPr>
                <w:rFonts w:ascii="宋体" w:hAnsi="宋体" w:eastAsia="宋体" w:cs="宋体"/>
                <w:color w:val="000000" w:themeColor="text1"/>
                <w:szCs w:val="24"/>
                <w14:textFill>
                  <w14:solidFill>
                    <w14:schemeClr w14:val="tx1"/>
                  </w14:solidFill>
                </w14:textFill>
              </w:rPr>
            </w:pPr>
          </w:p>
        </w:tc>
        <w:tc>
          <w:tcPr>
            <w:tcW w:w="175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479600D">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施工报价得分</w:t>
            </w:r>
          </w:p>
          <w:p w14:paraId="42F93BAF">
            <w:pPr>
              <w:jc w:val="cente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w:t>
            </w:r>
            <w:r>
              <w:rPr>
                <w:rFonts w:ascii="宋体" w:hAnsi="宋体" w:cs="宋体"/>
                <w:b/>
                <w:color w:val="000000" w:themeColor="text1"/>
                <w:u w:val="single"/>
                <w:lang w:val="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分</w:t>
            </w:r>
            <w:r>
              <w:rPr>
                <w:rFonts w:ascii="宋体" w:hAnsi="宋体" w:eastAsia="宋体" w:cs="宋体"/>
                <w:color w:val="000000" w:themeColor="text1"/>
                <w:szCs w:val="24"/>
                <w14:textFill>
                  <w14:solidFill>
                    <w14:schemeClr w14:val="tx1"/>
                  </w14:solidFill>
                </w14:textFill>
              </w:rPr>
              <w:t>)</w:t>
            </w:r>
          </w:p>
        </w:tc>
        <w:tc>
          <w:tcPr>
            <w:tcW w:w="538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04F5E6B">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1</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 xml:space="preserve">确定评标基准价：若通过初步评审的有效投标单位大于等于5家，评标基准价为各有效投标的投标报价中，去掉一个最高投标报价和一个最低投标报价后的算术平均值；若通过初步评审的有效投标单位少于5家 （不含5家），评标基准价为所有有效投标单位投标报价的算术平均。 </w:t>
            </w:r>
          </w:p>
          <w:p w14:paraId="4BCD99F7">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2</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 xml:space="preserve">当投标人的投标报价=评标基准价时，投标人报价得分为满分。 </w:t>
            </w:r>
          </w:p>
          <w:p w14:paraId="3FF08702">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3</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当投标人的投标报价小于评标基准价时，投标人报价得分=</w:t>
            </w:r>
            <w:r>
              <w:rPr>
                <w:rFonts w:hint="eastAsia" w:ascii="宋体" w:hAnsi="宋体" w:eastAsia="宋体" w:cs="宋体"/>
                <w:color w:val="000000" w:themeColor="text1"/>
                <w:szCs w:val="24"/>
                <w14:textFill>
                  <w14:solidFill>
                    <w14:schemeClr w14:val="tx1"/>
                  </w14:solidFill>
                </w14:textFill>
              </w:rPr>
              <w:t>施工</w:t>
            </w:r>
            <w:r>
              <w:rPr>
                <w:rFonts w:ascii="宋体" w:hAnsi="宋体" w:eastAsia="宋体" w:cs="宋体"/>
                <w:color w:val="000000" w:themeColor="text1"/>
                <w:szCs w:val="24"/>
                <w14:textFill>
                  <w14:solidFill>
                    <w14:schemeClr w14:val="tx1"/>
                  </w14:solidFill>
                </w14:textFill>
              </w:rPr>
              <w:t>报价满分分值-（评标基准价-投标报价）/ 评标基准价×0.1，扣完为止。</w:t>
            </w:r>
          </w:p>
          <w:p w14:paraId="4159E87B">
            <w:pPr>
              <w:keepNext w:val="0"/>
              <w:keepLines w:val="0"/>
              <w:pageBreakBefore w:val="0"/>
              <w:widowControl/>
              <w:kinsoku/>
              <w:wordWrap/>
              <w:overflowPunct w:val="0"/>
              <w:topLinePunct w:val="0"/>
              <w:autoSpaceDE w:val="0"/>
              <w:autoSpaceDN w:val="0"/>
              <w:bidi w:val="0"/>
              <w:adjustRightInd w:val="0"/>
              <w:snapToGrid w:val="0"/>
              <w:jc w:val="both"/>
              <w:textAlignment w:val="baseline"/>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4</w:t>
            </w:r>
            <w:r>
              <w:rPr>
                <w:rFonts w:ascii="宋体" w:hAnsi="宋体" w:eastAsia="宋体" w:cs="宋体"/>
                <w:color w:val="000000" w:themeColor="text1"/>
                <w:szCs w:val="24"/>
                <w:lang w:eastAsia="zh-CN"/>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当投标人的投标报价大于等于评标基准价时，投标人报价得分=</w:t>
            </w:r>
            <w:r>
              <w:rPr>
                <w:rFonts w:hint="eastAsia" w:ascii="宋体" w:hAnsi="宋体" w:eastAsia="宋体" w:cs="宋体"/>
                <w:color w:val="000000" w:themeColor="text1"/>
                <w:szCs w:val="24"/>
                <w14:textFill>
                  <w14:solidFill>
                    <w14:schemeClr w14:val="tx1"/>
                  </w14:solidFill>
                </w14:textFill>
              </w:rPr>
              <w:t>施工</w:t>
            </w:r>
            <w:r>
              <w:rPr>
                <w:rFonts w:ascii="宋体" w:hAnsi="宋体" w:eastAsia="宋体" w:cs="宋体"/>
                <w:color w:val="000000" w:themeColor="text1"/>
                <w:szCs w:val="24"/>
                <w14:textFill>
                  <w14:solidFill>
                    <w14:schemeClr w14:val="tx1"/>
                  </w14:solidFill>
                </w14:textFill>
              </w:rPr>
              <w:t>报价满分分值-（投标报价-评标基准价）/ 评标基准价×0.2，扣完为止。</w:t>
            </w:r>
          </w:p>
        </w:tc>
      </w:tr>
    </w:tbl>
    <w:p w14:paraId="7211FC97">
      <w:pPr>
        <w:rPr>
          <w:color w:val="000000" w:themeColor="text1"/>
          <w:lang w:eastAsia="zh-CN"/>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61D4">
    <w:pPr>
      <w:spacing w:line="233" w:lineRule="auto"/>
      <w:rPr>
        <w:rFonts w:ascii="宋体" w:hAnsi="宋体" w:eastAsia="宋体" w:cs="宋体"/>
        <w:sz w:val="29"/>
        <w:szCs w:val="29"/>
        <w:lang w:eastAsia="zh-CN"/>
      </w:rPr>
    </w:pPr>
    <w:r>
      <w:rPr>
        <w:sz w:val="29"/>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57DC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8D57DC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E1"/>
    <w:rsid w:val="00027374"/>
    <w:rsid w:val="001E600D"/>
    <w:rsid w:val="002A5788"/>
    <w:rsid w:val="00384996"/>
    <w:rsid w:val="004579E1"/>
    <w:rsid w:val="0052448A"/>
    <w:rsid w:val="005775D7"/>
    <w:rsid w:val="005C0326"/>
    <w:rsid w:val="006133EF"/>
    <w:rsid w:val="00631FAE"/>
    <w:rsid w:val="006E49BA"/>
    <w:rsid w:val="00743AD2"/>
    <w:rsid w:val="00753834"/>
    <w:rsid w:val="00754BD6"/>
    <w:rsid w:val="00755985"/>
    <w:rsid w:val="007928EF"/>
    <w:rsid w:val="009D7ECF"/>
    <w:rsid w:val="009E0C6B"/>
    <w:rsid w:val="00A743FB"/>
    <w:rsid w:val="00A87050"/>
    <w:rsid w:val="00AD5255"/>
    <w:rsid w:val="00B23298"/>
    <w:rsid w:val="00C110DE"/>
    <w:rsid w:val="00C13EE0"/>
    <w:rsid w:val="00C667BA"/>
    <w:rsid w:val="00CF03C2"/>
    <w:rsid w:val="00DF1549"/>
    <w:rsid w:val="00DF7650"/>
    <w:rsid w:val="00E13295"/>
    <w:rsid w:val="00E72E75"/>
    <w:rsid w:val="00F35F56"/>
    <w:rsid w:val="00F517AC"/>
    <w:rsid w:val="00F611C8"/>
    <w:rsid w:val="05D612B0"/>
    <w:rsid w:val="05D65295"/>
    <w:rsid w:val="07D8317E"/>
    <w:rsid w:val="0A682351"/>
    <w:rsid w:val="0EF64B3C"/>
    <w:rsid w:val="11853D63"/>
    <w:rsid w:val="144623FF"/>
    <w:rsid w:val="18B75EEE"/>
    <w:rsid w:val="1AC705AD"/>
    <w:rsid w:val="1DE7672C"/>
    <w:rsid w:val="1F4320BE"/>
    <w:rsid w:val="2063601A"/>
    <w:rsid w:val="214522F2"/>
    <w:rsid w:val="25882EB2"/>
    <w:rsid w:val="267E5E62"/>
    <w:rsid w:val="2A3D0E7D"/>
    <w:rsid w:val="31FF121B"/>
    <w:rsid w:val="378E68C1"/>
    <w:rsid w:val="37C867E1"/>
    <w:rsid w:val="3DBE1940"/>
    <w:rsid w:val="3FF7E91D"/>
    <w:rsid w:val="3FFEB79F"/>
    <w:rsid w:val="4A373556"/>
    <w:rsid w:val="54F76EB5"/>
    <w:rsid w:val="66C043ED"/>
    <w:rsid w:val="6B7F3B6A"/>
    <w:rsid w:val="6E5A3DDC"/>
    <w:rsid w:val="6EBFA31B"/>
    <w:rsid w:val="71701BA4"/>
    <w:rsid w:val="73BFCD97"/>
    <w:rsid w:val="75BF7CDF"/>
    <w:rsid w:val="77A47413"/>
    <w:rsid w:val="77B9E131"/>
    <w:rsid w:val="7B9E891E"/>
    <w:rsid w:val="7BB2DFD5"/>
    <w:rsid w:val="7DB737AD"/>
    <w:rsid w:val="7DBF3429"/>
    <w:rsid w:val="7DFEC16F"/>
    <w:rsid w:val="7E7420D2"/>
    <w:rsid w:val="7FDFEE79"/>
    <w:rsid w:val="7FE6F4F9"/>
    <w:rsid w:val="7FF7CCC4"/>
    <w:rsid w:val="AF2721F9"/>
    <w:rsid w:val="B7FB9433"/>
    <w:rsid w:val="C375A2BA"/>
    <w:rsid w:val="CBE309E9"/>
    <w:rsid w:val="D6D7DE4D"/>
    <w:rsid w:val="D7AFE77A"/>
    <w:rsid w:val="DBE76D6B"/>
    <w:rsid w:val="DFBFBFEA"/>
    <w:rsid w:val="DFF64D47"/>
    <w:rsid w:val="E77D323B"/>
    <w:rsid w:val="F2FEADCE"/>
    <w:rsid w:val="F7B90F32"/>
    <w:rsid w:val="F7BBA5B2"/>
    <w:rsid w:val="F7BD0A76"/>
    <w:rsid w:val="FCADD550"/>
    <w:rsid w:val="FE548FFE"/>
    <w:rsid w:val="FE7FE9E4"/>
    <w:rsid w:val="FEF71B55"/>
    <w:rsid w:val="FF1FD123"/>
    <w:rsid w:val="FF9FA6FB"/>
    <w:rsid w:val="FFCB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880" w:firstLineChars="200"/>
    </w:pPr>
  </w:style>
  <w:style w:type="paragraph" w:styleId="5">
    <w:name w:val="Body Text"/>
    <w:basedOn w:val="1"/>
    <w:semiHidden/>
    <w:qFormat/>
    <w:uiPriority w:val="0"/>
    <w:rPr>
      <w:rFonts w:ascii="仿宋" w:hAnsi="仿宋" w:eastAsia="仿宋" w:cs="仿宋"/>
      <w:sz w:val="30"/>
      <w:szCs w:val="30"/>
    </w:rPr>
  </w:style>
  <w:style w:type="paragraph" w:styleId="6">
    <w:name w:val="Body Text Indent"/>
    <w:basedOn w:val="1"/>
    <w:next w:val="7"/>
    <w:qFormat/>
    <w:uiPriority w:val="0"/>
    <w:pPr>
      <w:spacing w:after="120"/>
      <w:ind w:left="420" w:leftChars="200"/>
    </w:pPr>
    <w:rPr>
      <w:rFonts w:ascii="Times New Roman" w:hAnsi="Times New Roman"/>
    </w:rPr>
  </w:style>
  <w:style w:type="paragraph" w:styleId="7">
    <w:name w:val="annotation subject"/>
    <w:next w:val="1"/>
    <w:qFormat/>
    <w:uiPriority w:val="0"/>
    <w:pPr>
      <w:widowControl w:val="0"/>
    </w:pPr>
    <w:rPr>
      <w:rFonts w:ascii="Calibri" w:hAnsi="Calibri" w:eastAsia="宋体" w:cs="Times New Roman"/>
      <w:b/>
      <w:kern w:val="2"/>
      <w:sz w:val="21"/>
      <w:szCs w:val="24"/>
      <w:lang w:val="en-US" w:eastAsia="zh-CN" w:bidi="ar-SA"/>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Autospacing="1" w:afterAutospacing="1"/>
    </w:pPr>
    <w:rPr>
      <w:sz w:val="24"/>
    </w:rPr>
  </w:style>
  <w:style w:type="paragraph" w:styleId="12">
    <w:name w:val="Body Text First Indent 2"/>
    <w:basedOn w:val="6"/>
    <w:next w:val="4"/>
    <w:qFormat/>
    <w:uiPriority w:val="0"/>
    <w:pPr>
      <w:ind w:firstLine="420" w:firstLineChars="200"/>
    </w:pPr>
  </w:style>
  <w:style w:type="character" w:styleId="15">
    <w:name w:val="Strong"/>
    <w:basedOn w:val="14"/>
    <w:qFormat/>
    <w:uiPriority w:val="0"/>
    <w:rPr>
      <w:b/>
    </w:rPr>
  </w:style>
  <w:style w:type="paragraph" w:customStyle="1" w:styleId="16">
    <w:name w:val="Table Text"/>
    <w:basedOn w:val="1"/>
    <w:semiHidden/>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批注框文本 Char"/>
    <w:basedOn w:val="14"/>
    <w:link w:val="8"/>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4471</Words>
  <Characters>4731</Characters>
  <Lines>44</Lines>
  <Paragraphs>12</Paragraphs>
  <TotalTime>34</TotalTime>
  <ScaleCrop>false</ScaleCrop>
  <LinksUpToDate>false</LinksUpToDate>
  <CharactersWithSpaces>4921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2026-04-15T19:26:00Z</dcterms:created>
  <dc:creator>poiso</dc:creator>
  <cp:lastModifiedBy>user</cp:lastModifiedBy>
  <dcterms:modified xsi:type="dcterms:W3CDTF">2026-04-15T10:54:23Z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eyJoZGlkIjoiZjMxYTZhNTdiMWE1MzYwMmE4NjdkMWVmOTc5MmQ2MDQiLCJ1c2VySWQiOiIzMDk2MTIwMTQifQ==</vt:lpwstr>
  </property>
  <property fmtid="{D5CDD505-2E9C-101B-9397-08002B2CF9AE}" pid="4" name="ICV">
    <vt:lpwstr>799D69B3394CDB3CDFFDDE69E56340B2_43</vt:lpwstr>
  </property>
</Properties>
</file>