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宜昌市</w:t>
      </w:r>
      <w:r>
        <w:rPr>
          <w:rFonts w:hint="eastAsia" w:ascii="方正小标宋简体" w:hAnsi="方正小标宋简体" w:eastAsia="方正小标宋简体" w:cs="方正小标宋简体"/>
          <w:color w:val="auto"/>
          <w:sz w:val="36"/>
          <w:szCs w:val="36"/>
          <w:lang w:eastAsia="zh-CN"/>
        </w:rPr>
        <w:t>夷陵区</w:t>
      </w:r>
      <w:r>
        <w:rPr>
          <w:rFonts w:hint="eastAsia" w:ascii="方正小标宋简体" w:hAnsi="方正小标宋简体" w:eastAsia="方正小标宋简体" w:cs="方正小标宋简体"/>
          <w:color w:val="auto"/>
          <w:sz w:val="36"/>
          <w:szCs w:val="36"/>
        </w:rPr>
        <w:t>烟草制品零售点合理布局规划</w:t>
      </w:r>
    </w:p>
    <w:p>
      <w:pPr>
        <w:jc w:val="center"/>
        <w:rPr>
          <w:rFonts w:hint="eastAsia" w:ascii="方正小标宋简体" w:hAnsi="方正小标宋简体" w:eastAsia="方正小标宋简体" w:cs="方正小标宋简体"/>
          <w:color w:val="auto"/>
          <w:sz w:val="24"/>
          <w:szCs w:val="24"/>
          <w:lang w:eastAsia="zh-CN"/>
        </w:rPr>
      </w:pPr>
      <w:r>
        <w:rPr>
          <w:rFonts w:hint="eastAsia" w:ascii="方正小标宋简体" w:hAnsi="方正小标宋简体" w:eastAsia="方正小标宋简体" w:cs="方正小标宋简体"/>
          <w:color w:val="auto"/>
          <w:sz w:val="24"/>
          <w:szCs w:val="24"/>
          <w:lang w:eastAsia="zh-CN"/>
        </w:rPr>
        <w:t>（征求意见稿）</w:t>
      </w:r>
    </w:p>
    <w:p>
      <w:pPr>
        <w:jc w:val="center"/>
        <w:rPr>
          <w:rFonts w:hint="eastAsia" w:ascii="黑体" w:hAnsi="黑体" w:eastAsia="黑体" w:cs="黑体"/>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ind w:firstLine="640" w:firstLineChars="200"/>
        <w:rPr>
          <w:rFonts w:hint="eastAsia" w:ascii="仿宋_GB2312" w:hAnsi="仿宋_GB2312" w:eastAsia="仿宋_GB2312" w:cs="仿宋_GB2312"/>
          <w:color w:val="auto"/>
          <w:sz w:val="32"/>
          <w:szCs w:val="32"/>
        </w:rPr>
      </w:pP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为深入推进“放管服”改革，更好地适应国家简政放权的要求，切实履行控烟履约责任义务，保护未成年人身心健康，合理配置烟草市场资源，规范烟草制品零售市场经营秩序，优化营商环境，维护国家利益，保护消费者的合法权益，促进烟草零售市场健康发展，根据《中华人民共和国行政许可法》《中华人民共和国烟草专卖法》《中华人民共和国未成年人保护法》《中华人民共和国烟草专卖法实施条例》《烟草专卖许可证管理办法》及《烟草专卖许可证管理办法实施细则》等法律法规、规章和规范性文件规定，结合本辖区实际，制定本规划。</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第二条本规划适用于宜昌市</w:t>
      </w:r>
      <w:r>
        <w:rPr>
          <w:rFonts w:hint="eastAsia" w:ascii="仿宋_GB2312" w:hAnsi="仿宋_GB2312" w:eastAsia="仿宋_GB2312" w:cs="仿宋_GB2312"/>
          <w:color w:val="auto"/>
          <w:sz w:val="32"/>
          <w:szCs w:val="32"/>
          <w:lang w:eastAsia="zh-CN"/>
        </w:rPr>
        <w:t>夷陵区</w:t>
      </w:r>
      <w:r>
        <w:rPr>
          <w:rFonts w:hint="eastAsia" w:ascii="仿宋_GB2312" w:hAnsi="仿宋_GB2312" w:eastAsia="仿宋_GB2312" w:cs="仿宋_GB2312"/>
          <w:color w:val="auto"/>
          <w:sz w:val="32"/>
          <w:szCs w:val="32"/>
        </w:rPr>
        <w:t>行政区域范围内烟草制品零售点（电子烟除外）的设置与管理。</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第三条本规划所称烟草制品零售点是指公民、法人及其他组织依法申请取得烟草专卖零售许可证从事烟草制品零售经营活动的场所。</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烟草制品零售点应当设置于与住所相独立的固定经营场所，并在烟草专卖零售许可证核定的经营场所范围内面向公众经营。</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第四条根据宜昌市</w:t>
      </w:r>
      <w:r>
        <w:rPr>
          <w:rFonts w:hint="eastAsia" w:ascii="仿宋_GB2312" w:hAnsi="仿宋_GB2312" w:eastAsia="仿宋_GB2312" w:cs="仿宋_GB2312"/>
          <w:color w:val="auto"/>
          <w:sz w:val="32"/>
          <w:szCs w:val="32"/>
          <w:lang w:eastAsia="zh-CN"/>
        </w:rPr>
        <w:t>夷陵区</w:t>
      </w:r>
      <w:r>
        <w:rPr>
          <w:rFonts w:hint="eastAsia" w:ascii="仿宋_GB2312" w:hAnsi="仿宋_GB2312" w:eastAsia="仿宋_GB2312" w:cs="仿宋_GB2312"/>
          <w:color w:val="auto"/>
          <w:sz w:val="32"/>
          <w:szCs w:val="32"/>
        </w:rPr>
        <w:t>行政区域人口数量、交通状况、经济发展水平、消费能力等因素，遵循依法依规、科学规划、服务社会、均衡发展的原则，采取“合理数量范围+间距标准”模式，对本辖区各区域单元内的零售点进行布局调整、动态管理。</w:t>
      </w:r>
    </w:p>
    <w:p>
      <w:pPr>
        <w:ind w:firstLine="640" w:firstLineChars="200"/>
        <w:rPr>
          <w:rFonts w:ascii="仿宋_GB2312" w:hAnsi="仿宋_GB2312" w:eastAsia="仿宋_GB2312" w:cs="仿宋_GB2312"/>
          <w:color w:val="auto"/>
          <w:sz w:val="32"/>
          <w:szCs w:val="32"/>
        </w:rPr>
      </w:pPr>
    </w:p>
    <w:p>
      <w:pPr>
        <w:jc w:val="center"/>
        <w:rPr>
          <w:rFonts w:ascii="黑体" w:hAnsi="黑体" w:eastAsia="黑体" w:cs="黑体"/>
          <w:color w:val="auto"/>
          <w:sz w:val="32"/>
          <w:szCs w:val="32"/>
        </w:rPr>
      </w:pPr>
      <w:r>
        <w:rPr>
          <w:rFonts w:hint="eastAsia" w:ascii="黑体" w:hAnsi="黑体" w:eastAsia="黑体" w:cs="黑体"/>
          <w:color w:val="auto"/>
          <w:sz w:val="32"/>
          <w:szCs w:val="32"/>
        </w:rPr>
        <w:t>第二章  禁止性规定</w:t>
      </w:r>
    </w:p>
    <w:p>
      <w:pPr>
        <w:ind w:firstLine="640" w:firstLineChars="200"/>
        <w:rPr>
          <w:rFonts w:ascii="仿宋_GB2312" w:hAnsi="仿宋_GB2312" w:eastAsia="仿宋_GB2312" w:cs="仿宋_GB2312"/>
          <w:color w:val="auto"/>
          <w:sz w:val="32"/>
          <w:szCs w:val="32"/>
        </w:rPr>
      </w:pP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第五条具有下列情形之一的，不予设置烟草制品零售点：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（一）不符合主体资格的：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未取得营业执照的；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未成年人、无民事行为能力人及限制民事行为能力人；</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外商投资的商业企业或者个体工商户，及其以特许、吸纳加盟店及其他再投资等形式从事烟草专卖品经营业务的；但有外资成分以提供住宿、餐饮、休闲、娱乐为主要经营的宾馆、酒店等企业，其零售业态属于“娱乐服务类”的，以及《烟草专卖许可证管理办法》第六十三条规定的除外；</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取消从事烟草专卖业务资格不满三年的；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因申请人隐瞒有关情况或者提供虚假材料，烟草专卖行政主管部门作出不予受理或者不予发证决定后，申请人一年内再次提出申请的；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因申请人以欺骗、贿赂等不正当手段取得的烟草专卖许可证被撤销后，申请人三年内再次提出申请的；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未领取烟草专卖零售许可证经营烟草专卖品业务，并且一年内被执法机关处罚两次以上，在三年内申请领取烟草专卖零售许可的；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未领取烟草专卖零售许可证经营烟草专卖品业务被追究刑事责任，在三年内申请领取烟草专卖零售许可证的。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（二）不符合经营模式要求的：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利用自动售货装置或者其他自动售货形式，销售或者变相销售烟草制品的；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通过信息网络渠道销售烟草制品的；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（三）不符合经营场所条件的：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无固定经营场所的；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经营场所与住所不相独立的；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流动摊点、简易搭盖、临时建筑、违章建筑、占用公共消防通道等经营场所，建筑工地申办短期烟草专卖零售许可证的除外；</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经营场所存在安全隐患，且不具备安全措施保障，不适宜经营卷烟的；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经营场所生产、经营、储存有毒有害、易挥发类物质，不符合食品安全标准，容易造成烟草制品污染的。包括但不限于生产、销售、经营、储存烟花爆竹、有毒有害、化工制品、农资、农药及其它带有腐蚀性、易挥发类商品的场所等；  </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同一经营场所已经办理了烟草专卖零售许可证，且该许可证在有效期内的；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（四）其他不符合规定条件的：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因申请人隐瞒有关情况或者提供虚假材料的；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中小学、幼儿园等以未成年人为主要活动人群的场所内部及其出（入）口50米范围内；</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已被政府纳入拆迁规划，且政府明令禁止办理营业执照的区域；</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党政机关内部、无烟医疗卫生机构所属区域等政府、所属行业行政主管部门明令禁止经营烟草制品的区域；</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未形成便利店、超市、商场、烟草专业店、娱乐服务场所等实际商品展卖场所的商用楼宇内；</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住宅小区除平层全开放式门店外的其他场所；</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容易诱导未成年人关注、购买、吸食卷烟的经营场所,包括但不限于中小学、幼儿园等以未成年人为主要活动人群的场所，以及母婴用品店、文具店、玩具店、游乐场所等以未成年人为主要消费群体的场所；</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营通信器材、电子商品、美容美甲、保健按摩、药妆医械、建材装饰、五金交电、家电家具、金融证券、仪器仪表、金银珠宝、修理修配、摄影摄像、咨询服务、寄递配送、服装制售、中介劳服、寄卖典当、汽车租赁、图文印刷、机耕农具、生产仓储、停车修车、汽车美容、农畜养殖、床上用品、彩票站、剧院、图书馆、展览馆等与烟草制品零售业务没有直接或间接互补营销关系的场所；</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零售点数量已达到所在区域单元合理布局规划上限或者不符合本规划零售点间距要求的；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法律、法规、规章和国家烟草专卖局规定的其他不予设置烟草制品零售点的情形。</w:t>
      </w:r>
    </w:p>
    <w:p>
      <w:pPr>
        <w:jc w:val="center"/>
        <w:rPr>
          <w:rFonts w:ascii="黑体" w:hAnsi="黑体" w:eastAsia="黑体" w:cs="黑体"/>
          <w:color w:val="auto"/>
          <w:sz w:val="32"/>
          <w:szCs w:val="32"/>
        </w:rPr>
      </w:pPr>
    </w:p>
    <w:p>
      <w:pPr>
        <w:jc w:val="center"/>
        <w:rPr>
          <w:rFonts w:ascii="黑体" w:hAnsi="黑体" w:eastAsia="黑体" w:cs="黑体"/>
          <w:color w:val="auto"/>
          <w:sz w:val="32"/>
          <w:szCs w:val="32"/>
        </w:rPr>
      </w:pPr>
      <w:r>
        <w:rPr>
          <w:rFonts w:hint="eastAsia" w:ascii="黑体" w:hAnsi="黑体" w:eastAsia="黑体" w:cs="黑体"/>
          <w:color w:val="auto"/>
          <w:sz w:val="32"/>
          <w:szCs w:val="32"/>
        </w:rPr>
        <w:t>第三章 布局标准</w:t>
      </w:r>
    </w:p>
    <w:p>
      <w:pPr>
        <w:ind w:firstLine="640" w:firstLineChars="200"/>
        <w:rPr>
          <w:rFonts w:ascii="仿宋_GB2312" w:hAnsi="仿宋_GB2312" w:eastAsia="仿宋_GB2312" w:cs="仿宋_GB2312"/>
          <w:color w:val="auto"/>
          <w:sz w:val="32"/>
          <w:szCs w:val="32"/>
        </w:rPr>
      </w:pPr>
    </w:p>
    <w:p>
      <w:pPr>
        <w:adjustRightInd w:val="0"/>
        <w:snapToGrid w:val="0"/>
        <w:spacing w:line="600" w:lineRule="exact"/>
        <w:ind w:firstLine="640" w:firstLineChars="200"/>
        <w:rPr>
          <w:rFonts w:ascii="仿宋_GB2312" w:hAnsi="仿宋" w:eastAsia="仿宋_GB2312" w:cs="仿宋_GB2312"/>
          <w:color w:val="auto"/>
          <w:sz w:val="32"/>
          <w:szCs w:val="32"/>
        </w:rPr>
      </w:pPr>
      <w:r>
        <w:rPr>
          <w:rFonts w:hint="eastAsia" w:ascii="仿宋_GB2312" w:hAnsi="仿宋_GB2312" w:eastAsia="仿宋_GB2312" w:cs="仿宋_GB2312"/>
          <w:color w:val="auto"/>
          <w:sz w:val="32"/>
          <w:szCs w:val="32"/>
        </w:rPr>
        <w:t>第六条</w:t>
      </w:r>
      <w:r>
        <w:rPr>
          <w:rFonts w:hint="eastAsia" w:ascii="仿宋_GB2312" w:hAnsi="宋体" w:eastAsia="仿宋_GB2312" w:cs="Times New Roman"/>
          <w:color w:val="auto"/>
          <w:sz w:val="32"/>
          <w:szCs w:val="32"/>
        </w:rPr>
        <w:t>宜昌</w:t>
      </w:r>
      <w:r>
        <w:rPr>
          <w:rFonts w:ascii="仿宋_GB2312" w:hAnsi="仿宋" w:eastAsia="仿宋_GB2312"/>
          <w:color w:val="auto"/>
          <w:sz w:val="32"/>
          <w:szCs w:val="32"/>
        </w:rPr>
        <w:t>市夷陵区</w:t>
      </w:r>
      <w:r>
        <w:rPr>
          <w:rFonts w:ascii="仿宋_GB2312" w:hAnsi="仿宋" w:eastAsia="仿宋_GB2312" w:cs="仿宋_GB2312"/>
          <w:color w:val="auto"/>
          <w:sz w:val="32"/>
          <w:szCs w:val="32"/>
        </w:rPr>
        <w:t>烟草专卖局根据人口、销量、经济发展情况</w:t>
      </w:r>
      <w:r>
        <w:rPr>
          <w:rFonts w:hint="eastAsia" w:ascii="仿宋_GB2312" w:hAnsi="仿宋" w:eastAsia="仿宋_GB2312" w:cs="仿宋_GB2312"/>
          <w:color w:val="auto"/>
          <w:sz w:val="32"/>
          <w:szCs w:val="32"/>
        </w:rPr>
        <w:t>等指标，</w:t>
      </w:r>
      <w:r>
        <w:rPr>
          <w:rFonts w:hint="eastAsia" w:ascii="仿宋_GB2312" w:hAnsi="宋体" w:eastAsia="仿宋_GB2312" w:cs="Times New Roman"/>
          <w:color w:val="auto"/>
          <w:sz w:val="32"/>
          <w:szCs w:val="32"/>
        </w:rPr>
        <w:t>组合运用“数量+间距”的布局模式，</w:t>
      </w:r>
      <w:r>
        <w:rPr>
          <w:rFonts w:hint="eastAsia" w:ascii="仿宋_GB2312" w:hAnsi="仿宋" w:eastAsia="仿宋_GB2312" w:cs="仿宋_GB2312"/>
          <w:color w:val="auto"/>
          <w:sz w:val="32"/>
          <w:szCs w:val="32"/>
        </w:rPr>
        <w:t>测</w:t>
      </w:r>
      <w:r>
        <w:rPr>
          <w:rFonts w:ascii="仿宋_GB2312" w:hAnsi="仿宋" w:eastAsia="仿宋_GB2312" w:cs="仿宋_GB2312"/>
          <w:color w:val="auto"/>
          <w:sz w:val="32"/>
          <w:szCs w:val="32"/>
        </w:rPr>
        <w:t>算</w:t>
      </w:r>
      <w:r>
        <w:rPr>
          <w:rFonts w:hint="eastAsia" w:ascii="仿宋_GB2312" w:hAnsi="仿宋" w:eastAsia="仿宋_GB2312" w:cs="仿宋_GB2312"/>
          <w:color w:val="auto"/>
          <w:sz w:val="32"/>
          <w:szCs w:val="32"/>
        </w:rPr>
        <w:t>辖区</w:t>
      </w:r>
      <w:r>
        <w:rPr>
          <w:rFonts w:ascii="仿宋_GB2312" w:hAnsi="仿宋" w:eastAsia="仿宋_GB2312" w:cs="仿宋_GB2312"/>
          <w:color w:val="auto"/>
          <w:sz w:val="32"/>
          <w:szCs w:val="32"/>
        </w:rPr>
        <w:t>各</w:t>
      </w:r>
      <w:r>
        <w:rPr>
          <w:rFonts w:hint="eastAsia" w:ascii="仿宋_GB2312" w:hAnsi="仿宋" w:eastAsia="仿宋_GB2312" w:cs="仿宋_GB2312"/>
          <w:color w:val="auto"/>
          <w:sz w:val="32"/>
          <w:szCs w:val="32"/>
        </w:rPr>
        <w:t>区域单元内烟草制品</w:t>
      </w:r>
      <w:r>
        <w:rPr>
          <w:rFonts w:ascii="仿宋_GB2312" w:hAnsi="仿宋" w:eastAsia="仿宋_GB2312" w:cs="仿宋_GB2312"/>
          <w:color w:val="auto"/>
          <w:sz w:val="32"/>
          <w:szCs w:val="32"/>
        </w:rPr>
        <w:t>零售点</w:t>
      </w:r>
      <w:r>
        <w:rPr>
          <w:rFonts w:hint="eastAsia" w:ascii="仿宋_GB2312" w:hAnsi="仿宋" w:eastAsia="仿宋_GB2312" w:cs="仿宋_GB2312"/>
          <w:color w:val="auto"/>
          <w:sz w:val="32"/>
          <w:szCs w:val="32"/>
        </w:rPr>
        <w:t>的</w:t>
      </w:r>
      <w:r>
        <w:rPr>
          <w:rFonts w:ascii="仿宋_GB2312" w:hAnsi="仿宋" w:eastAsia="仿宋_GB2312" w:cs="仿宋_GB2312"/>
          <w:color w:val="auto"/>
          <w:sz w:val="32"/>
          <w:szCs w:val="32"/>
        </w:rPr>
        <w:t>合理容量（</w:t>
      </w:r>
      <w:r>
        <w:rPr>
          <w:rFonts w:hint="eastAsia" w:ascii="仿宋_GB2312" w:hAnsi="宋体" w:eastAsia="仿宋_GB2312" w:cs="Times New Roman"/>
          <w:color w:val="auto"/>
          <w:sz w:val="32"/>
          <w:szCs w:val="32"/>
        </w:rPr>
        <w:t>合理数量范围与间距标准</w:t>
      </w:r>
      <w:r>
        <w:rPr>
          <w:rFonts w:ascii="仿宋_GB2312" w:hAnsi="仿宋" w:eastAsia="仿宋_GB2312" w:cs="仿宋_GB2312"/>
          <w:color w:val="auto"/>
          <w:sz w:val="32"/>
          <w:szCs w:val="32"/>
        </w:rPr>
        <w:t>）</w:t>
      </w:r>
      <w:r>
        <w:rPr>
          <w:rFonts w:hint="eastAsia" w:ascii="仿宋_GB2312" w:hAnsi="仿宋" w:eastAsia="仿宋_GB2312" w:cs="仿宋_GB2312"/>
          <w:color w:val="auto"/>
          <w:sz w:val="32"/>
          <w:szCs w:val="32"/>
        </w:rPr>
        <w:t>。</w:t>
      </w:r>
    </w:p>
    <w:p>
      <w:pPr>
        <w:adjustRightInd w:val="0"/>
        <w:snapToGrid w:val="0"/>
        <w:spacing w:line="600" w:lineRule="exact"/>
        <w:ind w:firstLine="627" w:firstLineChars="196"/>
        <w:rPr>
          <w:rFonts w:ascii="仿宋_GB2312" w:hAnsi="仿宋_GB2312" w:eastAsia="仿宋_GB2312" w:cs="仿宋_GB2312"/>
          <w:color w:val="auto"/>
          <w:sz w:val="32"/>
          <w:szCs w:val="32"/>
        </w:rPr>
      </w:pPr>
      <w:r>
        <w:rPr>
          <w:rFonts w:hint="eastAsia" w:ascii="仿宋_GB2312" w:hAnsi="宋体" w:eastAsia="仿宋_GB2312" w:cs="Times New Roman"/>
          <w:color w:val="auto"/>
          <w:sz w:val="32"/>
          <w:szCs w:val="32"/>
        </w:rPr>
        <w:t>为了合理满足消费需求、落实控烟履约要求，宜昌</w:t>
      </w:r>
      <w:r>
        <w:rPr>
          <w:rFonts w:ascii="仿宋_GB2312" w:hAnsi="仿宋" w:eastAsia="仿宋_GB2312"/>
          <w:color w:val="auto"/>
          <w:sz w:val="32"/>
          <w:szCs w:val="32"/>
        </w:rPr>
        <w:t>市夷陵区</w:t>
      </w:r>
      <w:r>
        <w:rPr>
          <w:rFonts w:hint="eastAsia" w:ascii="仿宋_GB2312" w:hAnsi="宋体" w:eastAsia="仿宋_GB2312" w:cs="Times New Roman"/>
          <w:color w:val="auto"/>
          <w:sz w:val="32"/>
          <w:szCs w:val="32"/>
        </w:rPr>
        <w:t>烟草制品零售点合理布局规划</w:t>
      </w:r>
      <w:r>
        <w:rPr>
          <w:rFonts w:hint="eastAsia" w:ascii="仿宋_GB2312" w:hAnsi="仿宋_GB2312" w:eastAsia="仿宋_GB2312" w:cs="仿宋_GB2312"/>
          <w:color w:val="auto"/>
          <w:sz w:val="32"/>
          <w:szCs w:val="32"/>
        </w:rPr>
        <w:t>结合辖区卷烟市场及专卖管理实际，根据区域位置、人口消费结构、人口密度、商业活动特征、特殊环境差异等因素，划分零售点设置最小区域单元：</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宋体" w:eastAsia="仿宋_GB2312" w:cs="Times New Roman"/>
          <w:color w:val="auto"/>
          <w:sz w:val="32"/>
          <w:szCs w:val="32"/>
        </w:rPr>
        <w:t>1.</w:t>
      </w:r>
      <w:r>
        <w:rPr>
          <w:rFonts w:hint="eastAsia" w:ascii="仿宋_GB2312" w:hAnsi="仿宋" w:eastAsia="仿宋_GB2312" w:cs="仿宋_GB2312"/>
          <w:color w:val="auto"/>
          <w:sz w:val="32"/>
          <w:szCs w:val="32"/>
        </w:rPr>
        <w:t>一般区域单元（包括</w:t>
      </w:r>
      <w:r>
        <w:rPr>
          <w:rFonts w:hint="eastAsia" w:ascii="仿宋_GB2312" w:hAnsi="宋体" w:eastAsia="仿宋_GB2312" w:cs="Times New Roman"/>
          <w:color w:val="auto"/>
          <w:sz w:val="32"/>
          <w:szCs w:val="32"/>
        </w:rPr>
        <w:t>一类区域单元和二类区域单元</w:t>
      </w:r>
      <w:r>
        <w:rPr>
          <w:rFonts w:hint="eastAsia" w:ascii="仿宋_GB2312" w:hAnsi="仿宋" w:eastAsia="仿宋_GB2312" w:cs="仿宋_GB2312"/>
          <w:color w:val="auto"/>
          <w:sz w:val="32"/>
          <w:szCs w:val="32"/>
        </w:rPr>
        <w:t>）</w:t>
      </w:r>
      <w:r>
        <w:rPr>
          <w:rFonts w:hint="eastAsia" w:ascii="仿宋_GB2312" w:hAnsi="仿宋_GB2312" w:eastAsia="仿宋_GB2312" w:cs="仿宋_GB2312"/>
          <w:color w:val="auto"/>
          <w:sz w:val="32"/>
          <w:szCs w:val="32"/>
        </w:rPr>
        <w:t>。按照中心城区、集镇、行政村区划，按照社区居委会、村民委员会设置最小区域单元。</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2.特殊</w:t>
      </w:r>
      <w:r>
        <w:rPr>
          <w:rFonts w:hint="eastAsia" w:ascii="仿宋_GB2312" w:hAnsi="仿宋" w:eastAsia="仿宋_GB2312" w:cs="仿宋_GB2312"/>
          <w:color w:val="auto"/>
          <w:sz w:val="32"/>
          <w:szCs w:val="32"/>
        </w:rPr>
        <w:t>区域</w:t>
      </w:r>
      <w:r>
        <w:rPr>
          <w:rFonts w:hint="eastAsia" w:ascii="仿宋_GB2312" w:hAnsi="仿宋_GB2312" w:eastAsia="仿宋_GB2312" w:cs="仿宋_GB2312"/>
          <w:color w:val="auto"/>
          <w:sz w:val="32"/>
          <w:szCs w:val="32"/>
        </w:rPr>
        <w:t>单元。综合集贸（批发）市场、商业综合体、机场航站楼、火车站、长途汽车客运站、封闭式管理的旅游景区、施工工地、新建楼盘小区等相对独立区域。</w:t>
      </w:r>
    </w:p>
    <w:p>
      <w:pPr>
        <w:adjustRightInd w:val="0"/>
        <w:snapToGrid w:val="0"/>
        <w:spacing w:line="600" w:lineRule="exact"/>
        <w:ind w:firstLine="627" w:firstLineChars="196"/>
        <w:rPr>
          <w:rFonts w:ascii="仿宋_GB2312" w:hAnsi="仿宋" w:eastAsia="仿宋_GB2312" w:cs="仿宋_GB2312"/>
          <w:color w:val="auto"/>
          <w:sz w:val="32"/>
          <w:szCs w:val="32"/>
          <w:lang w:bidi="ar"/>
        </w:rPr>
      </w:pPr>
      <w:r>
        <w:rPr>
          <w:rFonts w:hint="eastAsia" w:ascii="仿宋_GB2312" w:hAnsi="仿宋" w:eastAsia="仿宋_GB2312" w:cs="仿宋_GB2312"/>
          <w:color w:val="auto"/>
          <w:sz w:val="32"/>
          <w:szCs w:val="32"/>
          <w:lang w:bidi="ar"/>
        </w:rPr>
        <w:t>原则上区域单元保持相对稳定，一般区域单元（一、二类区域单元）如因政府有关部门规划进行调整，夷陵区烟草专卖局根据实际情况进行调整并公示执行；特殊类区域单元每半年由宜昌市夷陵区烟草专卖局根据地方经济发展情况进行调整，并公示执行。</w:t>
      </w:r>
    </w:p>
    <w:p>
      <w:pPr>
        <w:adjustRightInd w:val="0"/>
        <w:snapToGrid w:val="0"/>
        <w:spacing w:line="560" w:lineRule="exact"/>
        <w:ind w:firstLine="640" w:firstLineChars="200"/>
        <w:rPr>
          <w:rFonts w:ascii="仿宋_GB2312" w:hAnsi="宋体" w:eastAsia="仿宋_GB2312"/>
          <w:color w:val="auto"/>
          <w:sz w:val="32"/>
          <w:szCs w:val="32"/>
        </w:rPr>
      </w:pPr>
      <w:r>
        <w:rPr>
          <w:rFonts w:hint="eastAsia" w:ascii="仿宋_GB2312" w:hAnsi="仿宋_GB2312" w:eastAsia="仿宋_GB2312" w:cs="仿宋_GB2312"/>
          <w:color w:val="auto"/>
          <w:sz w:val="32"/>
          <w:szCs w:val="32"/>
        </w:rPr>
        <w:t>第七条</w:t>
      </w:r>
      <w:r>
        <w:rPr>
          <w:rFonts w:ascii="仿宋_GB2312" w:hAnsi="宋体" w:eastAsia="仿宋_GB2312"/>
          <w:color w:val="auto"/>
          <w:sz w:val="32"/>
          <w:szCs w:val="32"/>
        </w:rPr>
        <w:t>宜昌市夷陵区烟草制品零售点合理布局规划的区域单元划分类型：</w:t>
      </w:r>
    </w:p>
    <w:p>
      <w:pPr>
        <w:adjustRightInd w:val="0"/>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一类区域单元类型：以城市社区、乡镇一级政府所在地的居委会及经济能力较强的行政村、自然村为区域单元。</w:t>
      </w:r>
    </w:p>
    <w:p>
      <w:pPr>
        <w:adjustRightInd w:val="0"/>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二类区域单元类型：以一类区域单元以外的自然村、行政村为区域单元。</w:t>
      </w:r>
    </w:p>
    <w:p>
      <w:pPr>
        <w:adjustRightInd w:val="0"/>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特殊区域单元类型：以综合集贸（批发）市场、商业综合体、机场航站楼、火车站、长途汽车客运站、封闭式管理的旅游景区、施工工地、新建楼盘小区等相对独立区域为特殊区域单元。</w:t>
      </w:r>
    </w:p>
    <w:p>
      <w:pPr>
        <w:adjustRightInd w:val="0"/>
        <w:snapToGrid w:val="0"/>
        <w:spacing w:line="560" w:lineRule="exact"/>
        <w:ind w:firstLine="640" w:firstLineChars="200"/>
        <w:rPr>
          <w:rFonts w:ascii="仿宋_GB2312" w:hAnsi="宋体" w:eastAsia="仿宋_GB2312"/>
          <w:color w:val="auto"/>
          <w:sz w:val="32"/>
          <w:szCs w:val="32"/>
          <w:lang w:bidi="ar"/>
        </w:rPr>
      </w:pPr>
      <w:r>
        <w:rPr>
          <w:rFonts w:hint="eastAsia" w:ascii="仿宋_GB2312" w:hAnsi="仿宋_GB2312" w:eastAsia="仿宋_GB2312" w:cs="仿宋_GB2312"/>
          <w:color w:val="auto"/>
          <w:sz w:val="32"/>
          <w:szCs w:val="32"/>
        </w:rPr>
        <w:t>第八条</w:t>
      </w:r>
      <w:r>
        <w:rPr>
          <w:rFonts w:hint="eastAsia" w:ascii="仿宋_GB2312" w:hAnsi="宋体" w:eastAsia="仿宋_GB2312"/>
          <w:color w:val="auto"/>
          <w:sz w:val="32"/>
          <w:szCs w:val="32"/>
        </w:rPr>
        <w:t>宜昌</w:t>
      </w:r>
      <w:r>
        <w:rPr>
          <w:rFonts w:ascii="仿宋_GB2312" w:hAnsi="宋体" w:eastAsia="仿宋_GB2312"/>
          <w:color w:val="auto"/>
          <w:sz w:val="32"/>
          <w:szCs w:val="32"/>
          <w:lang w:bidi="ar"/>
        </w:rPr>
        <w:t>市夷陵区</w:t>
      </w:r>
      <w:r>
        <w:rPr>
          <w:rFonts w:hint="eastAsia" w:ascii="仿宋_GB2312" w:hAnsi="宋体" w:eastAsia="仿宋_GB2312"/>
          <w:color w:val="auto"/>
          <w:sz w:val="32"/>
          <w:szCs w:val="32"/>
        </w:rPr>
        <w:t>辖区内申请点与最近零售点间距：一类区域单元内零售点</w:t>
      </w:r>
      <w:r>
        <w:rPr>
          <w:rFonts w:ascii="仿宋_GB2312" w:hAnsi="宋体" w:eastAsia="仿宋_GB2312"/>
          <w:color w:val="auto"/>
          <w:sz w:val="32"/>
          <w:szCs w:val="32"/>
        </w:rPr>
        <w:t>的设置距离不低于</w:t>
      </w:r>
      <w:r>
        <w:rPr>
          <w:rFonts w:ascii="仿宋_GB2312" w:hAnsi="宋体" w:eastAsia="仿宋_GB2312"/>
          <w:color w:val="auto"/>
          <w:sz w:val="32"/>
          <w:szCs w:val="32"/>
          <w:lang w:bidi="ar"/>
        </w:rPr>
        <w:t>80米</w:t>
      </w:r>
      <w:r>
        <w:rPr>
          <w:rFonts w:hint="eastAsia" w:ascii="仿宋_GB2312" w:hAnsi="宋体" w:eastAsia="仿宋_GB2312"/>
          <w:color w:val="auto"/>
          <w:sz w:val="32"/>
          <w:szCs w:val="32"/>
          <w:lang w:bidi="ar"/>
        </w:rPr>
        <w:t>。</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w:t>
      </w:r>
      <w:r>
        <w:rPr>
          <w:rFonts w:hint="eastAsia" w:ascii="仿宋_GB2312" w:hAnsi="宋体" w:eastAsia="仿宋_GB2312"/>
          <w:color w:val="auto"/>
          <w:sz w:val="32"/>
          <w:szCs w:val="32"/>
        </w:rPr>
        <w:t>宜昌</w:t>
      </w:r>
      <w:r>
        <w:rPr>
          <w:rFonts w:ascii="仿宋_GB2312" w:hAnsi="宋体" w:eastAsia="仿宋_GB2312"/>
          <w:color w:val="auto"/>
          <w:sz w:val="32"/>
          <w:szCs w:val="32"/>
          <w:lang w:bidi="ar"/>
        </w:rPr>
        <w:t>市夷陵区</w:t>
      </w:r>
      <w:r>
        <w:rPr>
          <w:rFonts w:hint="eastAsia" w:ascii="仿宋_GB2312" w:hAnsi="宋体" w:eastAsia="仿宋_GB2312"/>
          <w:color w:val="auto"/>
          <w:sz w:val="32"/>
          <w:szCs w:val="32"/>
        </w:rPr>
        <w:t>辖区内申请点与最近零售点间距：</w:t>
      </w:r>
      <w:r>
        <w:rPr>
          <w:rFonts w:hint="eastAsia" w:ascii="仿宋_GB2312" w:hAnsi="宋体" w:eastAsia="仿宋_GB2312" w:cs="仿宋_GB2312"/>
          <w:bCs/>
          <w:color w:val="auto"/>
          <w:sz w:val="32"/>
          <w:szCs w:val="32"/>
          <w:lang w:eastAsia="zh-Hans" w:bidi="ar"/>
        </w:rPr>
        <w:t>二类区域单元内零售点</w:t>
      </w:r>
      <w:r>
        <w:rPr>
          <w:rFonts w:hint="eastAsia" w:ascii="仿宋_GB2312" w:hAnsi="宋体" w:eastAsia="仿宋_GB2312"/>
          <w:color w:val="auto"/>
          <w:sz w:val="32"/>
          <w:szCs w:val="32"/>
          <w:lang w:bidi="ar"/>
        </w:rPr>
        <w:t>按照区域经济情况、卷烟销售、经济水平、消费能力、人口等指标核定容量标准且零售点的设置</w:t>
      </w:r>
      <w:r>
        <w:rPr>
          <w:rFonts w:ascii="仿宋_GB2312" w:hAnsi="宋体" w:eastAsia="仿宋_GB2312" w:cs="仿宋_GB2312"/>
          <w:bCs/>
          <w:color w:val="auto"/>
          <w:sz w:val="32"/>
          <w:szCs w:val="32"/>
          <w:lang w:eastAsia="zh-Hans" w:bidi="ar"/>
        </w:rPr>
        <w:t>距离不低于100米</w:t>
      </w:r>
      <w:r>
        <w:rPr>
          <w:rFonts w:hint="eastAsia" w:ascii="仿宋_GB2312" w:hAnsi="宋体" w:eastAsia="仿宋_GB2312" w:cs="仿宋_GB2312"/>
          <w:color w:val="auto"/>
          <w:sz w:val="32"/>
          <w:szCs w:val="32"/>
          <w:lang w:bidi="ar"/>
        </w:rPr>
        <w:t>。</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w:t>
      </w:r>
      <w:r>
        <w:rPr>
          <w:rFonts w:hint="eastAsia" w:ascii="仿宋_GB2312" w:hAnsi="宋体" w:eastAsia="仿宋_GB2312"/>
          <w:color w:val="auto"/>
          <w:sz w:val="32"/>
          <w:szCs w:val="32"/>
          <w:lang w:bidi="ar"/>
        </w:rPr>
        <w:t>特殊区域单元内</w:t>
      </w:r>
      <w:r>
        <w:rPr>
          <w:rFonts w:ascii="仿宋_GB2312" w:hAnsi="宋体" w:eastAsia="仿宋_GB2312"/>
          <w:color w:val="auto"/>
          <w:sz w:val="32"/>
          <w:szCs w:val="32"/>
          <w:lang w:bidi="ar"/>
        </w:rPr>
        <w:t>零售点的设置</w:t>
      </w:r>
      <w:r>
        <w:rPr>
          <w:rFonts w:hint="eastAsia" w:ascii="仿宋_GB2312" w:hAnsi="宋体" w:eastAsia="仿宋_GB2312"/>
          <w:color w:val="auto"/>
          <w:sz w:val="32"/>
          <w:szCs w:val="32"/>
          <w:lang w:bidi="ar"/>
        </w:rPr>
        <w:t>标准为：按照区域经济情况、卷烟销售、经济水平、消费能力等指标核定容量标准且零售点间距不低于60</w:t>
      </w:r>
      <w:r>
        <w:rPr>
          <w:rFonts w:ascii="仿宋_GB2312" w:hAnsi="宋体" w:eastAsia="仿宋_GB2312"/>
          <w:color w:val="auto"/>
          <w:sz w:val="32"/>
          <w:szCs w:val="32"/>
          <w:lang w:bidi="ar"/>
        </w:rPr>
        <w:t>米</w:t>
      </w:r>
      <w:r>
        <w:rPr>
          <w:rFonts w:hint="eastAsia" w:ascii="仿宋_GB2312" w:hAnsi="宋体" w:eastAsia="仿宋_GB2312"/>
          <w:color w:val="auto"/>
          <w:sz w:val="32"/>
          <w:szCs w:val="32"/>
          <w:lang w:bidi="ar"/>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第十一条宜昌市</w:t>
      </w:r>
      <w:r>
        <w:rPr>
          <w:rFonts w:hint="eastAsia" w:ascii="仿宋_GB2312" w:hAnsi="仿宋_GB2312" w:eastAsia="仿宋_GB2312" w:cs="仿宋_GB2312"/>
          <w:color w:val="auto"/>
          <w:sz w:val="32"/>
          <w:szCs w:val="32"/>
          <w:lang w:eastAsia="zh-CN"/>
        </w:rPr>
        <w:t>夷陵区</w:t>
      </w:r>
      <w:r>
        <w:rPr>
          <w:rFonts w:hint="eastAsia" w:ascii="仿宋_GB2312" w:hAnsi="仿宋_GB2312" w:eastAsia="仿宋_GB2312" w:cs="仿宋_GB2312"/>
          <w:color w:val="auto"/>
          <w:sz w:val="32"/>
          <w:szCs w:val="32"/>
        </w:rPr>
        <w:t>烟草专卖局每半年开展综合评估，确定辖区区域单元当期烟草制品零售点合理数量范围，在湖北政务服务网（宜昌）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区政府网站、烟草办证窗口等场所进行公布，公布期5个工作日。期满前提交的申请，按照该单元原有容量办理。</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w:t>
      </w:r>
      <w:r>
        <w:rPr>
          <w:rFonts w:ascii="仿宋_GB2312" w:hAnsi="宋体" w:eastAsia="仿宋_GB2312" w:cs="仿宋_GB2312"/>
          <w:color w:val="auto"/>
          <w:sz w:val="32"/>
          <w:szCs w:val="32"/>
        </w:rPr>
        <w:t>符合下列情形之一的，宜昌市夷陵</w:t>
      </w:r>
      <w:r>
        <w:rPr>
          <w:rFonts w:hint="eastAsia" w:ascii="仿宋_GB2312" w:hAnsi="宋体" w:eastAsia="仿宋_GB2312" w:cs="仿宋_GB2312"/>
          <w:color w:val="auto"/>
          <w:sz w:val="32"/>
          <w:szCs w:val="32"/>
        </w:rPr>
        <w:t>区烟草专卖局</w:t>
      </w:r>
      <w:r>
        <w:rPr>
          <w:rFonts w:ascii="仿宋_GB2312" w:hAnsi="宋体" w:eastAsia="仿宋_GB2312" w:cs="仿宋_GB2312"/>
          <w:color w:val="auto"/>
          <w:sz w:val="32"/>
          <w:szCs w:val="32"/>
        </w:rPr>
        <w:t>可准予许可证地址变更或新办：</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道路、大门改建等原因造成经营地址位于中小学、幼儿园等以未成年人为主要活动人群的场所内及其出（入）口50米范围内的持证零售户，主动或自收到发证机关送达的《烟草专卖零售许可证责令地址变更通知书》之日起6个月内，在原发证机关辖区内首次提出变更地址申请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因道路规划、城市建设等客观原因造成无法在核定的经营地址经营，持证零售户主动或自收到发证机关送达的《烟草专卖零售许可证责令地址变更通知书》之日起6个月内，在原发证机关辖区内首次提出变更地址申请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持证经营主体为自然人，因死亡或者丧失民事行为能力，在发证机关作出注销决定之日起30日内，原持证人的配偶、父母、子女及其配偶可在原经营地址重新申领烟草专卖零售许可证（仅适用一次），且仅限持证人本人经营。</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个体工商户转型为个人独资企业，或个人独资企业转型为个体工商户，且个体工商户经营者与个人独资企业投资人为同一自然人的，不视为经营主体发生变化，可以向审批机关申请变更烟草专卖零售许可证企业类型或组成形式，无需重新提出烟草专卖零售许可证新办申请。</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本条第（一）、（二）项调整按照以下规定执行：</w:t>
      </w:r>
      <w:r>
        <w:rPr>
          <w:rFonts w:hint="eastAsia" w:ascii="仿宋_GB2312" w:hAnsi="仿宋_GB2312" w:eastAsia="仿宋_GB2312" w:cs="仿宋_GB2312"/>
          <w:color w:val="auto"/>
          <w:sz w:val="32"/>
          <w:szCs w:val="32"/>
          <w:lang w:eastAsia="zh-CN"/>
        </w:rPr>
        <w:t>宜昌市夷陵区</w:t>
      </w:r>
      <w:r>
        <w:rPr>
          <w:rFonts w:hint="eastAsia" w:ascii="仿宋_GB2312" w:hAnsi="仿宋_GB2312" w:eastAsia="仿宋_GB2312" w:cs="仿宋_GB2312"/>
          <w:color w:val="auto"/>
          <w:sz w:val="32"/>
          <w:szCs w:val="32"/>
        </w:rPr>
        <w:t>只能在同一类区域单元内进行调整，其调整前后的区域单元内的合理容量基数，随其调整进行相应增减；新设置的零售点，作为新申请的参照点，但对调整前已进行“排队轮候、退一进一”的申请人，其排队轮候时的间距和数量不受影响。</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第十三条符合下列情形之一的，不受规划规定的数量限制：</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宋体" w:eastAsia="仿宋_GB2312" w:cs="仿宋_GB2312"/>
          <w:color w:val="auto"/>
          <w:sz w:val="32"/>
          <w:szCs w:val="32"/>
        </w:rPr>
        <w:t>经营场所</w:t>
      </w:r>
      <w:r>
        <w:rPr>
          <w:rFonts w:ascii="仿宋_GB2312" w:hAnsi="宋体" w:eastAsia="仿宋_GB2312" w:cs="仿宋_GB2312"/>
          <w:color w:val="auto"/>
          <w:sz w:val="32"/>
          <w:szCs w:val="32"/>
        </w:rPr>
        <w:t>面积</w:t>
      </w:r>
      <w:r>
        <w:rPr>
          <w:rFonts w:hint="eastAsia" w:ascii="仿宋_GB2312" w:hAnsi="宋体" w:eastAsia="仿宋_GB2312" w:cs="仿宋_GB2312"/>
          <w:bCs/>
          <w:color w:val="auto"/>
          <w:sz w:val="32"/>
          <w:szCs w:val="32"/>
        </w:rPr>
        <w:t>300</w:t>
      </w:r>
      <w:r>
        <w:rPr>
          <w:rFonts w:ascii="仿宋_GB2312" w:hAnsi="宋体" w:eastAsia="仿宋_GB2312"/>
          <w:bCs/>
          <w:color w:val="auto"/>
          <w:sz w:val="32"/>
          <w:szCs w:val="32"/>
        </w:rPr>
        <w:t>平方米</w:t>
      </w:r>
      <w:r>
        <w:rPr>
          <w:rFonts w:ascii="仿宋_GB2312" w:hAnsi="宋体" w:eastAsia="仿宋_GB2312"/>
          <w:color w:val="auto"/>
          <w:sz w:val="32"/>
          <w:szCs w:val="32"/>
        </w:rPr>
        <w:t>以上的超市、商场，可设置一个零售点；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雪茄烟专营零售店，按区辖区持证零售户千分之五的标准以内设置零售点。雪茄烟专营零售店的标准为：“经营范围仅为‘雪茄烟本店零售’，不含卷烟、电子烟本店零售；营业面积不低于60平方米；配备有独立的恒温保湿房或恒温恒湿电子雪茄柜，设有单独的雪茄烟品鉴区、陈列区（柜）、售卖区（柜）。”</w:t>
      </w:r>
    </w:p>
    <w:p>
      <w:pPr>
        <w:adjustRightInd w:val="0"/>
        <w:snapToGrid w:val="0"/>
        <w:spacing w:line="560" w:lineRule="exact"/>
        <w:ind w:firstLine="640" w:firstLineChars="200"/>
        <w:rPr>
          <w:rFonts w:hint="eastAsia" w:ascii="仿宋_GB2312" w:hAnsi="宋体"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宋体" w:eastAsia="仿宋_GB2312" w:cs="仿宋_GB2312"/>
          <w:color w:val="auto"/>
          <w:sz w:val="32"/>
          <w:szCs w:val="32"/>
        </w:rPr>
        <w:t>一类区域单元内，</w:t>
      </w:r>
      <w:r>
        <w:rPr>
          <w:rFonts w:ascii="仿宋_GB2312" w:hAnsi="宋体" w:eastAsia="仿宋_GB2312"/>
          <w:color w:val="auto"/>
          <w:sz w:val="32"/>
          <w:szCs w:val="28"/>
        </w:rPr>
        <w:t>营业面积在</w:t>
      </w:r>
      <w:r>
        <w:rPr>
          <w:rFonts w:hint="eastAsia" w:ascii="仿宋_GB2312" w:hAnsi="宋体" w:eastAsia="仿宋_GB2312"/>
          <w:color w:val="auto"/>
          <w:sz w:val="32"/>
          <w:szCs w:val="32"/>
        </w:rPr>
        <w:t>1</w:t>
      </w:r>
      <w:r>
        <w:rPr>
          <w:rFonts w:ascii="仿宋_GB2312" w:hAnsi="宋体" w:eastAsia="仿宋_GB2312"/>
          <w:color w:val="auto"/>
          <w:sz w:val="32"/>
          <w:szCs w:val="32"/>
        </w:rPr>
        <w:t>0</w:t>
      </w:r>
      <w:r>
        <w:rPr>
          <w:rFonts w:hint="eastAsia" w:ascii="仿宋_GB2312" w:hAnsi="宋体" w:eastAsia="仿宋_GB2312"/>
          <w:color w:val="auto"/>
          <w:sz w:val="32"/>
          <w:szCs w:val="32"/>
        </w:rPr>
        <w:t>0平米至300</w:t>
      </w:r>
      <w:r>
        <w:rPr>
          <w:rFonts w:ascii="仿宋_GB2312" w:hAnsi="宋体" w:eastAsia="仿宋_GB2312"/>
          <w:color w:val="auto"/>
          <w:sz w:val="32"/>
          <w:szCs w:val="28"/>
        </w:rPr>
        <w:t>平米之间（不包括经营场所内相对独立的办公、库储等场所）的</w:t>
      </w:r>
      <w:r>
        <w:rPr>
          <w:rFonts w:hint="eastAsia" w:ascii="仿宋_GB2312" w:hAnsi="宋体" w:eastAsia="仿宋_GB2312"/>
          <w:color w:val="auto"/>
          <w:sz w:val="32"/>
          <w:szCs w:val="28"/>
          <w:lang w:eastAsia="zh-CN"/>
        </w:rPr>
        <w:t>烟草专业店</w:t>
      </w:r>
      <w:r>
        <w:rPr>
          <w:rFonts w:ascii="仿宋_GB2312" w:hAnsi="宋体" w:eastAsia="仿宋_GB2312"/>
          <w:color w:val="auto"/>
          <w:sz w:val="32"/>
          <w:szCs w:val="28"/>
        </w:rPr>
        <w:t>、便利店、超市（商业办公用楼、写字楼和住宅小区除外），申请点</w:t>
      </w:r>
      <w:r>
        <w:rPr>
          <w:rFonts w:hint="eastAsia" w:ascii="仿宋_GB2312" w:hAnsi="宋体" w:eastAsia="仿宋_GB2312" w:cs="仿宋_GB2312"/>
          <w:color w:val="auto"/>
          <w:sz w:val="32"/>
          <w:szCs w:val="32"/>
        </w:rPr>
        <w:t>间距达到40米的，可设置一个零售点；</w:t>
      </w:r>
      <w:r>
        <w:rPr>
          <w:rFonts w:ascii="仿宋_GB2312" w:hAnsi="宋体" w:eastAsia="仿宋_GB2312"/>
          <w:color w:val="auto"/>
          <w:sz w:val="32"/>
          <w:szCs w:val="28"/>
        </w:rPr>
        <w:t>在辖区内开办的同一法定代表人的连锁品牌超市，企业性质为有限责任公司，有统一财务、销售系统且具备扫码销售等条件且</w:t>
      </w:r>
      <w:r>
        <w:rPr>
          <w:rFonts w:hint="eastAsia" w:ascii="仿宋_GB2312" w:hAnsi="宋体" w:eastAsia="仿宋_GB2312" w:cs="仿宋_GB2312"/>
          <w:color w:val="auto"/>
          <w:sz w:val="32"/>
          <w:szCs w:val="32"/>
        </w:rPr>
        <w:t>间距达到40米的，可设置一个零售点；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本项优待措施仅适用于新申请办证户，不适用于既存持证户。</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（四）客房在100间以上的宾馆酒店、高速公路服务区（休息区）等设置有便利店、超市，满足特定消费群体的场所，不受间距限制，可设置一个零售点。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（五）对涉及政府招商引资、乡村振兴、慈善等重点商业企业及连锁店且间距达到30米以上的，可设置一个零售点。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（六）申请主体为本辖区烈士家属的（烈士的父母、配偶、子女，凭烈士证或相关证明材料），可设置一个零售点。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（七） </w:t>
      </w:r>
      <w:r>
        <w:rPr>
          <w:rFonts w:hint="eastAsia" w:ascii="仿宋_GB2312" w:eastAsia="仿宋_GB2312"/>
          <w:color w:val="auto"/>
          <w:sz w:val="32"/>
          <w:szCs w:val="32"/>
          <w:lang w:val="zh-CN"/>
        </w:rPr>
        <w:t>封闭式建设工程工地</w:t>
      </w:r>
      <w:r>
        <w:rPr>
          <w:rFonts w:hint="eastAsia" w:ascii="仿宋_GB2312" w:hAnsi="仿宋_GB2312" w:eastAsia="仿宋_GB2312" w:cs="仿宋_GB2312"/>
          <w:color w:val="auto"/>
          <w:sz w:val="32"/>
          <w:szCs w:val="32"/>
        </w:rPr>
        <w:t>内施工人员数量在200人以上的，可设置1个零售点。施工期结束后，应当及时办理歇业、注销手续。</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本条第（一）、（二）项设置的零售点不作为新申请的参照点。依照本条第（三）、（四）、（五）、（六）、（七）项设置的零售点作为新申请的参照点，但对已进行“排队轮候、退一进一”的申请人，其排队轮候时的间距和数量不受影响。</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第十四条申请主体符合下列情形之一的，零售点间距限制按照所在区域单元间距限制的三分之二为距离标准。</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（一）具备完全民事行为能力的残疾人（有固定职业及稳定收入来源的；</w:t>
      </w:r>
      <w:r>
        <w:rPr>
          <w:rFonts w:hint="eastAsia" w:ascii="仿宋_GB2312" w:hAnsi="仿宋_GB2312" w:eastAsia="仿宋_GB2312" w:cs="仿宋_GB2312"/>
          <w:b/>
          <w:color w:val="auto"/>
          <w:sz w:val="32"/>
          <w:szCs w:val="32"/>
        </w:rPr>
        <w:t>或者</w:t>
      </w:r>
      <w:r>
        <w:rPr>
          <w:rFonts w:hint="eastAsia" w:ascii="仿宋_GB2312" w:hAnsi="仿宋_GB2312" w:eastAsia="仿宋_GB2312" w:cs="仿宋_GB2312"/>
          <w:color w:val="auto"/>
          <w:sz w:val="32"/>
          <w:szCs w:val="32"/>
        </w:rPr>
        <w:t>享受退休、退职、退养待遇具有稳定生活保障的情形除外）；</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（二）离校2年内未就业的高校毕业生就业创业的；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（三）退役军人退役后3年内就业创业的；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（四）法律法规明确规定应当予以优待的其他情形（该项非必要不得增设。确需增设的，需要有明确的法律法规或规章依据）。</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以上优待仅适用于本规划第八条、第九条、第十条涉及间距的规定，且不能叠加适用。</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第十五条具有下列情形之一的不享受本规划第十四条的优待政策：</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（一）申请主体非优待政策适用对象本人经营的，但符合本规划第十四条第一项规定的残疾人配偶、父母、子女、法定监护人实际经营的情形除外。</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（二）已在本行政区域或其他县市区享受过一次优待政策的；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（三）法律法规及其他规范性文件规定的不予优待的情形。</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第十六条本规划第十三条第（六）项、第十四条优待政策仅适用于持有合法有效营业执照的自然人，且在全区只能适用一次设置烟草制品零售点优待政策。办理的烟草专卖零售许可证仅限该自然人本人经营。</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第十七条截至提出申请之日，申请人存在下列情形的，不得适用本规划第十三条、第十四条规定的优待政策。</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（一）三年内有提供虚假材料骗取行政许可记录的；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（二）五年内有以欺骗、贿赂等不正当手段骗取行政许可记录的；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（三）因违反《烟草专卖许可证管理办法》第四十四条规定，被取消从事烟草专卖业务资格不满五年的；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（四）因违反《烟草专卖许可证管理办法》第四十六条规定，被撤销烟草专卖许可证不满五年的；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（五）涉烟违法行为被查获后，未在规定时间内接受调查处理不满一年的；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（六）因涉烟违法行为受过行政处罚不满一年的。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第十八条</w:t>
      </w:r>
      <w:r>
        <w:rPr>
          <w:rFonts w:hint="eastAsia" w:ascii="仿宋_GB2312" w:hAnsi="仿宋_GB2312" w:eastAsia="仿宋_GB2312" w:cs="仿宋_GB2312"/>
          <w:color w:val="auto"/>
          <w:sz w:val="32"/>
          <w:szCs w:val="32"/>
          <w:lang w:eastAsia="zh-CN"/>
        </w:rPr>
        <w:t>夷陵区烟草专卖局</w:t>
      </w:r>
      <w:r>
        <w:rPr>
          <w:rFonts w:hint="eastAsia" w:ascii="仿宋_GB2312" w:hAnsi="仿宋_GB2312" w:eastAsia="仿宋_GB2312" w:cs="仿宋_GB2312"/>
          <w:color w:val="auto"/>
          <w:sz w:val="32"/>
          <w:szCs w:val="32"/>
        </w:rPr>
        <w:t>应当按照收到申请的先后顺序审查申请材料，并根据《烟草专卖许可证管理办法》第二十一条规定做出处理，审批两个或两个以上烟草专卖零售许可证申请，根据受理时间的先后顺序审核发放零售许可证。</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收到申请的先后顺序审查申请材料”，受理机关应统筹线上、线下申请时间，按申请的先后顺序审查申请材料。对线下提交的申请，在每次受理前进行网上申请审查，如有网上申请，先审查网上申请，再审查线下申请；如无网上申请，按线下收到申请的先后顺序审查申请材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辖区区域单元核定的零售点数量未满时，对符合本规划规定条件的申请人，根据受理时间的先后顺序审核设置烟草制品零售点；当辖区区域单元核定的零售点数量已满时，对不符合本规划数量要求但符合本规划间距要求的，在作出不予行政许可决定后，在申请人自愿的基础上，按申请时间的先后顺序进行排队轮候，实行“排队轮候、退一进一”管理模式，排队轮候先后顺序情况可实时查询；</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辖区烟草制品零售点有退出情形时，发证机关根据排队轮候时间的先后顺序，进行复核，对符合设置烟草制品零售点条件的，发布听证公告，无人申请听证则5个工作日后，或应申请举行听证后，通知申请人重新提出申请，予以受理并设置烟草制品零售点。</w:t>
      </w:r>
    </w:p>
    <w:p>
      <w:pPr>
        <w:ind w:firstLine="640" w:firstLineChars="200"/>
        <w:rPr>
          <w:rFonts w:ascii="仿宋_GB2312" w:hAnsi="仿宋_GB2312" w:eastAsia="仿宋_GB2312" w:cs="仿宋_GB2312"/>
          <w:color w:val="auto"/>
          <w:sz w:val="32"/>
          <w:szCs w:val="32"/>
        </w:rPr>
      </w:pPr>
    </w:p>
    <w:p>
      <w:pPr>
        <w:jc w:val="center"/>
        <w:rPr>
          <w:rFonts w:ascii="黑体" w:hAnsi="黑体" w:eastAsia="黑体" w:cs="黑体"/>
          <w:color w:val="auto"/>
          <w:sz w:val="32"/>
          <w:szCs w:val="32"/>
        </w:rPr>
      </w:pPr>
      <w:r>
        <w:rPr>
          <w:rFonts w:hint="eastAsia" w:ascii="黑体" w:hAnsi="黑体" w:eastAsia="黑体" w:cs="黑体"/>
          <w:color w:val="auto"/>
          <w:sz w:val="32"/>
          <w:szCs w:val="32"/>
        </w:rPr>
        <w:t>第四章 附则</w:t>
      </w:r>
    </w:p>
    <w:p>
      <w:pPr>
        <w:ind w:firstLine="640" w:firstLineChars="200"/>
        <w:rPr>
          <w:rFonts w:ascii="仿宋_GB2312" w:hAnsi="仿宋_GB2312" w:eastAsia="仿宋_GB2312" w:cs="仿宋_GB2312"/>
          <w:color w:val="auto"/>
          <w:sz w:val="32"/>
          <w:szCs w:val="32"/>
        </w:rPr>
      </w:pP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第十九条“排队轮候、退一进一”为行政许可“不予许可”结束后的后续规范化管理服务措施，不是原行政许可的延续，在申请人自愿的基础上，发证机关根据本合理布局规划予以登记建档、排队轮候。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排队轮候、退一进一”资格取消规则）排队轮候的申请人在排队轮候期间因无证经营、销私售假等违法行为被行政处罚的，或者被相关部门列为失信人员或黑名单人员的，取消其“排队轮候、退一进一”资格。</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第二十一条本规划中经营地址是指明确到街道小区、村组、门牌号、门店号的地址。</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第二十二条本规划中的经营场所指为不特定消费者提供烟草制品零售服务的平层开放式场所，应当具有可以被不特定消费者所辨识的特征。。</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三条本规划第五条第二项第9目“自动售货装置”包括自动售货机（柜）、抓烟机或其他自动售货装置等；本规划第五条第二项第10目“信息网络渠道”包括淘宝店铺、微店、QQ、微信或其他电商渠道或平台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第二十四条本规划实施前已合法持有烟草专卖零售许可证的零售户，按照尊重历史、立足现状、信赖保护的原则，在许可证有效期内不受烟草制品零售点合理布局规划调整的影响。</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第二十五条本规划中的间距，是指行人不违反交通管理规定可正常安全通行的无障碍最短距离，具体见《宜昌市</w:t>
      </w:r>
      <w:r>
        <w:rPr>
          <w:rFonts w:hint="eastAsia" w:ascii="仿宋_GB2312" w:hAnsi="仿宋_GB2312" w:eastAsia="仿宋_GB2312" w:cs="仿宋_GB2312"/>
          <w:color w:val="auto"/>
          <w:sz w:val="32"/>
          <w:szCs w:val="32"/>
          <w:lang w:eastAsia="zh-CN"/>
        </w:rPr>
        <w:t>夷陵区</w:t>
      </w:r>
      <w:r>
        <w:rPr>
          <w:rFonts w:hint="eastAsia" w:ascii="仿宋_GB2312" w:hAnsi="仿宋_GB2312" w:eastAsia="仿宋_GB2312" w:cs="仿宋_GB2312"/>
          <w:color w:val="auto"/>
          <w:sz w:val="32"/>
          <w:szCs w:val="32"/>
        </w:rPr>
        <w:t>烟草制品零售点经营场所核查及间距测量标准》（附件）。进行间距测量时，申请人和烟草专卖执法人员应当共同确认。</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第二十六条在本烟草制品零售点合理布局规划实施前，按照“退一进一”原则已在烟草专卖局排队轮候的零售户在同等条件下优先进行办理（未采取“排队轮候、退一进一”的5家单位不列此条）。</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第二十七条本规划中涉及的“以上”、“内”包含本数。</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第二十八条本规划由宜昌市***县市（区）烟草专卖局负责解释。</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第二十九条本规划自</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日起施行，有效期5年。原</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起实施的《宜昌市夷陵区烟草制品零售点合理布局规划》（夷烟专〔2023〕22号）同时废止。</w:t>
      </w:r>
    </w:p>
    <w:p>
      <w:pPr>
        <w:ind w:firstLine="640" w:firstLineChars="200"/>
        <w:rPr>
          <w:rFonts w:hint="eastAsia" w:ascii="仿宋_GB2312" w:hAnsi="仿宋_GB2312" w:eastAsia="仿宋_GB2312" w:cs="仿宋_GB2312"/>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p>
    <w:p>
      <w:pPr>
        <w:spacing w:after="120" w:line="560" w:lineRule="exact"/>
        <w:ind w:left="1815" w:hanging="1191"/>
        <w:rPr>
          <w:rFonts w:ascii="仿宋_GB2312" w:hAnsi="宋体" w:eastAsia="仿宋_GB2312"/>
          <w:sz w:val="32"/>
          <w:szCs w:val="28"/>
        </w:rPr>
      </w:pPr>
      <w:r>
        <w:rPr>
          <w:rFonts w:hint="eastAsia" w:ascii="黑体" w:hAnsi="黑体" w:eastAsia="黑体"/>
          <w:sz w:val="32"/>
          <w:szCs w:val="28"/>
        </w:rPr>
        <w:t>附件：</w:t>
      </w:r>
      <w:r>
        <w:rPr>
          <w:rFonts w:hint="eastAsia" w:ascii="仿宋_GB2312" w:hAnsi="宋体" w:eastAsia="仿宋_GB2312"/>
          <w:sz w:val="32"/>
          <w:szCs w:val="28"/>
        </w:rPr>
        <w:t>1.宜昌市夷陵区烟草专卖零售许可证申领限制性条性目录</w:t>
      </w:r>
    </w:p>
    <w:p>
      <w:pPr>
        <w:numPr>
          <w:ilvl w:val="0"/>
          <w:numId w:val="1"/>
        </w:numPr>
        <w:spacing w:after="120" w:line="560" w:lineRule="exact"/>
        <w:ind w:left="1794" w:hanging="320"/>
        <w:rPr>
          <w:rFonts w:hint="eastAsia" w:ascii="仿宋_GB2312" w:hAnsi="宋体" w:eastAsia="仿宋_GB2312"/>
          <w:sz w:val="32"/>
          <w:szCs w:val="28"/>
        </w:rPr>
      </w:pPr>
      <w:r>
        <w:rPr>
          <w:rFonts w:hint="eastAsia" w:ascii="仿宋_GB2312" w:hAnsi="宋体" w:eastAsia="仿宋_GB2312"/>
          <w:sz w:val="32"/>
          <w:szCs w:val="28"/>
        </w:rPr>
        <w:t>宜昌市夷陵区烟草制品零售点经营场所核查及间距测量标准</w:t>
      </w:r>
    </w:p>
    <w:p>
      <w:pPr>
        <w:numPr>
          <w:ilvl w:val="0"/>
          <w:numId w:val="1"/>
        </w:numPr>
        <w:spacing w:after="120" w:line="560" w:lineRule="exact"/>
        <w:ind w:left="1794" w:leftChars="0" w:hanging="320" w:firstLineChars="0"/>
        <w:rPr>
          <w:rFonts w:hint="eastAsia" w:ascii="仿宋_GB2312" w:hAnsi="宋体" w:eastAsia="仿宋_GB2312"/>
          <w:sz w:val="32"/>
          <w:szCs w:val="28"/>
          <w:lang w:eastAsia="zh-CN"/>
        </w:rPr>
      </w:pPr>
      <w:r>
        <w:rPr>
          <w:rFonts w:hint="eastAsia" w:ascii="仿宋_GB2312" w:hAnsi="宋体" w:eastAsia="仿宋_GB2312"/>
          <w:sz w:val="32"/>
          <w:szCs w:val="28"/>
        </w:rPr>
        <w:t>宜昌市夷陵区烟草制品零售点</w:t>
      </w:r>
      <w:r>
        <w:rPr>
          <w:rFonts w:hint="eastAsia" w:ascii="仿宋_GB2312" w:hAnsi="宋体" w:eastAsia="仿宋_GB2312"/>
          <w:sz w:val="32"/>
          <w:szCs w:val="28"/>
          <w:lang w:eastAsia="zh-CN"/>
        </w:rPr>
        <w:t>区域单元划分</w:t>
      </w:r>
    </w:p>
    <w:p>
      <w:pPr>
        <w:numPr>
          <w:ilvl w:val="0"/>
          <w:numId w:val="1"/>
        </w:numPr>
        <w:spacing w:after="120" w:line="560" w:lineRule="exact"/>
        <w:ind w:left="1794" w:leftChars="0" w:hanging="320" w:firstLineChars="0"/>
        <w:rPr>
          <w:rFonts w:hint="eastAsia" w:ascii="仿宋_GB2312" w:hAnsi="宋体" w:eastAsia="仿宋_GB2312"/>
          <w:sz w:val="32"/>
          <w:szCs w:val="28"/>
        </w:rPr>
        <w:sectPr>
          <w:pgSz w:w="11906" w:h="16838"/>
          <w:pgMar w:top="1474" w:right="1985" w:bottom="1588" w:left="2098" w:header="851" w:footer="992" w:gutter="0"/>
          <w:cols w:space="425" w:num="1"/>
          <w:docGrid w:linePitch="312" w:charSpace="0"/>
        </w:sectPr>
      </w:pPr>
      <w:r>
        <w:rPr>
          <w:rFonts w:hint="eastAsia" w:ascii="仿宋_GB2312" w:hAnsi="宋体" w:eastAsia="仿宋_GB2312"/>
          <w:sz w:val="32"/>
          <w:szCs w:val="28"/>
        </w:rPr>
        <w:br w:type="page"/>
      </w:r>
    </w:p>
    <w:p>
      <w:pPr>
        <w:widowControl/>
        <w:jc w:val="left"/>
        <w:rPr>
          <w:rFonts w:ascii="黑体" w:hAnsi="黑体" w:eastAsia="黑体"/>
          <w:sz w:val="32"/>
          <w:szCs w:val="32"/>
        </w:rPr>
      </w:pPr>
      <w:r>
        <w:rPr>
          <w:rFonts w:hint="eastAsia" w:ascii="黑体" w:hAnsi="黑体" w:eastAsia="黑体"/>
          <w:sz w:val="32"/>
          <w:szCs w:val="32"/>
        </w:rPr>
        <w:t>附件1</w:t>
      </w:r>
    </w:p>
    <w:p>
      <w:pPr>
        <w:spacing w:after="120" w:line="600" w:lineRule="exact"/>
        <w:jc w:val="center"/>
        <w:rPr>
          <w:rFonts w:hint="eastAsia" w:ascii="方正小标宋简体" w:hAnsi="宋体" w:eastAsia="方正小标宋简体" w:cs="Calibri"/>
          <w:sz w:val="44"/>
          <w:szCs w:val="44"/>
        </w:rPr>
      </w:pPr>
      <w:r>
        <w:rPr>
          <w:rFonts w:hint="eastAsia" w:ascii="方正小标宋简体" w:hAnsi="宋体" w:eastAsia="方正小标宋简体" w:cs="Calibri"/>
          <w:sz w:val="44"/>
          <w:szCs w:val="44"/>
        </w:rPr>
        <w:t>宜昌市夷陵区烟草专卖零售许可证申领限制性条件目录</w:t>
      </w:r>
    </w:p>
    <w:tbl>
      <w:tblPr>
        <w:tblStyle w:val="5"/>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599"/>
        <w:gridCol w:w="2755"/>
        <w:gridCol w:w="1418"/>
        <w:gridCol w:w="2976"/>
        <w:gridCol w:w="6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jc w:val="center"/>
        </w:trPr>
        <w:tc>
          <w:tcPr>
            <w:tcW w:w="576" w:type="dxa"/>
            <w:tcBorders>
              <w:top w:val="single" w:color="auto" w:sz="4" w:space="0"/>
            </w:tcBorders>
            <w:shd w:val="clear" w:color="auto" w:fill="auto"/>
            <w:noWrap/>
            <w:vAlign w:val="center"/>
          </w:tcPr>
          <w:p>
            <w:pPr>
              <w:adjustRightInd w:val="0"/>
              <w:snapToGrid w:val="0"/>
              <w:spacing w:line="400" w:lineRule="exact"/>
              <w:jc w:val="center"/>
              <w:rPr>
                <w:rFonts w:ascii="黑体" w:hAnsi="黑体" w:eastAsia="黑体"/>
                <w:bCs/>
                <w:sz w:val="24"/>
              </w:rPr>
            </w:pPr>
            <w:r>
              <w:rPr>
                <w:rFonts w:hint="eastAsia" w:ascii="黑体" w:hAnsi="黑体" w:eastAsia="黑体"/>
                <w:bCs/>
                <w:sz w:val="24"/>
              </w:rPr>
              <w:t>序号</w:t>
            </w:r>
          </w:p>
        </w:tc>
        <w:tc>
          <w:tcPr>
            <w:tcW w:w="599" w:type="dxa"/>
            <w:tcBorders>
              <w:top w:val="single" w:color="auto" w:sz="4" w:space="0"/>
            </w:tcBorders>
            <w:shd w:val="clear" w:color="auto" w:fill="auto"/>
            <w:noWrap/>
            <w:vAlign w:val="center"/>
          </w:tcPr>
          <w:p>
            <w:pPr>
              <w:adjustRightInd w:val="0"/>
              <w:snapToGrid w:val="0"/>
              <w:spacing w:line="400" w:lineRule="exact"/>
              <w:jc w:val="center"/>
              <w:rPr>
                <w:rFonts w:ascii="黑体" w:hAnsi="黑体" w:eastAsia="黑体"/>
                <w:bCs/>
                <w:sz w:val="24"/>
              </w:rPr>
            </w:pPr>
            <w:r>
              <w:rPr>
                <w:rFonts w:hint="eastAsia" w:ascii="黑体" w:hAnsi="黑体" w:eastAsia="黑体"/>
                <w:bCs/>
                <w:sz w:val="24"/>
              </w:rPr>
              <w:t>类别</w:t>
            </w:r>
          </w:p>
        </w:tc>
        <w:tc>
          <w:tcPr>
            <w:tcW w:w="2755" w:type="dxa"/>
            <w:tcBorders>
              <w:top w:val="single" w:color="auto" w:sz="4" w:space="0"/>
            </w:tcBorders>
            <w:shd w:val="clear" w:color="auto" w:fill="auto"/>
            <w:noWrap/>
            <w:vAlign w:val="center"/>
          </w:tcPr>
          <w:p>
            <w:pPr>
              <w:adjustRightInd w:val="0"/>
              <w:snapToGrid w:val="0"/>
              <w:spacing w:line="400" w:lineRule="exact"/>
              <w:jc w:val="center"/>
              <w:rPr>
                <w:rFonts w:ascii="黑体" w:hAnsi="黑体" w:eastAsia="黑体"/>
                <w:bCs/>
                <w:sz w:val="24"/>
              </w:rPr>
            </w:pPr>
            <w:r>
              <w:rPr>
                <w:rFonts w:hint="eastAsia" w:ascii="黑体" w:hAnsi="黑体" w:eastAsia="黑体"/>
                <w:bCs/>
                <w:sz w:val="24"/>
              </w:rPr>
              <w:t>内容</w:t>
            </w:r>
          </w:p>
        </w:tc>
        <w:tc>
          <w:tcPr>
            <w:tcW w:w="1418" w:type="dxa"/>
            <w:tcBorders>
              <w:top w:val="single" w:color="auto" w:sz="4" w:space="0"/>
            </w:tcBorders>
            <w:shd w:val="clear" w:color="auto" w:fill="auto"/>
            <w:noWrap/>
            <w:vAlign w:val="center"/>
          </w:tcPr>
          <w:p>
            <w:pPr>
              <w:adjustRightInd w:val="0"/>
              <w:snapToGrid w:val="0"/>
              <w:spacing w:line="400" w:lineRule="exact"/>
              <w:jc w:val="center"/>
              <w:rPr>
                <w:rFonts w:hint="eastAsia" w:ascii="黑体" w:hAnsi="黑体" w:eastAsia="黑体"/>
                <w:bCs/>
                <w:sz w:val="24"/>
              </w:rPr>
            </w:pPr>
            <w:r>
              <w:rPr>
                <w:rFonts w:hint="eastAsia" w:ascii="黑体" w:hAnsi="黑体" w:eastAsia="黑体"/>
                <w:bCs/>
                <w:sz w:val="24"/>
              </w:rPr>
              <w:t>管理</w:t>
            </w:r>
          </w:p>
          <w:p>
            <w:pPr>
              <w:adjustRightInd w:val="0"/>
              <w:snapToGrid w:val="0"/>
              <w:spacing w:line="400" w:lineRule="exact"/>
              <w:jc w:val="center"/>
              <w:rPr>
                <w:rFonts w:ascii="黑体" w:hAnsi="黑体" w:eastAsia="黑体"/>
                <w:bCs/>
                <w:sz w:val="24"/>
              </w:rPr>
            </w:pPr>
            <w:r>
              <w:rPr>
                <w:rFonts w:hint="eastAsia" w:ascii="黑体" w:hAnsi="黑体" w:eastAsia="黑体"/>
                <w:bCs/>
                <w:sz w:val="24"/>
              </w:rPr>
              <w:t>措施</w:t>
            </w:r>
          </w:p>
        </w:tc>
        <w:tc>
          <w:tcPr>
            <w:tcW w:w="2976" w:type="dxa"/>
            <w:tcBorders>
              <w:top w:val="single" w:color="auto" w:sz="4" w:space="0"/>
            </w:tcBorders>
            <w:shd w:val="clear" w:color="auto" w:fill="auto"/>
            <w:noWrap/>
            <w:vAlign w:val="center"/>
          </w:tcPr>
          <w:p>
            <w:pPr>
              <w:adjustRightInd w:val="0"/>
              <w:snapToGrid w:val="0"/>
              <w:spacing w:line="400" w:lineRule="exact"/>
              <w:jc w:val="center"/>
              <w:rPr>
                <w:rFonts w:ascii="黑体" w:hAnsi="黑体" w:eastAsia="黑体"/>
                <w:bCs/>
                <w:sz w:val="24"/>
              </w:rPr>
            </w:pPr>
            <w:r>
              <w:rPr>
                <w:rFonts w:hint="eastAsia" w:ascii="黑体" w:hAnsi="黑体" w:eastAsia="黑体"/>
                <w:bCs/>
                <w:sz w:val="24"/>
              </w:rPr>
              <w:t>法律法规或政策依据</w:t>
            </w:r>
          </w:p>
        </w:tc>
        <w:tc>
          <w:tcPr>
            <w:tcW w:w="6406" w:type="dxa"/>
            <w:tcBorders>
              <w:top w:val="single" w:color="auto" w:sz="4" w:space="0"/>
            </w:tcBorders>
            <w:shd w:val="clear" w:color="auto" w:fill="auto"/>
            <w:noWrap/>
            <w:vAlign w:val="center"/>
          </w:tcPr>
          <w:p>
            <w:pPr>
              <w:adjustRightInd w:val="0"/>
              <w:snapToGrid w:val="0"/>
              <w:spacing w:line="400" w:lineRule="exact"/>
              <w:jc w:val="center"/>
              <w:rPr>
                <w:rFonts w:ascii="黑体" w:hAnsi="黑体" w:eastAsia="黑体"/>
                <w:bCs/>
                <w:sz w:val="24"/>
              </w:rPr>
            </w:pPr>
            <w:r>
              <w:rPr>
                <w:rFonts w:hint="eastAsia" w:ascii="黑体" w:hAnsi="黑体" w:eastAsia="黑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6" w:type="dxa"/>
            <w:tcBorders>
              <w:top w:val="single" w:color="auto" w:sz="4" w:space="0"/>
            </w:tcBorders>
            <w:shd w:val="clear" w:color="auto" w:fill="auto"/>
            <w:noWrap/>
            <w:vAlign w:val="center"/>
          </w:tcPr>
          <w:p>
            <w:pPr>
              <w:adjustRightInd w:val="0"/>
              <w:snapToGrid w:val="0"/>
              <w:spacing w:line="240" w:lineRule="exact"/>
              <w:jc w:val="center"/>
              <w:rPr>
                <w:rFonts w:ascii="宋体" w:hAnsi="宋体"/>
                <w:bCs/>
                <w:szCs w:val="21"/>
              </w:rPr>
            </w:pPr>
            <w:r>
              <w:rPr>
                <w:rFonts w:hint="eastAsia" w:ascii="宋体" w:hAnsi="宋体"/>
                <w:bCs/>
                <w:szCs w:val="21"/>
              </w:rPr>
              <w:t>1</w:t>
            </w:r>
          </w:p>
        </w:tc>
        <w:tc>
          <w:tcPr>
            <w:tcW w:w="599" w:type="dxa"/>
            <w:vMerge w:val="restart"/>
            <w:tcBorders>
              <w:top w:val="single" w:color="auto" w:sz="4" w:space="0"/>
            </w:tcBorders>
            <w:shd w:val="clear" w:color="auto" w:fill="auto"/>
            <w:noWrap/>
            <w:vAlign w:val="center"/>
          </w:tcPr>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r>
              <w:rPr>
                <w:rFonts w:hint="eastAsia" w:ascii="宋体" w:hAnsi="宋体"/>
                <w:szCs w:val="21"/>
              </w:rPr>
              <w:t>申请主体资格</w:t>
            </w: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r>
              <w:rPr>
                <w:rFonts w:hint="eastAsia" w:ascii="宋体" w:hAnsi="宋体"/>
                <w:szCs w:val="21"/>
              </w:rPr>
              <w:t>申请主体资格</w:t>
            </w: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bCs/>
                <w:szCs w:val="21"/>
              </w:rPr>
            </w:pPr>
            <w:r>
              <w:rPr>
                <w:rFonts w:hint="eastAsia" w:ascii="宋体" w:hAnsi="宋体"/>
                <w:szCs w:val="21"/>
              </w:rPr>
              <w:t>申请主体资格</w:t>
            </w:r>
          </w:p>
        </w:tc>
        <w:tc>
          <w:tcPr>
            <w:tcW w:w="2755" w:type="dxa"/>
            <w:tcBorders>
              <w:top w:val="single" w:color="auto" w:sz="4" w:space="0"/>
            </w:tcBorders>
            <w:shd w:val="clear" w:color="auto" w:fill="auto"/>
            <w:noWrap/>
            <w:vAlign w:val="center"/>
          </w:tcPr>
          <w:p>
            <w:pPr>
              <w:adjustRightInd w:val="0"/>
              <w:snapToGrid w:val="0"/>
              <w:spacing w:line="360" w:lineRule="exact"/>
              <w:rPr>
                <w:rFonts w:ascii="宋体" w:hAnsi="宋体"/>
                <w:bCs/>
                <w:szCs w:val="21"/>
              </w:rPr>
            </w:pPr>
            <w:r>
              <w:rPr>
                <w:rFonts w:hint="eastAsia" w:ascii="宋体" w:hAnsi="宋体"/>
                <w:bCs/>
                <w:szCs w:val="21"/>
              </w:rPr>
              <w:t>未取得营业执照的</w:t>
            </w:r>
          </w:p>
        </w:tc>
        <w:tc>
          <w:tcPr>
            <w:tcW w:w="1418" w:type="dxa"/>
            <w:tcBorders>
              <w:top w:val="single" w:color="auto" w:sz="4" w:space="0"/>
            </w:tcBorders>
            <w:shd w:val="clear" w:color="auto" w:fill="auto"/>
            <w:noWrap/>
            <w:vAlign w:val="center"/>
          </w:tcPr>
          <w:p>
            <w:pPr>
              <w:adjustRightInd w:val="0"/>
              <w:snapToGrid w:val="0"/>
              <w:spacing w:line="320" w:lineRule="exact"/>
              <w:rPr>
                <w:rFonts w:ascii="宋体" w:hAnsi="宋体"/>
                <w:bCs/>
                <w:szCs w:val="21"/>
              </w:rPr>
            </w:pPr>
            <w:r>
              <w:rPr>
                <w:rFonts w:hint="eastAsia" w:ascii="宋体" w:hAnsi="宋体"/>
                <w:bCs/>
                <w:szCs w:val="21"/>
              </w:rPr>
              <w:t>不予受理或者</w:t>
            </w:r>
            <w:r>
              <w:rPr>
                <w:rFonts w:hint="eastAsia" w:ascii="宋体" w:hAnsi="宋体" w:cs="宋体"/>
                <w:szCs w:val="21"/>
              </w:rPr>
              <w:t>不予发放烟草专卖零售许可证</w:t>
            </w:r>
          </w:p>
        </w:tc>
        <w:tc>
          <w:tcPr>
            <w:tcW w:w="2976" w:type="dxa"/>
            <w:tcBorders>
              <w:top w:val="single" w:color="auto" w:sz="4" w:space="0"/>
            </w:tcBorders>
            <w:shd w:val="clear" w:color="auto" w:fill="auto"/>
            <w:noWrap/>
            <w:vAlign w:val="center"/>
          </w:tcPr>
          <w:p>
            <w:pPr>
              <w:widowControl/>
              <w:spacing w:line="320" w:lineRule="exact"/>
              <w:rPr>
                <w:rFonts w:hint="eastAsia" w:ascii="宋体" w:hAnsi="宋体" w:cs="宋体"/>
                <w:szCs w:val="21"/>
              </w:rPr>
            </w:pPr>
            <w:r>
              <w:rPr>
                <w:rFonts w:hint="eastAsia" w:ascii="宋体" w:hAnsi="宋体" w:cs="宋体"/>
                <w:szCs w:val="21"/>
              </w:rPr>
              <w:t>《国务院关于“先照后证”改革后加强事中事后监管的意见》</w:t>
            </w:r>
            <w:r>
              <w:rPr>
                <w:rFonts w:ascii="宋体" w:hAnsi="宋体" w:cs="宋体"/>
                <w:szCs w:val="21"/>
              </w:rPr>
              <w:t>(</w:t>
            </w:r>
            <w:r>
              <w:rPr>
                <w:rFonts w:hint="eastAsia" w:ascii="宋体" w:hAnsi="宋体" w:cs="宋体"/>
                <w:szCs w:val="21"/>
              </w:rPr>
              <w:t>国发〔</w:t>
            </w:r>
            <w:r>
              <w:rPr>
                <w:rFonts w:ascii="宋体" w:hAnsi="宋体" w:cs="宋体"/>
                <w:szCs w:val="21"/>
              </w:rPr>
              <w:t>2015</w:t>
            </w:r>
            <w:r>
              <w:rPr>
                <w:rFonts w:hint="eastAsia" w:ascii="宋体" w:hAnsi="宋体" w:cs="宋体"/>
                <w:szCs w:val="21"/>
              </w:rPr>
              <w:t>〕</w:t>
            </w:r>
            <w:r>
              <w:rPr>
                <w:rFonts w:ascii="宋体" w:hAnsi="宋体" w:cs="宋体"/>
                <w:szCs w:val="21"/>
              </w:rPr>
              <w:t>62</w:t>
            </w:r>
            <w:r>
              <w:rPr>
                <w:rFonts w:hint="eastAsia" w:ascii="宋体" w:hAnsi="宋体" w:cs="宋体"/>
                <w:szCs w:val="21"/>
              </w:rPr>
              <w:t>号</w:t>
            </w:r>
            <w:r>
              <w:rPr>
                <w:rFonts w:ascii="宋体" w:hAnsi="宋体" w:cs="宋体"/>
                <w:szCs w:val="21"/>
              </w:rPr>
              <w:t>)</w:t>
            </w:r>
          </w:p>
          <w:p>
            <w:pPr>
              <w:widowControl/>
              <w:spacing w:line="320" w:lineRule="exact"/>
              <w:rPr>
                <w:rFonts w:ascii="宋体" w:hAnsi="宋体" w:cs="宋体"/>
                <w:szCs w:val="21"/>
              </w:rPr>
            </w:pPr>
            <w:r>
              <w:rPr>
                <w:rFonts w:hint="eastAsia" w:ascii="宋体" w:hAnsi="宋体" w:cs="宋体"/>
                <w:szCs w:val="21"/>
              </w:rPr>
              <w:t>《国家烟草专卖局关于印发烟草专卖许可证管理办法实施细则的通知》（国烟专〔</w:t>
            </w:r>
            <w:r>
              <w:rPr>
                <w:rFonts w:ascii="宋体" w:hAnsi="宋体" w:cs="宋体"/>
                <w:szCs w:val="21"/>
              </w:rPr>
              <w:t>20</w:t>
            </w:r>
            <w:r>
              <w:rPr>
                <w:rFonts w:hint="eastAsia" w:ascii="宋体" w:hAnsi="宋体" w:cs="宋体"/>
                <w:szCs w:val="21"/>
              </w:rPr>
              <w:t>20〕205号）第二十九条第（二）项</w:t>
            </w:r>
          </w:p>
        </w:tc>
        <w:tc>
          <w:tcPr>
            <w:tcW w:w="6406" w:type="dxa"/>
            <w:tcBorders>
              <w:top w:val="single" w:color="auto" w:sz="4" w:space="0"/>
            </w:tcBorders>
            <w:shd w:val="clear" w:color="auto" w:fill="auto"/>
            <w:noWrap/>
            <w:vAlign w:val="center"/>
          </w:tcPr>
          <w:p>
            <w:pPr>
              <w:widowControl/>
              <w:spacing w:line="320" w:lineRule="exact"/>
              <w:ind w:firstLine="280"/>
              <w:rPr>
                <w:rFonts w:ascii="宋体" w:hAnsi="宋体" w:cs="宋体"/>
                <w:szCs w:val="21"/>
              </w:rPr>
            </w:pPr>
            <w:r>
              <w:rPr>
                <w:rFonts w:hint="eastAsia" w:ascii="宋体" w:hAnsi="宋体" w:cs="宋体"/>
                <w:szCs w:val="21"/>
              </w:rPr>
              <w:t>《国务院关于“先照后证”改革后加强事中事后监管的意见》：除法律、行政法规和国务院决定外，一律不得设定工商登记前置审批事项，也不得通过备案等方式实施变相前置审批。</w:t>
            </w:r>
          </w:p>
          <w:p>
            <w:pPr>
              <w:widowControl/>
              <w:spacing w:line="320" w:lineRule="exact"/>
              <w:ind w:firstLine="420"/>
              <w:rPr>
                <w:rFonts w:ascii="宋体" w:hAnsi="宋体" w:cs="宋体"/>
                <w:szCs w:val="21"/>
              </w:rPr>
            </w:pPr>
            <w:r>
              <w:rPr>
                <w:rFonts w:hint="eastAsia" w:ascii="宋体" w:hAnsi="宋体" w:cs="宋体"/>
                <w:szCs w:val="21"/>
              </w:rPr>
              <w:t>经营者从事工商登记前置审批事项目录中事项的，应当依法报经相关审批部门审批后，凭许可文件、证件向工商部门申请登记注册，工商部门依法核发营业执照。经营者从事工商登记前置审批事项目录外事项的，直接向工商部门申请登记注册，工商部门依法核发营业执照。</w:t>
            </w:r>
          </w:p>
          <w:p>
            <w:pPr>
              <w:adjustRightInd w:val="0"/>
              <w:snapToGrid w:val="0"/>
              <w:spacing w:line="320" w:lineRule="exact"/>
              <w:ind w:firstLine="420"/>
              <w:rPr>
                <w:rFonts w:ascii="宋体" w:hAnsi="宋体" w:cs="宋体"/>
                <w:szCs w:val="21"/>
              </w:rPr>
            </w:pPr>
            <w:r>
              <w:rPr>
                <w:rFonts w:hint="eastAsia" w:ascii="宋体" w:hAnsi="宋体" w:cs="宋体"/>
                <w:szCs w:val="21"/>
              </w:rPr>
              <w:t>《国家烟草专卖局关于印发烟草专卖许可证管理办法实施细则的通知》第二十九条 申请新办烟草专卖零售许可证，应当提交以下材料：（二）营业执照。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r>
              <w:rPr>
                <w:rFonts w:hint="eastAsia" w:ascii="宋体" w:hAnsi="宋体"/>
                <w:szCs w:val="21"/>
              </w:rPr>
              <w:t>2</w:t>
            </w: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hint="eastAsia" w:ascii="宋体" w:hAnsi="宋体"/>
                <w:szCs w:val="21"/>
              </w:rPr>
            </w:pPr>
          </w:p>
          <w:p>
            <w:pPr>
              <w:adjustRightInd w:val="0"/>
              <w:snapToGrid w:val="0"/>
              <w:spacing w:line="290" w:lineRule="exact"/>
              <w:jc w:val="center"/>
              <w:rPr>
                <w:rFonts w:ascii="宋体" w:hAnsi="宋体"/>
                <w:szCs w:val="21"/>
              </w:rPr>
            </w:pPr>
            <w:r>
              <w:rPr>
                <w:rFonts w:ascii="宋体" w:hAnsi="宋体"/>
                <w:szCs w:val="21"/>
              </w:rPr>
              <w:t>2</w:t>
            </w:r>
          </w:p>
        </w:tc>
        <w:tc>
          <w:tcPr>
            <w:tcW w:w="599" w:type="dxa"/>
            <w:vMerge w:val="continue"/>
            <w:shd w:val="clear" w:color="auto" w:fill="auto"/>
            <w:noWrap w:val="0"/>
            <w:vAlign w:val="center"/>
          </w:tcPr>
          <w:p>
            <w:pPr>
              <w:adjustRightInd w:val="0"/>
              <w:snapToGrid w:val="0"/>
              <w:spacing w:line="290" w:lineRule="exact"/>
              <w:jc w:val="center"/>
              <w:rPr>
                <w:rFonts w:ascii="宋体" w:hAnsi="宋体"/>
                <w:szCs w:val="21"/>
              </w:rPr>
            </w:pPr>
          </w:p>
        </w:tc>
        <w:tc>
          <w:tcPr>
            <w:tcW w:w="2755" w:type="dxa"/>
            <w:shd w:val="clear" w:color="auto" w:fill="auto"/>
            <w:noWrap w:val="0"/>
            <w:vAlign w:val="center"/>
          </w:tcPr>
          <w:p>
            <w:pPr>
              <w:adjustRightInd w:val="0"/>
              <w:snapToGrid w:val="0"/>
              <w:spacing w:line="320" w:lineRule="exact"/>
              <w:rPr>
                <w:rFonts w:ascii="宋体" w:hAnsi="宋体"/>
                <w:szCs w:val="21"/>
              </w:rPr>
            </w:pPr>
            <w:r>
              <w:rPr>
                <w:rFonts w:hint="eastAsia" w:ascii="宋体" w:hAnsi="宋体"/>
                <w:szCs w:val="21"/>
              </w:rPr>
              <w:t>未成年人、无民事行为能力人及限制民事行为能力人。包括：1.未满十八周岁的公民；2.不能辨认及不能完全辨认自己行为的精神病人；3.智力残疾经依法鉴定为无民事行为能力或限制民事行为能力的公民；4.其他经依法鉴定为无民事行为能力及限制民事行为能力的公民</w:t>
            </w:r>
          </w:p>
        </w:tc>
        <w:tc>
          <w:tcPr>
            <w:tcW w:w="1418" w:type="dxa"/>
            <w:shd w:val="clear" w:color="auto" w:fill="auto"/>
            <w:noWrap w:val="0"/>
            <w:vAlign w:val="center"/>
          </w:tcPr>
          <w:p>
            <w:pPr>
              <w:adjustRightInd w:val="0"/>
              <w:snapToGrid w:val="0"/>
              <w:spacing w:line="360" w:lineRule="exact"/>
              <w:rPr>
                <w:rFonts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20" w:lineRule="exact"/>
              <w:rPr>
                <w:rFonts w:hint="eastAsia" w:ascii="宋体" w:hAnsi="宋体"/>
                <w:bCs/>
                <w:szCs w:val="21"/>
              </w:rPr>
            </w:pPr>
            <w:r>
              <w:rPr>
                <w:rFonts w:hint="eastAsia" w:ascii="宋体" w:hAnsi="宋体"/>
                <w:bCs/>
                <w:szCs w:val="21"/>
              </w:rPr>
              <w:t>《中华人民共和国民法典》第十七条 、第十八条 、第十九条、第二十条、第二十一条、第二十二条</w:t>
            </w:r>
          </w:p>
          <w:p>
            <w:pPr>
              <w:adjustRightInd w:val="0"/>
              <w:snapToGrid w:val="0"/>
              <w:spacing w:line="320" w:lineRule="exact"/>
              <w:rPr>
                <w:rFonts w:ascii="宋体" w:hAnsi="宋体"/>
                <w:szCs w:val="21"/>
              </w:rPr>
            </w:pPr>
            <w:r>
              <w:rPr>
                <w:rFonts w:hint="eastAsia" w:ascii="宋体" w:hAnsi="宋体"/>
                <w:bCs/>
                <w:szCs w:val="21"/>
              </w:rPr>
              <w:t>《未成年人保护法》第二条</w:t>
            </w:r>
          </w:p>
        </w:tc>
        <w:tc>
          <w:tcPr>
            <w:tcW w:w="6406" w:type="dxa"/>
            <w:shd w:val="clear" w:color="auto" w:fill="auto"/>
            <w:noWrap w:val="0"/>
            <w:vAlign w:val="center"/>
          </w:tcPr>
          <w:p>
            <w:pPr>
              <w:adjustRightInd w:val="0"/>
              <w:snapToGrid w:val="0"/>
              <w:spacing w:line="320" w:lineRule="exact"/>
              <w:ind w:firstLine="280"/>
              <w:rPr>
                <w:rFonts w:hint="eastAsia" w:ascii="宋体" w:hAnsi="宋体"/>
                <w:szCs w:val="21"/>
              </w:rPr>
            </w:pPr>
            <w:r>
              <w:rPr>
                <w:rFonts w:hint="eastAsia" w:ascii="宋体" w:hAnsi="宋体"/>
                <w:szCs w:val="21"/>
              </w:rPr>
              <w:t xml:space="preserve">《未成年人保护法》第二条 本法所称未成年人是指未满十八周岁的公民。  </w:t>
            </w:r>
          </w:p>
          <w:p>
            <w:pPr>
              <w:adjustRightInd w:val="0"/>
              <w:snapToGrid w:val="0"/>
              <w:spacing w:line="320" w:lineRule="exact"/>
              <w:ind w:firstLine="280"/>
              <w:rPr>
                <w:rFonts w:ascii="宋体" w:hAnsi="宋体"/>
                <w:szCs w:val="21"/>
              </w:rPr>
            </w:pPr>
            <w:r>
              <w:rPr>
                <w:rFonts w:hint="eastAsia" w:ascii="宋体" w:hAnsi="宋体"/>
                <w:szCs w:val="21"/>
              </w:rPr>
              <w:t>《中华人民共和国民法典》第十七条 十八周岁以上的自然人为成年人。不满十八周岁的自然人为未成年人。</w:t>
            </w:r>
          </w:p>
          <w:p>
            <w:pPr>
              <w:adjustRightInd w:val="0"/>
              <w:snapToGrid w:val="0"/>
              <w:spacing w:line="320" w:lineRule="exact"/>
              <w:ind w:firstLine="420"/>
              <w:rPr>
                <w:rFonts w:ascii="宋体" w:hAnsi="宋体"/>
                <w:szCs w:val="21"/>
              </w:rPr>
            </w:pPr>
            <w:r>
              <w:rPr>
                <w:rFonts w:hint="eastAsia" w:ascii="宋体" w:hAnsi="宋体"/>
                <w:szCs w:val="21"/>
              </w:rPr>
              <w:t>第十八条 成年人为完全民事行为能力人，可以独立实施民事法律行为。十六周岁以上的未成年人，以自己的劳动收入为主要生活来源的，视为完全民事行为能力人。</w:t>
            </w:r>
            <w:r>
              <w:rPr>
                <w:rFonts w:hint="eastAsia" w:ascii="宋体" w:hAnsi="宋体"/>
                <w:szCs w:val="21"/>
              </w:rPr>
              <w:br w:type="textWrapping"/>
            </w:r>
            <w:r>
              <w:rPr>
                <w:rFonts w:hint="eastAsia" w:ascii="宋体" w:hAnsi="宋体"/>
                <w:szCs w:val="21"/>
              </w:rPr>
              <w:t xml:space="preserve">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r>
              <w:rPr>
                <w:rFonts w:hint="eastAsia" w:ascii="宋体" w:hAnsi="宋体"/>
                <w:szCs w:val="21"/>
              </w:rPr>
              <w:br w:type="textWrapping"/>
            </w:r>
            <w:r>
              <w:rPr>
                <w:rFonts w:hint="eastAsia" w:ascii="宋体" w:hAnsi="宋体"/>
                <w:szCs w:val="21"/>
              </w:rPr>
              <w:t xml:space="preserve">   第二十条 不满八周岁的未成年人为无民事行为能力人，由其法定代理人代理实施民事法律行为。</w:t>
            </w:r>
            <w:r>
              <w:rPr>
                <w:rFonts w:hint="eastAsia" w:ascii="宋体" w:hAnsi="宋体"/>
                <w:szCs w:val="21"/>
              </w:rPr>
              <w:br w:type="textWrapping"/>
            </w:r>
            <w:r>
              <w:rPr>
                <w:rFonts w:hint="eastAsia" w:ascii="宋体" w:hAnsi="宋体"/>
                <w:szCs w:val="21"/>
              </w:rPr>
              <w:t xml:space="preserve">   第二十一条 不能辨认自己行为的成年人为无民事行为能力人，由其法定代理人代理实施民事法律行为。八周岁以上的未成年人不能辨认自己行为的，适用前款规定。</w:t>
            </w:r>
            <w:r>
              <w:rPr>
                <w:rFonts w:hint="eastAsia" w:ascii="宋体" w:hAnsi="宋体"/>
                <w:szCs w:val="21"/>
              </w:rPr>
              <w:br w:type="textWrapping"/>
            </w:r>
            <w:r>
              <w:rPr>
                <w:rFonts w:hint="eastAsia" w:ascii="宋体" w:hAnsi="宋体"/>
                <w:szCs w:val="21"/>
              </w:rPr>
              <w:t xml:space="preserve">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r>
              <w:rPr>
                <w:rFonts w:hint="eastAsia" w:ascii="宋体" w:hAnsi="宋体"/>
                <w:szCs w:val="21"/>
              </w:rPr>
              <w:t>3</w:t>
            </w: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p>
          <w:p>
            <w:pPr>
              <w:adjustRightInd w:val="0"/>
              <w:snapToGrid w:val="0"/>
              <w:spacing w:line="310" w:lineRule="exact"/>
              <w:jc w:val="center"/>
              <w:rPr>
                <w:rFonts w:hint="eastAsia" w:ascii="宋体" w:hAnsi="宋体"/>
                <w:szCs w:val="21"/>
              </w:rPr>
            </w:pPr>
            <w:r>
              <w:rPr>
                <w:rFonts w:hint="eastAsia" w:ascii="宋体" w:hAnsi="宋体"/>
                <w:szCs w:val="21"/>
              </w:rPr>
              <w:t>3</w:t>
            </w:r>
          </w:p>
        </w:tc>
        <w:tc>
          <w:tcPr>
            <w:tcW w:w="599" w:type="dxa"/>
            <w:vMerge w:val="continue"/>
            <w:shd w:val="clear" w:color="auto" w:fill="auto"/>
            <w:noWrap w:val="0"/>
            <w:vAlign w:val="center"/>
          </w:tcPr>
          <w:p>
            <w:pPr>
              <w:adjustRightInd w:val="0"/>
              <w:snapToGrid w:val="0"/>
              <w:spacing w:line="31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外商投资的商业企业或者个体工商户，及其以特许、吸纳加盟店及其他再投资等形式从事烟草专卖品经营业务的；但有外资成分以提供住宿、餐饮、休闲、娱乐为主要经营的宾馆、酒店等企业，其零售业态属于“娱乐服务类”的，以及《烟草专卖许可证管理办法》第六十三条规定的除外</w:t>
            </w:r>
          </w:p>
        </w:tc>
        <w:tc>
          <w:tcPr>
            <w:tcW w:w="1418"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不得从事烟草专卖品批发或者零售业务，不得以特许、吸纳加盟店及其他再投资等形式变相从事烟草专卖品经营业务</w:t>
            </w:r>
          </w:p>
        </w:tc>
        <w:tc>
          <w:tcPr>
            <w:tcW w:w="297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《烟草专卖许可证管理办法》第十七条</w:t>
            </w:r>
          </w:p>
        </w:tc>
        <w:tc>
          <w:tcPr>
            <w:tcW w:w="6406" w:type="dxa"/>
            <w:shd w:val="clear" w:color="auto" w:fill="auto"/>
            <w:noWrap w:val="0"/>
            <w:vAlign w:val="center"/>
          </w:tcPr>
          <w:p>
            <w:pPr>
              <w:adjustRightInd w:val="0"/>
              <w:snapToGrid w:val="0"/>
              <w:spacing w:line="320" w:lineRule="exact"/>
              <w:ind w:firstLine="420"/>
              <w:jc w:val="left"/>
              <w:rPr>
                <w:rFonts w:hint="eastAsia" w:ascii="宋体" w:hAnsi="宋体"/>
                <w:szCs w:val="21"/>
              </w:rPr>
            </w:pPr>
            <w:r>
              <w:rPr>
                <w:rFonts w:hint="eastAsia" w:ascii="宋体" w:hAnsi="宋体"/>
                <w:szCs w:val="21"/>
              </w:rPr>
              <w:t>《烟草专卖许可证管理办法》第十七条 外商投资的商业企业或者个体工商户不得从事烟草专卖品批发或者零售业务，不得以特许、吸纳加盟店及其他再投资等形式变相从事烟草专卖品经营业务。</w:t>
            </w:r>
          </w:p>
          <w:p>
            <w:pPr>
              <w:adjustRightInd w:val="0"/>
              <w:snapToGrid w:val="0"/>
              <w:spacing w:line="320" w:lineRule="exact"/>
              <w:ind w:firstLine="420"/>
              <w:jc w:val="left"/>
              <w:rPr>
                <w:rFonts w:hint="eastAsia" w:ascii="宋体" w:hAnsi="宋体"/>
                <w:szCs w:val="21"/>
              </w:rPr>
            </w:pPr>
            <w:r>
              <w:rPr>
                <w:rFonts w:hint="eastAsia" w:ascii="宋体" w:hAnsi="宋体"/>
                <w:szCs w:val="21"/>
              </w:rPr>
              <w:t>2009年4月15日《有外资成分并且烟草零售业态属于娱乐服务类企业许可证管理事项的批复》：对有外资成分以提供住宿、餐饮、休闲、娱乐为主要经营的宾馆、酒店等企业，不属于《烟草专卖许可证管理办法》规定的“外商投资的商业企业或者个体工商户”。</w:t>
            </w:r>
          </w:p>
          <w:p>
            <w:pPr>
              <w:spacing w:line="320" w:lineRule="exact"/>
              <w:ind w:firstLine="420"/>
              <w:rPr>
                <w:rFonts w:hint="eastAsia" w:ascii="宋体" w:hAnsi="宋体"/>
                <w:szCs w:val="21"/>
              </w:rPr>
            </w:pPr>
            <w:r>
              <w:rPr>
                <w:rFonts w:hint="eastAsia" w:ascii="宋体" w:hAnsi="宋体"/>
                <w:szCs w:val="21"/>
              </w:rPr>
              <w:t>《烟草专卖许可证管理办法》第六十三条 持有烟草专卖零售许可证的国有企业，按照国家关于发展混合所有制经济的要求，经国家有关部门批准为国有控股的混合所有制企业的，可以重新申领烟草专卖零售许可证。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76" w:type="dxa"/>
            <w:shd w:val="clear" w:color="auto" w:fill="auto"/>
            <w:noWrap w:val="0"/>
            <w:vAlign w:val="center"/>
          </w:tcPr>
          <w:p>
            <w:pPr>
              <w:adjustRightInd w:val="0"/>
              <w:snapToGrid w:val="0"/>
              <w:spacing w:line="310" w:lineRule="exact"/>
              <w:jc w:val="center"/>
              <w:rPr>
                <w:rFonts w:hint="eastAsia" w:ascii="宋体" w:hAnsi="宋体"/>
                <w:szCs w:val="21"/>
              </w:rPr>
            </w:pPr>
            <w:r>
              <w:rPr>
                <w:rFonts w:hint="eastAsia" w:ascii="宋体" w:hAnsi="宋体"/>
                <w:szCs w:val="21"/>
              </w:rPr>
              <w:t>4</w:t>
            </w:r>
          </w:p>
        </w:tc>
        <w:tc>
          <w:tcPr>
            <w:tcW w:w="599" w:type="dxa"/>
            <w:vMerge w:val="continue"/>
            <w:shd w:val="clear" w:color="auto" w:fill="auto"/>
            <w:noWrap w:val="0"/>
            <w:vAlign w:val="center"/>
          </w:tcPr>
          <w:p>
            <w:pPr>
              <w:adjustRightInd w:val="0"/>
              <w:snapToGrid w:val="0"/>
              <w:spacing w:line="31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取消从事烟草专卖业务资格不满三年的</w:t>
            </w:r>
          </w:p>
        </w:tc>
        <w:tc>
          <w:tcPr>
            <w:tcW w:w="1418" w:type="dxa"/>
            <w:shd w:val="clear" w:color="auto" w:fill="auto"/>
            <w:noWrap w:val="0"/>
            <w:vAlign w:val="center"/>
          </w:tcPr>
          <w:p>
            <w:pPr>
              <w:adjustRightInd w:val="0"/>
              <w:snapToGrid w:val="0"/>
              <w:spacing w:line="31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《烟草专卖许可证管理办法》第二十五条第（三）项</w:t>
            </w:r>
          </w:p>
        </w:tc>
        <w:tc>
          <w:tcPr>
            <w:tcW w:w="640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w:t>
            </w:r>
          </w:p>
          <w:p>
            <w:pPr>
              <w:adjustRightInd w:val="0"/>
              <w:snapToGrid w:val="0"/>
              <w:spacing w:line="310" w:lineRule="exact"/>
              <w:jc w:val="left"/>
              <w:rPr>
                <w:rFonts w:hint="eastAsia" w:ascii="宋体" w:hAnsi="宋体"/>
                <w:szCs w:val="21"/>
              </w:rPr>
            </w:pPr>
            <w:r>
              <w:rPr>
                <w:rFonts w:hint="eastAsia" w:ascii="宋体" w:hAnsi="宋体"/>
                <w:szCs w:val="21"/>
              </w:rPr>
              <w:t>第二十五条　有下列情形之一的，不予发放烟草专卖零售许可证：（三）取消从事烟草专卖业务资格不满三年的。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576" w:type="dxa"/>
            <w:shd w:val="clear" w:color="auto" w:fill="auto"/>
            <w:noWrap w:val="0"/>
            <w:vAlign w:val="center"/>
          </w:tcPr>
          <w:p>
            <w:pPr>
              <w:adjustRightInd w:val="0"/>
              <w:snapToGrid w:val="0"/>
              <w:spacing w:line="310" w:lineRule="exact"/>
              <w:jc w:val="center"/>
              <w:rPr>
                <w:rFonts w:hint="eastAsia" w:ascii="宋体" w:hAnsi="宋体"/>
                <w:szCs w:val="21"/>
              </w:rPr>
            </w:pPr>
            <w:r>
              <w:rPr>
                <w:rFonts w:hint="eastAsia" w:ascii="宋体" w:hAnsi="宋体"/>
                <w:szCs w:val="21"/>
              </w:rPr>
              <w:t>5</w:t>
            </w:r>
          </w:p>
        </w:tc>
        <w:tc>
          <w:tcPr>
            <w:tcW w:w="599" w:type="dxa"/>
            <w:vMerge w:val="continue"/>
            <w:shd w:val="clear" w:color="auto" w:fill="auto"/>
            <w:noWrap w:val="0"/>
            <w:vAlign w:val="center"/>
          </w:tcPr>
          <w:p>
            <w:pPr>
              <w:adjustRightInd w:val="0"/>
              <w:snapToGrid w:val="0"/>
              <w:spacing w:line="31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10" w:lineRule="exact"/>
              <w:rPr>
                <w:rFonts w:hint="eastAsia" w:ascii="宋体" w:hAnsi="宋体"/>
                <w:szCs w:val="21"/>
              </w:rPr>
            </w:pPr>
            <w:r>
              <w:rPr>
                <w:rFonts w:hint="eastAsia" w:ascii="宋体" w:hAnsi="宋体"/>
                <w:szCs w:val="21"/>
              </w:rPr>
              <w:t>因申请人隐瞒有关情况或者提供虚假材料，烟草专卖行政主管部门作出不予受理或者不予发证决定后，申请人一年内再次提出申请的</w:t>
            </w:r>
          </w:p>
        </w:tc>
        <w:tc>
          <w:tcPr>
            <w:tcW w:w="1418" w:type="dxa"/>
            <w:shd w:val="clear" w:color="auto" w:fill="auto"/>
            <w:noWrap w:val="0"/>
            <w:vAlign w:val="center"/>
          </w:tcPr>
          <w:p>
            <w:pPr>
              <w:adjustRightInd w:val="0"/>
              <w:snapToGrid w:val="0"/>
              <w:spacing w:line="31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《烟草专卖许可证管理办法》第二十五条第（四）项</w:t>
            </w:r>
          </w:p>
        </w:tc>
        <w:tc>
          <w:tcPr>
            <w:tcW w:w="640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w:t>
            </w:r>
          </w:p>
          <w:p>
            <w:pPr>
              <w:adjustRightInd w:val="0"/>
              <w:snapToGrid w:val="0"/>
              <w:spacing w:line="310" w:lineRule="exact"/>
              <w:jc w:val="left"/>
              <w:rPr>
                <w:rFonts w:hint="eastAsia" w:ascii="宋体" w:hAnsi="宋体"/>
                <w:szCs w:val="21"/>
              </w:rPr>
            </w:pPr>
            <w:r>
              <w:rPr>
                <w:rFonts w:hint="eastAsia" w:ascii="宋体" w:hAnsi="宋体"/>
                <w:szCs w:val="21"/>
              </w:rPr>
              <w:t>第二十五条 有下列情形之一的，不予发放烟草专卖零售许可证：（四）因申请人隐瞒有关情况或者提供虚假材料，烟草专卖行政主管部门作出不予受理或者不予发证决定后，申请人一年内再次提出申请的。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576" w:type="dxa"/>
            <w:shd w:val="clear" w:color="auto" w:fill="auto"/>
            <w:noWrap w:val="0"/>
            <w:vAlign w:val="center"/>
          </w:tcPr>
          <w:p>
            <w:pPr>
              <w:adjustRightInd w:val="0"/>
              <w:snapToGrid w:val="0"/>
              <w:spacing w:line="310" w:lineRule="exact"/>
              <w:jc w:val="center"/>
              <w:rPr>
                <w:rFonts w:hint="eastAsia" w:ascii="宋体" w:hAnsi="宋体"/>
                <w:szCs w:val="21"/>
              </w:rPr>
            </w:pPr>
            <w:r>
              <w:rPr>
                <w:rFonts w:hint="eastAsia" w:ascii="宋体" w:hAnsi="宋体"/>
                <w:szCs w:val="21"/>
              </w:rPr>
              <w:t>6</w:t>
            </w:r>
          </w:p>
        </w:tc>
        <w:tc>
          <w:tcPr>
            <w:tcW w:w="599" w:type="dxa"/>
            <w:vMerge w:val="continue"/>
            <w:shd w:val="clear" w:color="auto" w:fill="auto"/>
            <w:noWrap w:val="0"/>
            <w:vAlign w:val="center"/>
          </w:tcPr>
          <w:p>
            <w:pPr>
              <w:adjustRightInd w:val="0"/>
              <w:snapToGrid w:val="0"/>
              <w:spacing w:line="31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因申请人以欺骗、贿赂等不正当手段取得的烟草专卖许可证被撤销后，申请人三年内再次提出申请的</w:t>
            </w:r>
          </w:p>
        </w:tc>
        <w:tc>
          <w:tcPr>
            <w:tcW w:w="1418" w:type="dxa"/>
            <w:shd w:val="clear" w:color="auto" w:fill="auto"/>
            <w:noWrap w:val="0"/>
            <w:vAlign w:val="center"/>
          </w:tcPr>
          <w:p>
            <w:pPr>
              <w:adjustRightInd w:val="0"/>
              <w:snapToGrid w:val="0"/>
              <w:spacing w:line="31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《烟草专卖许可证管理办法》第二十五条第（五）项</w:t>
            </w:r>
          </w:p>
        </w:tc>
        <w:tc>
          <w:tcPr>
            <w:tcW w:w="640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w:t>
            </w:r>
          </w:p>
          <w:p>
            <w:pPr>
              <w:adjustRightInd w:val="0"/>
              <w:snapToGrid w:val="0"/>
              <w:spacing w:line="310" w:lineRule="exact"/>
              <w:jc w:val="left"/>
              <w:rPr>
                <w:rFonts w:hint="eastAsia" w:ascii="宋体" w:hAnsi="宋体"/>
                <w:szCs w:val="21"/>
              </w:rPr>
            </w:pPr>
            <w:r>
              <w:rPr>
                <w:rFonts w:hint="eastAsia" w:ascii="宋体" w:hAnsi="宋体"/>
                <w:szCs w:val="21"/>
              </w:rPr>
              <w:t>第二十五条 有下列情形之一的，不予发放烟草专卖零售许可证:（五）因申请人以欺骗、贿赂等不正当手段取得的烟草专卖许可证被撤销后，申请人三年内再次提出申请的。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76" w:type="dxa"/>
            <w:tcBorders>
              <w:left w:val="single" w:color="000000" w:sz="4" w:space="0"/>
            </w:tcBorders>
            <w:shd w:val="clear" w:color="auto" w:fill="auto"/>
            <w:noWrap w:val="0"/>
            <w:vAlign w:val="center"/>
          </w:tcPr>
          <w:p>
            <w:pPr>
              <w:adjustRightInd w:val="0"/>
              <w:snapToGrid w:val="0"/>
              <w:spacing w:line="310" w:lineRule="exact"/>
              <w:jc w:val="center"/>
              <w:rPr>
                <w:rFonts w:hint="eastAsia" w:ascii="宋体" w:hAnsi="宋体"/>
                <w:szCs w:val="21"/>
              </w:rPr>
            </w:pPr>
            <w:r>
              <w:rPr>
                <w:rFonts w:hint="eastAsia" w:ascii="宋体" w:hAnsi="宋体"/>
                <w:szCs w:val="21"/>
              </w:rPr>
              <w:t>7</w:t>
            </w:r>
          </w:p>
        </w:tc>
        <w:tc>
          <w:tcPr>
            <w:tcW w:w="599" w:type="dxa"/>
            <w:vMerge w:val="continue"/>
            <w:shd w:val="clear" w:color="auto" w:fill="auto"/>
            <w:noWrap w:val="0"/>
            <w:vAlign w:val="center"/>
          </w:tcPr>
          <w:p>
            <w:pPr>
              <w:adjustRightInd w:val="0"/>
              <w:snapToGrid w:val="0"/>
              <w:spacing w:line="31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未领取烟草专卖零售许可证经营烟草专卖品业务，并且一年内被执法机关处罚两次以上，在三年内申请领取烟草专卖零售许可证的</w:t>
            </w:r>
          </w:p>
        </w:tc>
        <w:tc>
          <w:tcPr>
            <w:tcW w:w="1418" w:type="dxa"/>
            <w:shd w:val="clear" w:color="auto" w:fill="auto"/>
            <w:noWrap w:val="0"/>
            <w:vAlign w:val="center"/>
          </w:tcPr>
          <w:p>
            <w:pPr>
              <w:adjustRightInd w:val="0"/>
              <w:snapToGrid w:val="0"/>
              <w:spacing w:line="31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《烟草专卖许可证管理办法》第二十五条第（六）项</w:t>
            </w:r>
          </w:p>
        </w:tc>
        <w:tc>
          <w:tcPr>
            <w:tcW w:w="6406" w:type="dxa"/>
            <w:tcBorders>
              <w:right w:val="single" w:color="000000" w:sz="4" w:space="0"/>
            </w:tcBorders>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w:t>
            </w:r>
          </w:p>
          <w:p>
            <w:pPr>
              <w:adjustRightInd w:val="0"/>
              <w:snapToGrid w:val="0"/>
              <w:spacing w:line="310" w:lineRule="exact"/>
              <w:jc w:val="left"/>
              <w:rPr>
                <w:rFonts w:hint="eastAsia" w:ascii="宋体" w:hAnsi="宋体"/>
                <w:szCs w:val="21"/>
              </w:rPr>
            </w:pPr>
            <w:r>
              <w:rPr>
                <w:rFonts w:hint="eastAsia" w:ascii="宋体" w:hAnsi="宋体"/>
                <w:szCs w:val="21"/>
              </w:rPr>
              <w:t>第二十五条 有下列情形之一的，不予发放烟草专卖零售许可证：（六）未领取烟草专卖零售许可证经营烟草专卖品业务，并且一年内被执法机关处罚两次以上，在三年内申请领取烟草专卖零售许可证的。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576" w:type="dxa"/>
            <w:tcBorders>
              <w:left w:val="single" w:color="000000" w:sz="4" w:space="0"/>
            </w:tcBorders>
            <w:shd w:val="clear" w:color="auto" w:fill="auto"/>
            <w:noWrap w:val="0"/>
            <w:vAlign w:val="center"/>
          </w:tcPr>
          <w:p>
            <w:pPr>
              <w:adjustRightInd w:val="0"/>
              <w:snapToGrid w:val="0"/>
              <w:spacing w:line="310" w:lineRule="exact"/>
              <w:jc w:val="center"/>
              <w:rPr>
                <w:rFonts w:hint="eastAsia" w:ascii="宋体" w:hAnsi="宋体"/>
                <w:szCs w:val="21"/>
              </w:rPr>
            </w:pPr>
            <w:r>
              <w:rPr>
                <w:rFonts w:hint="eastAsia" w:ascii="宋体" w:hAnsi="宋体"/>
                <w:szCs w:val="21"/>
              </w:rPr>
              <w:t>8</w:t>
            </w:r>
          </w:p>
        </w:tc>
        <w:tc>
          <w:tcPr>
            <w:tcW w:w="599" w:type="dxa"/>
            <w:vMerge w:val="continue"/>
            <w:shd w:val="clear" w:color="auto" w:fill="auto"/>
            <w:noWrap w:val="0"/>
            <w:vAlign w:val="center"/>
          </w:tcPr>
          <w:p>
            <w:pPr>
              <w:adjustRightInd w:val="0"/>
              <w:snapToGrid w:val="0"/>
              <w:spacing w:line="31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未领取烟草专卖零售许可证经营烟草专卖品业务被追究刑事责任，在三年内申请领取烟草专卖零售许可证的</w:t>
            </w:r>
          </w:p>
        </w:tc>
        <w:tc>
          <w:tcPr>
            <w:tcW w:w="1418" w:type="dxa"/>
            <w:shd w:val="clear" w:color="auto" w:fill="auto"/>
            <w:noWrap w:val="0"/>
            <w:vAlign w:val="center"/>
          </w:tcPr>
          <w:p>
            <w:pPr>
              <w:adjustRightInd w:val="0"/>
              <w:snapToGrid w:val="0"/>
              <w:spacing w:line="26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《烟草专卖许可证管理办法实施细则》第十九条，《烟草专卖许可证管理办法》第二十五条第七项规</w:t>
            </w:r>
          </w:p>
        </w:tc>
        <w:tc>
          <w:tcPr>
            <w:tcW w:w="6406" w:type="dxa"/>
            <w:tcBorders>
              <w:right w:val="single" w:color="000000" w:sz="4" w:space="0"/>
            </w:tcBorders>
            <w:shd w:val="clear" w:color="auto" w:fill="auto"/>
            <w:noWrap w:val="0"/>
            <w:vAlign w:val="center"/>
          </w:tcPr>
          <w:p>
            <w:pPr>
              <w:adjustRightInd w:val="0"/>
              <w:snapToGrid w:val="0"/>
              <w:spacing w:line="310" w:lineRule="exact"/>
              <w:jc w:val="left"/>
              <w:rPr>
                <w:rFonts w:hint="eastAsia" w:ascii="宋体" w:hAnsi="宋体"/>
                <w:szCs w:val="21"/>
              </w:rPr>
            </w:pPr>
            <w:r>
              <w:rPr>
                <w:rFonts w:hint="eastAsia" w:ascii="宋体" w:hAnsi="宋体"/>
                <w:szCs w:val="21"/>
              </w:rPr>
              <w:t>《烟草专卖许可证管理办法实施细则》第十九条：未领取烟草专卖零售许可证经营烟草专卖品业务被追究刑事责任，在三年内申请领取烟草专卖零售许可证的，属于《烟草专卖许可证管理办法》第二十五条第七项规定的其他不予发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9</w:t>
            </w:r>
          </w:p>
        </w:tc>
        <w:tc>
          <w:tcPr>
            <w:tcW w:w="599" w:type="dxa"/>
            <w:vMerge w:val="restart"/>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经营模式</w:t>
            </w:r>
          </w:p>
          <w:p>
            <w:pPr>
              <w:adjustRightInd w:val="0"/>
              <w:snapToGrid w:val="0"/>
              <w:spacing w:line="300" w:lineRule="exact"/>
              <w:jc w:val="center"/>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利用自动售货装置或者其他自动售货形式，销售或者变相销售烟草制品的</w:t>
            </w:r>
          </w:p>
        </w:tc>
        <w:tc>
          <w:tcPr>
            <w:tcW w:w="1418" w:type="dxa"/>
            <w:shd w:val="clear" w:color="auto" w:fill="auto"/>
            <w:noWrap w:val="0"/>
            <w:vAlign w:val="center"/>
          </w:tcPr>
          <w:p>
            <w:pPr>
              <w:adjustRightInd w:val="0"/>
              <w:snapToGrid w:val="0"/>
              <w:spacing w:line="26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《烟草专卖许可证管理办法》第四十条第一款</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《烟草专卖许可证管理办法》第四十条第一款　公民、法人或者其他组织不得利用自动售货机销售烟草制品。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10</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通过信息网络渠道销售烟草制品的</w:t>
            </w:r>
          </w:p>
        </w:tc>
        <w:tc>
          <w:tcPr>
            <w:tcW w:w="1418" w:type="dxa"/>
            <w:shd w:val="clear" w:color="auto" w:fill="auto"/>
            <w:noWrap w:val="0"/>
            <w:vAlign w:val="center"/>
          </w:tcPr>
          <w:p>
            <w:pPr>
              <w:adjustRightInd w:val="0"/>
              <w:snapToGrid w:val="0"/>
              <w:spacing w:line="26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《烟草专卖许可证管理办法》第四十条第二款</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《烟草专卖许可证管理办法》第四十条第二款　除了取得烟草专卖生产企业许可证、烟草专卖批发企业许可证或者特种烟草专卖经营企业许可证的企业依法销售烟草专卖品外，任何公民、法人或者其他组织不得通过信息网络销售烟草专卖品。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11</w:t>
            </w:r>
          </w:p>
        </w:tc>
        <w:tc>
          <w:tcPr>
            <w:tcW w:w="599" w:type="dxa"/>
            <w:vMerge w:val="restart"/>
            <w:shd w:val="clear" w:color="auto" w:fill="auto"/>
            <w:noWrap w:val="0"/>
            <w:vAlign w:val="center"/>
          </w:tcPr>
          <w:p>
            <w:pPr>
              <w:adjustRightInd w:val="0"/>
              <w:snapToGrid w:val="0"/>
              <w:spacing w:line="300" w:lineRule="exact"/>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经营场所</w:t>
            </w: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经营场所</w:t>
            </w:r>
          </w:p>
          <w:p>
            <w:pPr>
              <w:adjustRightInd w:val="0"/>
              <w:snapToGrid w:val="0"/>
              <w:spacing w:line="300" w:lineRule="exact"/>
              <w:jc w:val="center"/>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无固定经营场所的</w:t>
            </w:r>
          </w:p>
        </w:tc>
        <w:tc>
          <w:tcPr>
            <w:tcW w:w="1418" w:type="dxa"/>
            <w:shd w:val="clear" w:color="auto" w:fill="auto"/>
            <w:noWrap w:val="0"/>
            <w:vAlign w:val="center"/>
          </w:tcPr>
          <w:p>
            <w:pPr>
              <w:adjustRightInd w:val="0"/>
              <w:snapToGrid w:val="0"/>
              <w:spacing w:line="26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《烟草专卖许可证管理办法》第十三条第（二）项</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《烟草专卖许可证管理办法》第十三条 申请烟草专卖零售许可证，应当具备下列条件：（二）有与住所相独立的固定经营场所。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12</w:t>
            </w:r>
          </w:p>
        </w:tc>
        <w:tc>
          <w:tcPr>
            <w:tcW w:w="599" w:type="dxa"/>
            <w:vMerge w:val="continue"/>
            <w:shd w:val="clear" w:color="auto" w:fill="auto"/>
            <w:noWrap w:val="0"/>
            <w:vAlign w:val="center"/>
          </w:tcPr>
          <w:p>
            <w:pPr>
              <w:adjustRightInd w:val="0"/>
              <w:snapToGrid w:val="0"/>
              <w:spacing w:line="300" w:lineRule="exact"/>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经营场所与住所不相独立的</w:t>
            </w:r>
          </w:p>
        </w:tc>
        <w:tc>
          <w:tcPr>
            <w:tcW w:w="1418" w:type="dxa"/>
            <w:shd w:val="clear" w:color="auto" w:fill="auto"/>
            <w:noWrap w:val="0"/>
            <w:vAlign w:val="center"/>
          </w:tcPr>
          <w:p>
            <w:pPr>
              <w:adjustRightInd w:val="0"/>
              <w:snapToGrid w:val="0"/>
              <w:spacing w:line="26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《烟草专卖许可证管理办法》第十三条第（二）项</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《烟草专卖许可证管理办法》第十三条 申请烟草专卖零售许可证，应当具备下列条件：（二）有与住所相独立的固定经营场所。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6" w:type="dxa"/>
            <w:tcBorders>
              <w:bottom w:val="single" w:color="auto" w:sz="4" w:space="0"/>
            </w:tcBorders>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13</w:t>
            </w:r>
          </w:p>
          <w:p>
            <w:pPr>
              <w:adjustRightInd w:val="0"/>
              <w:snapToGrid w:val="0"/>
              <w:spacing w:line="300" w:lineRule="exact"/>
              <w:jc w:val="center"/>
              <w:rPr>
                <w:rFonts w:hint="eastAsia" w:ascii="宋体" w:hAnsi="宋体"/>
                <w:szCs w:val="21"/>
              </w:rPr>
            </w:pPr>
          </w:p>
        </w:tc>
        <w:tc>
          <w:tcPr>
            <w:tcW w:w="599" w:type="dxa"/>
            <w:vMerge w:val="continue"/>
            <w:tcBorders>
              <w:bottom w:val="single" w:color="auto" w:sz="4" w:space="0"/>
            </w:tcBorders>
            <w:shd w:val="clear" w:color="auto" w:fill="auto"/>
            <w:noWrap w:val="0"/>
            <w:vAlign w:val="center"/>
          </w:tcPr>
          <w:p>
            <w:pPr>
              <w:adjustRightInd w:val="0"/>
              <w:snapToGrid w:val="0"/>
              <w:spacing w:line="300" w:lineRule="exact"/>
              <w:rPr>
                <w:rFonts w:hint="eastAsia" w:ascii="宋体" w:hAnsi="宋体"/>
                <w:szCs w:val="21"/>
              </w:rPr>
            </w:pPr>
          </w:p>
        </w:tc>
        <w:tc>
          <w:tcPr>
            <w:tcW w:w="2755" w:type="dxa"/>
            <w:tcBorders>
              <w:bottom w:val="single" w:color="auto" w:sz="4" w:space="0"/>
            </w:tcBorders>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流动摊点、简易搭盖、临时建筑、违章建筑、占用公共消防通道等经营场所</w:t>
            </w:r>
          </w:p>
        </w:tc>
        <w:tc>
          <w:tcPr>
            <w:tcW w:w="1418" w:type="dxa"/>
            <w:tcBorders>
              <w:bottom w:val="single" w:color="auto" w:sz="4" w:space="0"/>
            </w:tcBorders>
            <w:shd w:val="clear" w:color="auto" w:fill="auto"/>
            <w:noWrap w:val="0"/>
            <w:vAlign w:val="center"/>
          </w:tcPr>
          <w:p>
            <w:pPr>
              <w:adjustRightInd w:val="0"/>
              <w:snapToGrid w:val="0"/>
              <w:spacing w:line="260" w:lineRule="exact"/>
              <w:rPr>
                <w:rFonts w:hint="eastAsia" w:ascii="宋体" w:hAnsi="宋体"/>
                <w:szCs w:val="21"/>
              </w:rPr>
            </w:pPr>
            <w:r>
              <w:rPr>
                <w:rFonts w:hint="eastAsia" w:ascii="宋体" w:hAnsi="宋体"/>
                <w:szCs w:val="21"/>
              </w:rPr>
              <w:t>不予发放烟草专卖零售许可证</w:t>
            </w:r>
          </w:p>
        </w:tc>
        <w:tc>
          <w:tcPr>
            <w:tcW w:w="2976" w:type="dxa"/>
            <w:tcBorders>
              <w:bottom w:val="single" w:color="auto" w:sz="4" w:space="0"/>
            </w:tcBorders>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《烟草专卖许可证管理办法》第十三条第（二）项</w:t>
            </w:r>
          </w:p>
        </w:tc>
        <w:tc>
          <w:tcPr>
            <w:tcW w:w="6406" w:type="dxa"/>
            <w:tcBorders>
              <w:bottom w:val="single" w:color="auto" w:sz="4" w:space="0"/>
            </w:tcBorders>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《烟草专卖许可证管理办法》第十三条 申请烟草专卖零售许可证，应当具备下列条件：（二）有与住所相独立的固定经营场所。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14</w:t>
            </w: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14</w:t>
            </w: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tc>
        <w:tc>
          <w:tcPr>
            <w:tcW w:w="599" w:type="dxa"/>
            <w:vMerge w:val="continue"/>
            <w:shd w:val="clear" w:color="auto" w:fill="auto"/>
            <w:noWrap w:val="0"/>
            <w:vAlign w:val="center"/>
          </w:tcPr>
          <w:p>
            <w:pPr>
              <w:adjustRightInd w:val="0"/>
              <w:snapToGrid w:val="0"/>
              <w:spacing w:line="300" w:lineRule="exact"/>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cs="宋体"/>
                <w:szCs w:val="21"/>
              </w:rPr>
              <w:t>经营场所存在安全隐患，且不具备安全措施保障，不适宜经营卷烟的</w:t>
            </w:r>
            <w:r>
              <w:rPr>
                <w:rFonts w:hint="eastAsia" w:ascii="宋体" w:hAnsi="宋体" w:cs="宋体"/>
                <w:szCs w:val="21"/>
              </w:rPr>
              <w:br w:type="page"/>
            </w:r>
          </w:p>
        </w:tc>
        <w:tc>
          <w:tcPr>
            <w:tcW w:w="1418" w:type="dxa"/>
            <w:shd w:val="clear" w:color="auto" w:fill="auto"/>
            <w:noWrap w:val="0"/>
            <w:vAlign w:val="center"/>
          </w:tcPr>
          <w:p>
            <w:pPr>
              <w:adjustRightInd w:val="0"/>
              <w:snapToGrid w:val="0"/>
              <w:spacing w:line="280" w:lineRule="exac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widowControl/>
              <w:spacing w:line="260" w:lineRule="exact"/>
              <w:jc w:val="left"/>
              <w:rPr>
                <w:rFonts w:hint="eastAsia" w:ascii="宋体" w:hAnsi="宋体" w:cs="宋体"/>
                <w:szCs w:val="21"/>
              </w:rPr>
            </w:pPr>
            <w:r>
              <w:rPr>
                <w:rFonts w:hint="eastAsia" w:ascii="宋体" w:hAnsi="宋体" w:cs="宋体"/>
                <w:szCs w:val="21"/>
              </w:rPr>
              <w:t>《烟草专卖许可证管理办法》第二十五条第（一）项</w:t>
            </w:r>
          </w:p>
          <w:p>
            <w:pPr>
              <w:adjustRightInd w:val="0"/>
              <w:snapToGrid w:val="0"/>
              <w:spacing w:line="300" w:lineRule="exact"/>
              <w:jc w:val="left"/>
              <w:rPr>
                <w:rFonts w:hint="eastAsia" w:ascii="宋体" w:hAnsi="宋体"/>
                <w:szCs w:val="21"/>
              </w:rPr>
            </w:pPr>
          </w:p>
        </w:tc>
        <w:tc>
          <w:tcPr>
            <w:tcW w:w="6406" w:type="dxa"/>
            <w:shd w:val="clear" w:color="auto" w:fill="auto"/>
            <w:noWrap w:val="0"/>
            <w:vAlign w:val="center"/>
          </w:tcPr>
          <w:p>
            <w:pPr>
              <w:adjustRightInd w:val="0"/>
              <w:snapToGrid w:val="0"/>
              <w:spacing w:line="300" w:lineRule="exact"/>
              <w:rPr>
                <w:rFonts w:hint="eastAsia" w:ascii="宋体" w:hAnsi="宋体"/>
                <w:szCs w:val="21"/>
              </w:rPr>
            </w:pPr>
            <w:r>
              <w:rPr>
                <w:rFonts w:hint="eastAsia" w:ascii="宋体" w:hAnsi="宋体"/>
                <w:szCs w:val="21"/>
              </w:rPr>
              <w:t>《烟草专卖许可证管理办法》第二十五条  有下列情形之一的，不予发放烟草专卖零售许可证：（一）经营场所基于安全因素不适宜经营卷烟的。</w:t>
            </w:r>
            <w:r>
              <w:rPr>
                <w:rFonts w:hint="eastAsia" w:ascii="宋体" w:hAnsi="宋体"/>
                <w:szCs w:val="21"/>
              </w:rPr>
              <w:br w:type="textWrapping"/>
            </w:r>
            <w:r>
              <w:rPr>
                <w:rFonts w:hint="eastAsia" w:ascii="宋体" w:hAnsi="宋体"/>
                <w:szCs w:val="21"/>
              </w:rPr>
              <w:t>《国家烟草专卖局关于中国石化加油站便利店申请销售香烟的复函》（国烟专</w:t>
            </w:r>
            <w:r>
              <w:rPr>
                <w:rFonts w:hint="eastAsia" w:ascii="宋体" w:hAnsi="宋体" w:cs="宋体"/>
                <w:szCs w:val="21"/>
              </w:rPr>
              <w:t>﹝</w:t>
            </w:r>
            <w:r>
              <w:rPr>
                <w:rFonts w:hint="eastAsia" w:ascii="宋体" w:hAnsi="宋体"/>
                <w:szCs w:val="21"/>
              </w:rPr>
              <w:t>2009</w:t>
            </w:r>
            <w:r>
              <w:rPr>
                <w:rFonts w:hint="eastAsia" w:ascii="宋体" w:hAnsi="宋体" w:cs="宋体"/>
                <w:szCs w:val="21"/>
              </w:rPr>
              <w:t>﹞</w:t>
            </w:r>
            <w:r>
              <w:rPr>
                <w:rFonts w:hint="eastAsia" w:ascii="宋体" w:hAnsi="宋体"/>
                <w:szCs w:val="21"/>
              </w:rPr>
              <w:t>35号）和《国家烟草专卖局办公室关于加油站便利店申领烟草专卖零售许可证有关事项的通知》（国烟办综</w:t>
            </w:r>
          </w:p>
          <w:p>
            <w:pPr>
              <w:adjustRightInd w:val="0"/>
              <w:snapToGrid w:val="0"/>
              <w:spacing w:line="300" w:lineRule="exact"/>
              <w:rPr>
                <w:rFonts w:hint="eastAsia" w:ascii="宋体" w:hAnsi="宋体"/>
                <w:szCs w:val="21"/>
              </w:rPr>
            </w:pPr>
            <w:r>
              <w:rPr>
                <w:rFonts w:hint="eastAsia" w:ascii="宋体" w:hAnsi="宋体" w:cs="宋体"/>
                <w:szCs w:val="21"/>
              </w:rPr>
              <w:t>﹝</w:t>
            </w:r>
            <w:r>
              <w:rPr>
                <w:rFonts w:hint="eastAsia" w:ascii="宋体" w:hAnsi="宋体"/>
                <w:szCs w:val="21"/>
              </w:rPr>
              <w:t>2014</w:t>
            </w:r>
            <w:r>
              <w:rPr>
                <w:rFonts w:hint="eastAsia" w:ascii="宋体" w:hAnsi="宋体" w:cs="宋体"/>
                <w:szCs w:val="21"/>
              </w:rPr>
              <w:t>﹞</w:t>
            </w:r>
            <w:r>
              <w:rPr>
                <w:rFonts w:hint="eastAsia" w:ascii="宋体" w:hAnsi="宋体"/>
                <w:szCs w:val="21"/>
              </w:rPr>
              <w:t>474号）中明确规定：具备安全措施保障的加油站便利店不属于《烟草专卖许可证管理办法》规定的不予核发烟草专卖零售许可证的范围。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15</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cs="宋体"/>
                <w:szCs w:val="21"/>
              </w:rPr>
              <w:t>经营场所生产、经营、储存有毒有害、易挥发类物质，不符合食品安全标准，容易造成烟草制品污染的。</w:t>
            </w:r>
            <w:r>
              <w:rPr>
                <w:rFonts w:hint="eastAsia" w:ascii="宋体" w:hAnsi="宋体"/>
                <w:szCs w:val="21"/>
              </w:rPr>
              <w:t>如生产、、销售、经营、储存烟花爆竹、有毒有害、化工制品、农资、农药及其它带有腐蚀性、易挥发类商品的场所等。</w:t>
            </w:r>
          </w:p>
        </w:tc>
        <w:tc>
          <w:tcPr>
            <w:tcW w:w="1418"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cs="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cs="宋体"/>
                <w:szCs w:val="21"/>
              </w:rPr>
              <w:t>《食品安全法》第三十三条第（一）项</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cs="宋体"/>
                <w:szCs w:val="21"/>
              </w:rPr>
              <w:t>《食品安全法》第三十三条 食品生产经营应当符合食品安全标准，并符合下列要求：（一）具有与生产经营的食品品种、数量相适应的食品原料处理和食品加工、包装、贮存等场所，保持该场所环境整洁，并与有毒、有害场所以及其他污染源保持规定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16</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同一经营场所已经办理了烟草专卖零售许可证，且该许可证在有效期内的</w:t>
            </w:r>
          </w:p>
        </w:tc>
        <w:tc>
          <w:tcPr>
            <w:tcW w:w="1418"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《烟草专卖许可证管理办法实施细则》第四十条</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《烟草专卖许可证管理办法实施细则》第四十条：一个经营场所已经办理了烟草专卖零售许可证的，在许可证有效期内不再审批发放其他烟草专卖零售许可证。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17</w:t>
            </w:r>
          </w:p>
        </w:tc>
        <w:tc>
          <w:tcPr>
            <w:tcW w:w="599" w:type="dxa"/>
            <w:vMerge w:val="restart"/>
            <w:shd w:val="clear" w:color="auto" w:fill="auto"/>
            <w:noWrap w:val="0"/>
            <w:vAlign w:val="center"/>
          </w:tcPr>
          <w:p>
            <w:pPr>
              <w:adjustRightInd w:val="0"/>
              <w:snapToGrid w:val="0"/>
              <w:spacing w:line="300" w:lineRule="exact"/>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其他条件</w:t>
            </w: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其他条件</w:t>
            </w: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rPr>
                <w:rFonts w:hint="eastAsia" w:ascii="宋体" w:hAnsi="宋体"/>
                <w:szCs w:val="21"/>
              </w:rPr>
            </w:pPr>
          </w:p>
          <w:p>
            <w:pPr>
              <w:adjustRightInd w:val="0"/>
              <w:snapToGrid w:val="0"/>
              <w:spacing w:line="300" w:lineRule="exact"/>
              <w:rPr>
                <w:rFonts w:hint="eastAsia" w:ascii="宋体" w:hAnsi="宋体"/>
                <w:szCs w:val="21"/>
              </w:rPr>
            </w:pPr>
          </w:p>
          <w:p>
            <w:pPr>
              <w:adjustRightInd w:val="0"/>
              <w:snapToGrid w:val="0"/>
              <w:spacing w:line="300" w:lineRule="exact"/>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其他条件</w:t>
            </w: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tc>
        <w:tc>
          <w:tcPr>
            <w:tcW w:w="275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因申请人隐瞒有关情况或者提供虚假材料的</w:t>
            </w:r>
          </w:p>
        </w:tc>
        <w:tc>
          <w:tcPr>
            <w:tcW w:w="1418"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不予受理或不予发证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《烟草专卖许可证管理办法》第五十四条</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《烟草专卖许可证管理办法》第五十四条 因申请人隐瞒有关情况或者提供虚假材料的，应当不予受理或者不予发证，给予警告；申请人在一年内不得再次申请烟草专卖许可证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18</w:t>
            </w: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p>
          <w:p>
            <w:pPr>
              <w:adjustRightInd w:val="0"/>
              <w:snapToGrid w:val="0"/>
              <w:spacing w:line="300" w:lineRule="exact"/>
              <w:jc w:val="center"/>
              <w:rPr>
                <w:rFonts w:hint="eastAsia" w:ascii="宋体" w:hAnsi="宋体"/>
                <w:szCs w:val="21"/>
              </w:rPr>
            </w:pPr>
            <w:r>
              <w:rPr>
                <w:rFonts w:hint="eastAsia" w:ascii="宋体" w:hAnsi="宋体"/>
                <w:szCs w:val="21"/>
              </w:rPr>
              <w:t>18</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中小学、幼儿园等以未成年人为主要活动人群的场所内部及其出（入）口50米范围内</w:t>
            </w:r>
          </w:p>
        </w:tc>
        <w:tc>
          <w:tcPr>
            <w:tcW w:w="1418"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widowControl/>
              <w:spacing w:line="320" w:lineRule="exact"/>
              <w:jc w:val="left"/>
              <w:rPr>
                <w:rFonts w:hint="eastAsia" w:ascii="宋体" w:hAnsi="宋体" w:cs="宋体"/>
                <w:szCs w:val="21"/>
              </w:rPr>
            </w:pPr>
            <w:r>
              <w:rPr>
                <w:rFonts w:hint="eastAsia" w:ascii="宋体" w:hAnsi="宋体" w:cs="宋体"/>
                <w:szCs w:val="21"/>
              </w:rPr>
              <w:t>《烟草专卖许可证管理办法》第二十五条第二项</w:t>
            </w:r>
          </w:p>
          <w:p>
            <w:pPr>
              <w:widowControl/>
              <w:spacing w:line="320" w:lineRule="exact"/>
              <w:jc w:val="left"/>
              <w:rPr>
                <w:rFonts w:hint="eastAsia" w:ascii="宋体" w:hAnsi="宋体" w:cs="宋体"/>
                <w:szCs w:val="21"/>
              </w:rPr>
            </w:pPr>
            <w:r>
              <w:rPr>
                <w:rFonts w:hint="eastAsia" w:ascii="宋体" w:hAnsi="宋体" w:cs="宋体"/>
                <w:szCs w:val="21"/>
              </w:rPr>
              <w:t>《国家烟草专卖局关于印发烟草专卖许可证管理办法实施细则的通知》（国烟专〔2020〕205号）第七十六条</w:t>
            </w:r>
          </w:p>
          <w:p>
            <w:pPr>
              <w:adjustRightInd w:val="0"/>
              <w:snapToGrid w:val="0"/>
              <w:spacing w:line="320" w:lineRule="exact"/>
              <w:jc w:val="left"/>
              <w:rPr>
                <w:rFonts w:hint="eastAsia" w:ascii="宋体" w:hAnsi="宋体" w:cs="宋体"/>
                <w:szCs w:val="21"/>
              </w:rPr>
            </w:pPr>
            <w:r>
              <w:rPr>
                <w:rFonts w:hint="eastAsia" w:ascii="宋体" w:hAnsi="宋体" w:cs="宋体"/>
                <w:szCs w:val="21"/>
              </w:rPr>
              <w:t>《教育部关于在全国各级各类学校禁烟有关事项的通知》（教基一函〔2014〕1号）</w:t>
            </w:r>
          </w:p>
          <w:p>
            <w:pPr>
              <w:adjustRightInd w:val="0"/>
              <w:snapToGrid w:val="0"/>
              <w:spacing w:line="320" w:lineRule="exact"/>
              <w:jc w:val="left"/>
              <w:rPr>
                <w:rFonts w:hint="eastAsia" w:ascii="宋体" w:hAnsi="宋体" w:eastAsiaTheme="minorEastAsia"/>
                <w:szCs w:val="21"/>
                <w:lang w:eastAsia="zh-CN"/>
              </w:rPr>
            </w:pPr>
            <w:r>
              <w:rPr>
                <w:rFonts w:hint="eastAsia" w:ascii="宋体" w:hAnsi="宋体" w:cs="宋体"/>
                <w:szCs w:val="21"/>
                <w:lang w:eastAsia="zh-CN"/>
              </w:rPr>
              <w:t>湖北省</w:t>
            </w:r>
            <w:r>
              <w:rPr>
                <w:rFonts w:hint="eastAsia" w:ascii="宋体" w:hAnsi="宋体" w:cs="宋体"/>
                <w:szCs w:val="21"/>
              </w:rPr>
              <w:t>人民政府办公厅关于印发湖北省学校周边安全区域管理办法的通知鄂政办发〔2023〕28号</w:t>
            </w:r>
            <w:r>
              <w:rPr>
                <w:rFonts w:hint="eastAsia" w:ascii="宋体" w:hAnsi="宋体" w:cs="宋体"/>
                <w:szCs w:val="21"/>
                <w:lang w:eastAsia="zh-CN"/>
              </w:rPr>
              <w:t>第六条</w:t>
            </w:r>
          </w:p>
        </w:tc>
        <w:tc>
          <w:tcPr>
            <w:tcW w:w="6406" w:type="dxa"/>
            <w:shd w:val="clear" w:color="auto" w:fill="auto"/>
            <w:noWrap w:val="0"/>
            <w:vAlign w:val="center"/>
          </w:tcPr>
          <w:p>
            <w:pPr>
              <w:widowControl/>
              <w:spacing w:line="300" w:lineRule="exact"/>
              <w:ind w:firstLine="420" w:firstLineChars="200"/>
              <w:jc w:val="left"/>
              <w:rPr>
                <w:rFonts w:hint="eastAsia" w:ascii="宋体" w:hAnsi="宋体" w:cs="宋体"/>
                <w:szCs w:val="21"/>
              </w:rPr>
            </w:pPr>
            <w:r>
              <w:rPr>
                <w:rFonts w:hint="eastAsia" w:ascii="宋体" w:hAnsi="宋体" w:cs="宋体"/>
                <w:szCs w:val="21"/>
              </w:rPr>
              <w:t>《烟草专卖许可证管理办法》第二十六条有下列情形之一的，不予发放烟草专卖零售许可证：（二）中、小学校周围。</w:t>
            </w:r>
          </w:p>
          <w:p>
            <w:pPr>
              <w:spacing w:line="300" w:lineRule="exact"/>
              <w:ind w:firstLine="420" w:firstLineChars="200"/>
              <w:rPr>
                <w:rFonts w:hint="eastAsia" w:ascii="宋体" w:hAnsi="宋体" w:cs="宋体"/>
                <w:szCs w:val="21"/>
              </w:rPr>
            </w:pPr>
            <w:r>
              <w:rPr>
                <w:rFonts w:hint="eastAsia" w:ascii="宋体" w:hAnsi="宋体" w:cs="宋体"/>
                <w:szCs w:val="21"/>
              </w:rPr>
              <w:t xml:space="preserve">《国家烟草专卖局关于印发烟草专卖许可证管理办法实施细则的通知》）第七十六条本细则中的中小学，是指普通中小学、特殊教育学校、中等职业学校、专门学校。 </w:t>
            </w:r>
          </w:p>
          <w:p>
            <w:pPr>
              <w:widowControl/>
              <w:spacing w:line="300" w:lineRule="exact"/>
              <w:ind w:firstLine="420" w:firstLineChars="200"/>
              <w:jc w:val="left"/>
              <w:rPr>
                <w:rFonts w:hint="eastAsia" w:ascii="宋体" w:hAnsi="宋体" w:cs="宋体"/>
                <w:szCs w:val="21"/>
              </w:rPr>
            </w:pPr>
            <w:r>
              <w:rPr>
                <w:rFonts w:hint="eastAsia" w:ascii="宋体" w:hAnsi="宋体" w:cs="宋体"/>
                <w:szCs w:val="21"/>
              </w:rPr>
              <w:t>中小学、幼儿园周围是指上述机构进出通道口向外延伸一定距离的区域。</w:t>
            </w:r>
          </w:p>
          <w:p>
            <w:pPr>
              <w:adjustRightInd w:val="0"/>
              <w:snapToGrid w:val="0"/>
              <w:spacing w:line="300" w:lineRule="exact"/>
              <w:ind w:firstLine="420" w:firstLineChars="200"/>
              <w:jc w:val="left"/>
              <w:rPr>
                <w:rFonts w:hint="eastAsia" w:ascii="宋体" w:hAnsi="宋体" w:cs="宋体"/>
                <w:szCs w:val="21"/>
              </w:rPr>
            </w:pPr>
            <w:r>
              <w:rPr>
                <w:rFonts w:hint="eastAsia" w:ascii="宋体" w:hAnsi="宋体" w:cs="宋体"/>
                <w:szCs w:val="21"/>
              </w:rPr>
              <w:t>《教育部关于在全国各级各类学校禁烟有关事项的通知》（教基一函〔2014〕1号） 禁止在中小学幼儿园内吸烟。凡进入中小学、中职学校、幼儿园，任何人、任何地点、任何时间一律不准吸烟。校长是学校禁烟第一责任人，不但要率先垂范，还要认真做好具体组织实施工作，加强学校治理，完善禁烟措施。要在校门口显眼处设立“无烟校园”或禁烟标志。学校不设置吸烟区，不摆放烟具，不出现烟草广告或以烟草品牌冠名学校、教学楼。学校小卖部不得销售烟草制品。要做好校外人员进入校园时的禁烟解释和劝导工作。</w:t>
            </w:r>
          </w:p>
          <w:p>
            <w:pPr>
              <w:adjustRightInd w:val="0"/>
              <w:snapToGrid w:val="0"/>
              <w:spacing w:line="300" w:lineRule="exact"/>
              <w:ind w:firstLine="420" w:firstLineChars="200"/>
              <w:jc w:val="left"/>
              <w:rPr>
                <w:rFonts w:hint="eastAsia" w:ascii="宋体" w:hAnsi="宋体" w:cs="宋体" w:eastAsiaTheme="minorEastAsia"/>
                <w:kern w:val="2"/>
                <w:sz w:val="21"/>
                <w:szCs w:val="21"/>
                <w:lang w:val="en-US" w:eastAsia="zh-CN" w:bidi="ar-SA"/>
              </w:rPr>
            </w:pPr>
            <w:r>
              <w:rPr>
                <w:rFonts w:hint="eastAsia" w:ascii="宋体" w:hAnsi="宋体" w:cs="宋体"/>
                <w:szCs w:val="21"/>
                <w:lang w:eastAsia="zh-CN"/>
              </w:rPr>
              <w:t>《</w:t>
            </w:r>
            <w:r>
              <w:rPr>
                <w:rFonts w:hint="eastAsia" w:ascii="宋体" w:hAnsi="宋体" w:cs="宋体"/>
                <w:szCs w:val="21"/>
                <w:lang w:val="en-US" w:eastAsia="zh-CN"/>
              </w:rPr>
              <w:t>湖北省学校周边安全区域管理办法</w:t>
            </w:r>
            <w:r>
              <w:rPr>
                <w:rFonts w:hint="eastAsia" w:ascii="宋体" w:hAnsi="宋体" w:cs="宋体"/>
                <w:szCs w:val="21"/>
                <w:lang w:eastAsia="zh-CN"/>
              </w:rPr>
              <w:t>》第六条</w:t>
            </w:r>
            <w:r>
              <w:rPr>
                <w:rFonts w:hint="eastAsia" w:ascii="宋体" w:hAnsi="宋体" w:cs="宋体"/>
                <w:szCs w:val="21"/>
              </w:rPr>
              <w:t>根据中小学校、幼儿园校园周边50米范围内的治安、交通环境实际情况，因地制宜设置学生、家长等候区、护学通道、临时停车位，建设隔离栏、隔离墩、减速带或升降柱等硬质防冲撞设施。</w:t>
            </w:r>
            <w:r>
              <w:rPr>
                <w:rFonts w:hint="eastAsia" w:ascii="宋体" w:hAnsi="宋体" w:cs="宋体" w:eastAsiaTheme="minorEastAsia"/>
                <w:kern w:val="2"/>
                <w:sz w:val="21"/>
                <w:szCs w:val="21"/>
                <w:lang w:val="en-US" w:eastAsia="zh-CN" w:bidi="ar-SA"/>
              </w:rPr>
              <w:t>中小学校园周边50米范围内，禁止售卖烟（含电子烟，下同）、酒，烟草专卖管理部门已发放烟草专卖零售许可证的，待其许可期满后不予延续。</w:t>
            </w:r>
          </w:p>
          <w:p>
            <w:pPr>
              <w:adjustRightInd w:val="0"/>
              <w:snapToGrid w:val="0"/>
              <w:spacing w:line="300" w:lineRule="exact"/>
              <w:ind w:firstLine="420" w:firstLineChars="200"/>
              <w:jc w:val="left"/>
              <w:rPr>
                <w:rFonts w:hint="eastAsia" w:ascii="宋体" w:hAnsi="宋体" w:cs="宋体"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19</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已被政府纳入拆迁规划，且政府明令禁止办理营业执照的区域；</w:t>
            </w:r>
          </w:p>
        </w:tc>
        <w:tc>
          <w:tcPr>
            <w:tcW w:w="1418"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政府拆迁规划文件及相关规定文件</w:t>
            </w: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20</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cs="宋体"/>
                <w:szCs w:val="21"/>
              </w:rPr>
              <w:t>党政机关内部、无烟医疗卫生机构所属区域等政府、所属行业行政主管部门明令禁止经营烟草制品的区域</w:t>
            </w:r>
          </w:p>
        </w:tc>
        <w:tc>
          <w:tcPr>
            <w:tcW w:w="1418"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widowControl/>
              <w:jc w:val="left"/>
              <w:rPr>
                <w:rFonts w:hint="eastAsia" w:ascii="宋体" w:hAnsi="宋体" w:cs="宋体"/>
                <w:szCs w:val="21"/>
              </w:rPr>
            </w:pPr>
            <w:r>
              <w:rPr>
                <w:rFonts w:hint="eastAsia" w:ascii="宋体" w:hAnsi="宋体" w:cs="宋体"/>
                <w:szCs w:val="21"/>
              </w:rPr>
              <w:t>《</w:t>
            </w:r>
            <w:r>
              <w:rPr>
                <w:rFonts w:hint="eastAsia" w:ascii="宋体" w:hAnsi="宋体" w:cs="宋体"/>
                <w:bCs/>
                <w:szCs w:val="21"/>
              </w:rPr>
              <w:t>中共中央办公厅国务院办公厅</w:t>
            </w:r>
            <w:r>
              <w:rPr>
                <w:rFonts w:hint="eastAsia" w:ascii="宋体" w:hAnsi="宋体" w:cs="宋体"/>
                <w:szCs w:val="21"/>
              </w:rPr>
              <w:t>关于领导干部带头在公共场所禁烟有关事项的通知》（厅字〔2013〕19号）第四条</w:t>
            </w:r>
          </w:p>
          <w:p>
            <w:pPr>
              <w:widowControl/>
              <w:jc w:val="left"/>
              <w:rPr>
                <w:rFonts w:hint="eastAsia" w:ascii="宋体" w:hAnsi="宋体" w:cs="宋体"/>
                <w:szCs w:val="21"/>
              </w:rPr>
            </w:pPr>
            <w:r>
              <w:rPr>
                <w:rFonts w:hint="eastAsia" w:ascii="宋体" w:hAnsi="宋体" w:cs="宋体"/>
                <w:bCs/>
                <w:szCs w:val="21"/>
              </w:rPr>
              <w:t>卫生部、全国爱卫办《关于印发&lt;无烟医疗</w:t>
            </w:r>
            <w:r>
              <w:rPr>
                <w:rFonts w:hint="eastAsia" w:ascii="宋体" w:hAnsi="宋体" w:cs="宋体"/>
                <w:szCs w:val="21"/>
              </w:rPr>
              <w:t>卫生机构标准&gt;（试行）的通知》(卫妇社发〔2008〕15号)第八条</w:t>
            </w:r>
          </w:p>
          <w:p>
            <w:pPr>
              <w:adjustRightInd w:val="0"/>
              <w:snapToGrid w:val="0"/>
              <w:spacing w:line="300" w:lineRule="exact"/>
              <w:jc w:val="left"/>
              <w:rPr>
                <w:rFonts w:hint="eastAsia" w:ascii="宋体" w:hAnsi="宋体"/>
                <w:szCs w:val="21"/>
              </w:rPr>
            </w:pPr>
            <w:r>
              <w:rPr>
                <w:rFonts w:hint="eastAsia" w:ascii="宋体" w:hAnsi="宋体" w:cs="宋体"/>
                <w:szCs w:val="21"/>
              </w:rPr>
              <w:t>其他政府及部门文件</w:t>
            </w:r>
          </w:p>
        </w:tc>
        <w:tc>
          <w:tcPr>
            <w:tcW w:w="6406" w:type="dxa"/>
            <w:shd w:val="clear" w:color="auto" w:fill="auto"/>
            <w:noWrap w:val="0"/>
            <w:vAlign w:val="center"/>
          </w:tcPr>
          <w:p>
            <w:pPr>
              <w:widowControl/>
              <w:spacing w:line="30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bCs/>
                <w:szCs w:val="21"/>
              </w:rPr>
              <w:t>中共中央办公厅国务院办公厅</w:t>
            </w:r>
            <w:r>
              <w:rPr>
                <w:rFonts w:hint="eastAsia" w:ascii="宋体" w:hAnsi="宋体" w:cs="宋体"/>
                <w:szCs w:val="21"/>
              </w:rPr>
              <w:t>关于领导干部带头在公共场所禁烟有关事项的通知》第四条 要把各级党政机关建成无烟机关。机关内部禁止销售或提供烟草制品，禁止烟草广告，公共办公场所禁止吸烟，传达室、会议室、楼道、食堂、洗手间等场所要张贴醒目的禁烟标识。各级党政机关要动员本单位职工控烟，鼓励吸烟职工戒烟。卫生、宣传等有关部门和单位要广泛动员各方力量，深入开展形式多样的禁烟控烟宣传教育活动，在全社会形成禁烟控烟的良好氛围。</w:t>
            </w:r>
          </w:p>
          <w:p>
            <w:pPr>
              <w:adjustRightInd w:val="0"/>
              <w:snapToGrid w:val="0"/>
              <w:spacing w:line="300" w:lineRule="exact"/>
              <w:ind w:firstLine="420" w:firstLineChars="200"/>
              <w:jc w:val="left"/>
              <w:rPr>
                <w:rFonts w:hint="eastAsia" w:ascii="宋体" w:hAnsi="宋体"/>
                <w:szCs w:val="21"/>
              </w:rPr>
            </w:pPr>
            <w:r>
              <w:rPr>
                <w:rFonts w:hint="eastAsia" w:ascii="宋体" w:hAnsi="宋体" w:cs="宋体"/>
                <w:bCs/>
                <w:szCs w:val="21"/>
              </w:rPr>
              <w:t>卫生部、全国爱卫办《关于印发&lt;无烟医疗</w:t>
            </w:r>
            <w:r>
              <w:rPr>
                <w:rFonts w:hint="eastAsia" w:ascii="宋体" w:hAnsi="宋体" w:cs="宋体"/>
                <w:szCs w:val="21"/>
              </w:rPr>
              <w:t>卫生机构标准&gt;（试行）的通知》第八条 所属区域内禁止销售烟草制品。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21</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未形成便利店、超市、商场、烟草专业店、娱乐服务场所等实际商品展卖场所的商用楼宇内；</w:t>
            </w:r>
          </w:p>
        </w:tc>
        <w:tc>
          <w:tcPr>
            <w:tcW w:w="1418"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p>
        </w:tc>
        <w:tc>
          <w:tcPr>
            <w:tcW w:w="6406" w:type="dxa"/>
            <w:shd w:val="clear" w:color="auto" w:fill="auto"/>
            <w:noWrap w:val="0"/>
            <w:vAlign w:val="center"/>
          </w:tcPr>
          <w:p>
            <w:pPr>
              <w:adjustRightInd w:val="0"/>
              <w:snapToGrid w:val="0"/>
              <w:spacing w:line="30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6" w:type="dxa"/>
            <w:shd w:val="clear" w:color="auto" w:fill="auto"/>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22</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住宅小区除平层全开放式门店外的其他场所；</w:t>
            </w:r>
          </w:p>
        </w:tc>
        <w:tc>
          <w:tcPr>
            <w:tcW w:w="1418" w:type="dxa"/>
            <w:shd w:val="clear" w:color="auto" w:fill="auto"/>
            <w:noWrap w:val="0"/>
            <w:vAlign w:val="center"/>
          </w:tcPr>
          <w:p>
            <w:pPr>
              <w:adjustRightInd w:val="0"/>
              <w:snapToGrid w:val="0"/>
              <w:spacing w:line="280" w:lineRule="exact"/>
              <w:jc w:val="left"/>
              <w:rPr>
                <w:rFonts w:hint="eastAsia" w:ascii="宋体" w:hAnsi="宋体"/>
                <w:szCs w:val="21"/>
              </w:rPr>
            </w:pPr>
            <w:r>
              <w:rPr>
                <w:rFonts w:hint="eastAsia" w:ascii="宋体" w:hAnsi="宋体"/>
                <w:szCs w:val="21"/>
              </w:rPr>
              <w:t>不予发放烟草专卖零售许可证</w:t>
            </w:r>
          </w:p>
        </w:tc>
        <w:tc>
          <w:tcPr>
            <w:tcW w:w="2976" w:type="dxa"/>
            <w:shd w:val="clear" w:color="auto" w:fill="auto"/>
            <w:noWrap w:val="0"/>
            <w:vAlign w:val="center"/>
          </w:tcPr>
          <w:p>
            <w:pPr>
              <w:adjustRightInd w:val="0"/>
              <w:snapToGrid w:val="0"/>
              <w:spacing w:line="300" w:lineRule="exact"/>
              <w:jc w:val="left"/>
              <w:rPr>
                <w:rFonts w:hint="eastAsia" w:ascii="宋体" w:hAnsi="宋体"/>
                <w:szCs w:val="21"/>
              </w:rPr>
            </w:pPr>
          </w:p>
        </w:tc>
        <w:tc>
          <w:tcPr>
            <w:tcW w:w="6406" w:type="dxa"/>
            <w:shd w:val="clear" w:color="auto" w:fill="auto"/>
            <w:noWrap w:val="0"/>
            <w:vAlign w:val="center"/>
          </w:tcPr>
          <w:p>
            <w:pPr>
              <w:adjustRightInd w:val="0"/>
              <w:snapToGrid w:val="0"/>
              <w:spacing w:line="30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76" w:type="dxa"/>
            <w:shd w:val="clear" w:color="auto" w:fill="auto"/>
            <w:noWrap w:val="0"/>
            <w:vAlign w:val="center"/>
          </w:tcPr>
          <w:p>
            <w:pPr>
              <w:adjustRightInd w:val="0"/>
              <w:snapToGrid w:val="0"/>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23</w:t>
            </w:r>
          </w:p>
        </w:tc>
        <w:tc>
          <w:tcPr>
            <w:tcW w:w="599" w:type="dxa"/>
            <w:vMerge w:val="continue"/>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零售点数量已达到所在区域单元合理布局规划上限或者不符合本规划零售点间距要求的；</w:t>
            </w:r>
          </w:p>
        </w:tc>
        <w:tc>
          <w:tcPr>
            <w:tcW w:w="1418"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不予发放烟草专卖零售许可证</w:t>
            </w:r>
          </w:p>
        </w:tc>
        <w:tc>
          <w:tcPr>
            <w:tcW w:w="297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szCs w:val="21"/>
              </w:rPr>
            </w:pPr>
            <w:r>
              <w:rPr>
                <w:rFonts w:hint="eastAsia" w:ascii="宋体" w:hAnsi="宋体" w:cs="宋体"/>
                <w:szCs w:val="21"/>
              </w:rPr>
              <w:t>《烟草专卖许可证管理办法》第十五条、第十三条第（三）项</w:t>
            </w:r>
          </w:p>
        </w:tc>
        <w:tc>
          <w:tcPr>
            <w:tcW w:w="6406" w:type="dxa"/>
            <w:tcBorders>
              <w:top w:val="single" w:color="auto" w:sz="4" w:space="0"/>
              <w:left w:val="nil"/>
              <w:bottom w:val="single" w:color="auto" w:sz="4" w:space="0"/>
              <w:right w:val="single" w:color="auto" w:sz="4" w:space="0"/>
            </w:tcBorders>
            <w:shd w:val="clear" w:color="auto" w:fill="auto"/>
            <w:noWrap w:val="0"/>
            <w:vAlign w:val="center"/>
          </w:tcPr>
          <w:p>
            <w:pPr>
              <w:widowControl/>
              <w:ind w:firstLine="420" w:firstLineChars="200"/>
              <w:jc w:val="left"/>
              <w:rPr>
                <w:rFonts w:hint="eastAsia" w:ascii="宋体" w:hAnsi="宋体" w:cs="宋体"/>
                <w:szCs w:val="21"/>
              </w:rPr>
            </w:pPr>
            <w:r>
              <w:rPr>
                <w:rFonts w:hint="eastAsia" w:ascii="宋体" w:hAnsi="宋体" w:cs="宋体"/>
                <w:szCs w:val="21"/>
              </w:rPr>
              <w:t>《烟草专卖许可证管理办法》第十五条 制订烟草制品零售点合理布局规划时，应当根据辖区内的人口数量、交通状况、经济发展水平、消费能力等因素，在举行听证后确定零售点的合理布局。</w:t>
            </w:r>
          </w:p>
          <w:p>
            <w:pPr>
              <w:widowControl/>
              <w:ind w:firstLine="420" w:firstLineChars="200"/>
              <w:jc w:val="left"/>
              <w:rPr>
                <w:rFonts w:hint="eastAsia" w:ascii="宋体" w:hAnsi="宋体" w:cs="宋体"/>
                <w:szCs w:val="21"/>
              </w:rPr>
            </w:pPr>
            <w:r>
              <w:rPr>
                <w:rFonts w:hint="eastAsia" w:ascii="宋体" w:hAnsi="宋体" w:cs="宋体"/>
                <w:szCs w:val="21"/>
              </w:rPr>
              <w:t>烟草制品零售点合理布局规划、经营资金要求和经营场所条件，由县级以上烟草专卖局制定，并报上一级烟草专卖局备案</w:t>
            </w:r>
          </w:p>
          <w:p>
            <w:pPr>
              <w:widowControl/>
              <w:jc w:val="left"/>
              <w:rPr>
                <w:rFonts w:hint="eastAsia" w:ascii="宋体" w:hAnsi="宋体" w:cs="宋体"/>
                <w:szCs w:val="21"/>
              </w:rPr>
            </w:pPr>
            <w:r>
              <w:rPr>
                <w:rFonts w:hint="eastAsia" w:ascii="宋体" w:hAnsi="宋体" w:cs="宋体"/>
                <w:szCs w:val="21"/>
              </w:rPr>
              <w:t>《烟草专卖许可证管理办法》第十三条第（三）项：申请烟草专卖零售许可证，应当具备下列条件：（三）符合当地烟草制品零售点合理布局的要求。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6" w:type="dxa"/>
            <w:shd w:val="clear" w:color="auto" w:fill="auto"/>
            <w:noWrap w:val="0"/>
            <w:vAlign w:val="center"/>
          </w:tcPr>
          <w:p>
            <w:pPr>
              <w:adjustRightInd w:val="0"/>
              <w:snapToGrid w:val="0"/>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24</w:t>
            </w:r>
          </w:p>
        </w:tc>
        <w:tc>
          <w:tcPr>
            <w:tcW w:w="599" w:type="dxa"/>
            <w:shd w:val="clear" w:color="auto" w:fill="auto"/>
            <w:noWrap w:val="0"/>
            <w:vAlign w:val="center"/>
          </w:tcPr>
          <w:p>
            <w:pPr>
              <w:adjustRightInd w:val="0"/>
              <w:snapToGrid w:val="0"/>
              <w:spacing w:line="300" w:lineRule="exact"/>
              <w:ind w:firstLine="420" w:firstLineChars="200"/>
              <w:jc w:val="center"/>
              <w:rPr>
                <w:rFonts w:hint="eastAsia" w:ascii="宋体" w:hAnsi="宋体"/>
                <w:szCs w:val="21"/>
              </w:rPr>
            </w:pPr>
          </w:p>
        </w:tc>
        <w:tc>
          <w:tcPr>
            <w:tcW w:w="275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法律、法规、规章和国家烟草专卖局规定的其他不予设置烟草制品零售点的情形。</w:t>
            </w:r>
          </w:p>
        </w:tc>
        <w:tc>
          <w:tcPr>
            <w:tcW w:w="1418"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不予发放烟草专卖零售许可证</w:t>
            </w:r>
          </w:p>
        </w:tc>
        <w:tc>
          <w:tcPr>
            <w:tcW w:w="297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szCs w:val="21"/>
              </w:rPr>
            </w:pPr>
            <w:r>
              <w:rPr>
                <w:rFonts w:hint="eastAsia" w:ascii="宋体" w:hAnsi="宋体" w:cs="宋体"/>
                <w:szCs w:val="21"/>
              </w:rPr>
              <w:t>《烟草专卖许可证管理办法》第二十五条第（七）项</w:t>
            </w:r>
          </w:p>
          <w:p>
            <w:pPr>
              <w:widowControl/>
              <w:jc w:val="left"/>
              <w:rPr>
                <w:rFonts w:hint="eastAsia" w:ascii="宋体" w:hAnsi="宋体" w:cs="宋体"/>
                <w:szCs w:val="21"/>
              </w:rPr>
            </w:pPr>
            <w:r>
              <w:rPr>
                <w:rFonts w:hint="eastAsia" w:ascii="宋体" w:hAnsi="宋体" w:cs="宋体"/>
                <w:szCs w:val="21"/>
              </w:rPr>
              <w:t>相关法律法规规定</w:t>
            </w:r>
          </w:p>
        </w:tc>
        <w:tc>
          <w:tcPr>
            <w:tcW w:w="6406" w:type="dxa"/>
            <w:tcBorders>
              <w:top w:val="single" w:color="auto" w:sz="4" w:space="0"/>
              <w:left w:val="nil"/>
              <w:bottom w:val="single" w:color="auto" w:sz="4" w:space="0"/>
              <w:right w:val="single" w:color="auto" w:sz="4" w:space="0"/>
            </w:tcBorders>
            <w:shd w:val="clear" w:color="auto" w:fill="auto"/>
            <w:noWrap w:val="0"/>
            <w:vAlign w:val="center"/>
          </w:tcPr>
          <w:p>
            <w:pPr>
              <w:widowControl/>
              <w:ind w:firstLine="420" w:firstLineChars="200"/>
              <w:jc w:val="left"/>
              <w:rPr>
                <w:rFonts w:hint="eastAsia" w:ascii="宋体" w:hAnsi="宋体" w:cs="宋体"/>
                <w:szCs w:val="21"/>
              </w:rPr>
            </w:pPr>
            <w:r>
              <w:rPr>
                <w:rFonts w:hint="eastAsia" w:ascii="宋体" w:hAnsi="宋体" w:cs="宋体"/>
                <w:szCs w:val="21"/>
              </w:rPr>
              <w:t>《烟草专卖许可证管理办法》第二十五条第（七）项  有下列情形之一的，不予发放烟草专卖零售许可证：（七）国家烟草专卖局规定的其他不予发证的情形。</w:t>
            </w:r>
          </w:p>
        </w:tc>
      </w:tr>
    </w:tbl>
    <w:p>
      <w:pPr>
        <w:rPr>
          <w:rFonts w:ascii="仿宋_GB2312" w:hAnsi="宋体" w:eastAsia="仿宋_GB2312"/>
          <w:sz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rPr>
        <w:sectPr>
          <w:pgSz w:w="16838" w:h="11906" w:orient="landscape"/>
          <w:pgMar w:top="2098" w:right="1474" w:bottom="1985" w:left="1588" w:header="851" w:footer="992" w:gutter="0"/>
          <w:cols w:space="425" w:num="1"/>
          <w:docGrid w:linePitch="312" w:charSpace="0"/>
        </w:sectPr>
      </w:pPr>
    </w:p>
    <w:p>
      <w:pPr>
        <w:widowControl/>
        <w:jc w:val="left"/>
        <w:rPr>
          <w:rFonts w:ascii="黑体" w:hAnsi="黑体" w:eastAsia="黑体"/>
          <w:sz w:val="32"/>
          <w:szCs w:val="32"/>
        </w:rPr>
      </w:pPr>
      <w:r>
        <w:rPr>
          <w:rFonts w:hint="eastAsia" w:ascii="黑体" w:hAnsi="黑体" w:eastAsia="黑体"/>
          <w:sz w:val="32"/>
          <w:szCs w:val="32"/>
        </w:rPr>
        <w:t>附件2</w:t>
      </w:r>
    </w:p>
    <w:p>
      <w:pPr>
        <w:spacing w:line="720" w:lineRule="exact"/>
        <w:jc w:val="center"/>
        <w:rPr>
          <w:rFonts w:hint="eastAsia" w:ascii="方正小标宋简体" w:hAnsi="宋体" w:eastAsia="方正小标宋简体" w:cs="宋体"/>
          <w:sz w:val="44"/>
          <w:szCs w:val="44"/>
          <w:lang w:bidi="ug-CN"/>
        </w:rPr>
      </w:pPr>
      <w:r>
        <w:rPr>
          <w:rFonts w:hint="eastAsia" w:ascii="方正小标宋简体" w:hAnsi="宋体" w:eastAsia="方正小标宋简体" w:cs="宋体"/>
          <w:sz w:val="44"/>
          <w:szCs w:val="44"/>
          <w:lang w:bidi="ug-CN"/>
        </w:rPr>
        <w:t>宜昌市夷陵区烟草制品</w:t>
      </w:r>
    </w:p>
    <w:p>
      <w:pPr>
        <w:spacing w:line="720" w:lineRule="exact"/>
        <w:jc w:val="center"/>
        <w:rPr>
          <w:rFonts w:hint="eastAsia" w:ascii="方正小标宋简体" w:hAnsi="宋体" w:eastAsia="方正小标宋简体" w:cs="宋体"/>
          <w:sz w:val="44"/>
          <w:szCs w:val="44"/>
          <w:lang w:bidi="ug-CN"/>
        </w:rPr>
      </w:pPr>
      <w:r>
        <w:rPr>
          <w:rFonts w:hint="eastAsia" w:ascii="方正小标宋简体" w:hAnsi="宋体" w:eastAsia="方正小标宋简体" w:cs="宋体"/>
          <w:sz w:val="44"/>
          <w:szCs w:val="44"/>
          <w:lang w:bidi="ug-CN"/>
        </w:rPr>
        <w:t>零售点经营场所核查及间距测量标准</w:t>
      </w:r>
    </w:p>
    <w:p>
      <w:pPr>
        <w:spacing w:line="720" w:lineRule="exact"/>
        <w:jc w:val="center"/>
        <w:rPr>
          <w:rFonts w:hint="eastAsia" w:ascii="方正小标宋简体" w:hAnsi="宋体" w:eastAsia="方正小标宋简体" w:cs="宋体"/>
          <w:sz w:val="44"/>
          <w:szCs w:val="44"/>
          <w:lang w:bidi="ug-CN"/>
        </w:rPr>
      </w:pPr>
    </w:p>
    <w:p>
      <w:pPr>
        <w:adjustRightInd w:val="0"/>
        <w:snapToGrid w:val="0"/>
        <w:spacing w:line="600" w:lineRule="exact"/>
        <w:ind w:firstLine="640" w:firstLineChars="200"/>
        <w:jc w:val="left"/>
        <w:rPr>
          <w:rFonts w:ascii="仿宋_GB2312" w:hAnsi="宋体" w:eastAsia="仿宋_GB2312" w:cs="宋体"/>
          <w:sz w:val="32"/>
          <w:szCs w:val="32"/>
          <w:lang w:bidi="ug-CN"/>
        </w:rPr>
      </w:pPr>
      <w:r>
        <w:rPr>
          <w:rFonts w:hint="eastAsia" w:ascii="仿宋_GB2312" w:hAnsi="宋体" w:eastAsia="仿宋_GB2312" w:cs="宋体"/>
          <w:sz w:val="32"/>
          <w:szCs w:val="32"/>
          <w:lang w:bidi="ug-CN"/>
        </w:rPr>
        <w:t>为统一烟草制品零售点经营场所实地核查标准、规范零售点间距现场测量标准，确保烟草制品零售点现场勘验公开、公平、公正，依据《宜昌市夷陵区烟草制品零售点合理布局规划》制定本标准。</w:t>
      </w:r>
    </w:p>
    <w:p>
      <w:pPr>
        <w:spacing w:line="560" w:lineRule="exact"/>
        <w:ind w:firstLine="640" w:firstLineChars="200"/>
        <w:rPr>
          <w:rFonts w:ascii="仿宋_GB2312" w:hAnsi="宋体" w:eastAsia="仿宋_GB2312" w:cs="宋体"/>
          <w:sz w:val="32"/>
          <w:szCs w:val="32"/>
          <w:lang w:bidi="ug-CN"/>
        </w:rPr>
      </w:pPr>
      <w:r>
        <w:rPr>
          <w:rFonts w:hint="eastAsia" w:ascii="黑体" w:hAnsi="黑体" w:eastAsia="黑体" w:cs="宋体"/>
          <w:sz w:val="32"/>
          <w:szCs w:val="32"/>
          <w:lang w:bidi="ug-CN"/>
        </w:rPr>
        <w:t>第一条</w:t>
      </w:r>
      <w:r>
        <w:rPr>
          <w:rFonts w:hint="eastAsia" w:ascii="仿宋_GB2312" w:hAnsi="宋体" w:eastAsia="仿宋_GB2312" w:cs="宋体"/>
          <w:sz w:val="32"/>
          <w:szCs w:val="32"/>
          <w:lang w:bidi="ug-CN"/>
        </w:rPr>
        <w:t xml:space="preserve"> 本标准适用于宜昌市夷陵区烟草专卖局对烟草制品零售点的经营场所实地核查、间距现场测量工作。</w:t>
      </w:r>
    </w:p>
    <w:p>
      <w:pPr>
        <w:spacing w:line="560" w:lineRule="exact"/>
        <w:ind w:firstLine="640" w:firstLineChars="200"/>
        <w:rPr>
          <w:rFonts w:ascii="仿宋_GB2312" w:hAnsi="宋体" w:eastAsia="仿宋_GB2312"/>
          <w:sz w:val="32"/>
          <w:szCs w:val="32"/>
        </w:rPr>
      </w:pPr>
      <w:r>
        <w:rPr>
          <w:rFonts w:hint="eastAsia" w:ascii="黑体" w:hAnsi="黑体" w:eastAsia="黑体" w:cs="宋体"/>
          <w:sz w:val="32"/>
          <w:szCs w:val="32"/>
          <w:lang w:bidi="ug-CN"/>
        </w:rPr>
        <w:t>第二条</w:t>
      </w:r>
      <w:r>
        <w:rPr>
          <w:rFonts w:hint="eastAsia" w:ascii="仿宋_GB2312" w:hAnsi="宋体" w:eastAsia="仿宋_GB2312" w:cs="宋体"/>
          <w:sz w:val="32"/>
          <w:szCs w:val="32"/>
          <w:lang w:bidi="ug-CN"/>
        </w:rPr>
        <w:t xml:space="preserve"> 烟草制品零售点的经营场所核查主要是指</w:t>
      </w:r>
      <w:r>
        <w:rPr>
          <w:rFonts w:hint="eastAsia" w:ascii="仿宋_GB2312" w:hAnsi="宋体" w:eastAsia="仿宋_GB2312"/>
          <w:sz w:val="32"/>
          <w:szCs w:val="32"/>
        </w:rPr>
        <w:t>“与住所相独立的固定经营场所”核查标准。</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（一）“与住所相独立”的核查标准：该经营场所未与住所混合在一起，可以在</w:t>
      </w:r>
      <w:r>
        <w:rPr>
          <w:rFonts w:ascii="仿宋_GB2312" w:hAnsi="宋体" w:eastAsia="仿宋_GB2312"/>
          <w:sz w:val="32"/>
          <w:szCs w:val="32"/>
        </w:rPr>
        <w:t>物理上进行区分</w:t>
      </w:r>
      <w:r>
        <w:rPr>
          <w:rFonts w:hint="eastAsia" w:ascii="仿宋_GB2312" w:hAnsi="宋体" w:eastAsia="仿宋_GB2312"/>
          <w:sz w:val="32"/>
          <w:szCs w:val="32"/>
        </w:rPr>
        <w:t>，但排除住所</w:t>
      </w:r>
      <w:r>
        <w:rPr>
          <w:rFonts w:ascii="仿宋_GB2312" w:hAnsi="宋体" w:eastAsia="仿宋_GB2312"/>
          <w:sz w:val="32"/>
          <w:szCs w:val="32"/>
        </w:rPr>
        <w:t>与经营场所混用或住所与经营场所相连接的情况</w:t>
      </w:r>
      <w:r>
        <w:rPr>
          <w:rFonts w:hint="eastAsia" w:ascii="仿宋_GB2312" w:hAnsi="宋体" w:eastAsia="仿宋_GB2312"/>
          <w:sz w:val="32"/>
          <w:szCs w:val="32"/>
        </w:rPr>
        <w:t>。</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（二）“固定”的核查标准：该经营场所有固定的地址，使用砖、木、钢等结构材料筑成的，具有长期性、固定性设计功能。以下情形视为“不具备固定经营场所”：</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1.申请人占用楼梯、走道等公共区域经营的；</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2.使用简易活动房、电话亭、治安亭、爱心亭、流动摊点（车、棚）等流动场所经营的（持有市政或其他政府部门出具的合法手续的除外）；</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3.在已明确纳入拆迁范围待拆除的场所经营的；</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4.其他经营场所不固定的情形。</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（三）“经营场所”的核查标准：是指有房屋权属证明、房屋租赁合同等相关材料证明已合法取得使用权的场所，且该场所已经建成，并具备正常使用条件。</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针对 “前店后院”“下店上家”等经营区域覆盖整个经营地址的情形，传统的经营场所划分方法无法明显区别经营场所与其他区域的界限，应视同该经营地址整体为经营场所。在实地核查中，专卖人员应在核查图表中完整体现经营地址区域布局，并标注全部经营地址区域为经营场所，由申请人签字确认，明确均为专卖执法可检查区域。</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夷陵区烟草专卖局对申请人的经营场所实地核查中，应当请申请人出示相关权属证明或者房屋租赁协议，现场核实（拍照、摄像）房屋权属及租赁期限等内容，</w:t>
      </w:r>
      <w:r>
        <w:rPr>
          <w:rFonts w:ascii="仿宋_GB2312" w:hAnsi="宋体" w:eastAsia="仿宋_GB2312"/>
          <w:sz w:val="32"/>
          <w:szCs w:val="32"/>
        </w:rPr>
        <w:t>并存档</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cs="宋体"/>
          <w:sz w:val="32"/>
          <w:szCs w:val="32"/>
          <w:lang w:bidi="ug-CN"/>
        </w:rPr>
      </w:pPr>
      <w:r>
        <w:rPr>
          <w:rFonts w:hint="eastAsia" w:ascii="黑体" w:hAnsi="黑体" w:eastAsia="黑体" w:cs="宋体"/>
          <w:sz w:val="32"/>
          <w:szCs w:val="32"/>
          <w:lang w:bidi="ug-CN"/>
        </w:rPr>
        <w:t>第三条</w:t>
      </w:r>
      <w:r>
        <w:rPr>
          <w:rFonts w:hint="eastAsia" w:ascii="仿宋_GB2312" w:hAnsi="宋体" w:eastAsia="仿宋_GB2312" w:cs="宋体"/>
          <w:sz w:val="32"/>
          <w:szCs w:val="32"/>
          <w:lang w:bidi="ug-CN"/>
        </w:rPr>
        <w:t xml:space="preserve"> 烟草制品零售点现场测量主要是指间距距离的测量认定。</w:t>
      </w:r>
    </w:p>
    <w:p>
      <w:pPr>
        <w:spacing w:line="560" w:lineRule="exact"/>
        <w:ind w:firstLine="640" w:firstLineChars="200"/>
        <w:rPr>
          <w:rFonts w:ascii="仿宋_GB2312" w:hAnsi="宋体" w:eastAsia="仿宋_GB2312" w:cs="宋体"/>
          <w:sz w:val="32"/>
          <w:szCs w:val="32"/>
          <w:lang w:bidi="ug-CN"/>
        </w:rPr>
      </w:pPr>
      <w:r>
        <w:rPr>
          <w:rFonts w:hint="eastAsia" w:ascii="仿宋_GB2312" w:hAnsi="宋体" w:eastAsia="仿宋_GB2312"/>
          <w:sz w:val="32"/>
          <w:szCs w:val="32"/>
        </w:rPr>
        <w:t>中小学、幼儿园等以未成年人为主要活动人群的场所内部及其出（入）口50米距离，其起点与终点分别为申请新办证经营场所出（入）口中心与</w:t>
      </w:r>
      <w:r>
        <w:rPr>
          <w:rFonts w:ascii="仿宋_GB2312" w:hAnsi="宋体" w:eastAsia="仿宋_GB2312"/>
          <w:sz w:val="32"/>
          <w:szCs w:val="32"/>
        </w:rPr>
        <w:t>上述场所最近的出入口门边（非中心且靠近申请点一侧）。</w:t>
      </w:r>
      <w:r>
        <w:rPr>
          <w:rFonts w:hint="eastAsia" w:ascii="仿宋_GB2312" w:hAnsi="宋体" w:eastAsia="仿宋_GB2312"/>
          <w:sz w:val="32"/>
          <w:szCs w:val="32"/>
        </w:rPr>
        <w:t>申请人申请办理许可证的经营场所有两个及两个以上出（入）口的，各出（入）口应当同时达到规定的距离标准。</w:t>
      </w:r>
    </w:p>
    <w:p>
      <w:pPr>
        <w:spacing w:line="560" w:lineRule="exact"/>
        <w:ind w:firstLine="640" w:firstLineChars="200"/>
        <w:rPr>
          <w:rFonts w:ascii="仿宋_GB2312" w:hAnsi="宋体" w:eastAsia="仿宋_GB2312" w:cs="宋体"/>
          <w:sz w:val="32"/>
          <w:szCs w:val="32"/>
          <w:lang w:bidi="ug-CN"/>
        </w:rPr>
      </w:pPr>
      <w:r>
        <w:rPr>
          <w:rFonts w:hint="eastAsia" w:ascii="仿宋_GB2312" w:hAnsi="宋体" w:eastAsia="仿宋_GB2312"/>
          <w:sz w:val="32"/>
          <w:szCs w:val="32"/>
        </w:rPr>
        <w:t>零售点间距</w:t>
      </w:r>
      <w:r>
        <w:rPr>
          <w:rFonts w:hint="eastAsia" w:ascii="仿宋_GB2312" w:hAnsi="宋体" w:eastAsia="仿宋_GB2312" w:cs="宋体"/>
          <w:sz w:val="32"/>
          <w:szCs w:val="32"/>
          <w:lang w:bidi="ug-CN"/>
        </w:rPr>
        <w:t>是指从申请人的经营场所进出口中央与最近零售点的经营场所营业大门中心之间，行人不违反交通管理规定可正常安全通行的无障碍最短距离。</w:t>
      </w:r>
    </w:p>
    <w:p>
      <w:pPr>
        <w:spacing w:line="560" w:lineRule="exact"/>
        <w:ind w:firstLine="640" w:firstLineChars="200"/>
        <w:rPr>
          <w:rFonts w:ascii="仿宋_GB2312" w:hAnsi="宋体" w:eastAsia="仿宋_GB2312"/>
          <w:sz w:val="32"/>
          <w:szCs w:val="32"/>
        </w:rPr>
      </w:pPr>
      <w:r>
        <w:rPr>
          <w:rFonts w:hint="eastAsia" w:ascii="黑体" w:hAnsi="黑体" w:eastAsia="黑体" w:cs="宋体"/>
          <w:sz w:val="32"/>
          <w:szCs w:val="32"/>
          <w:lang w:bidi="ug-CN"/>
        </w:rPr>
        <w:t>第四条</w:t>
      </w:r>
      <w:r>
        <w:rPr>
          <w:rFonts w:hint="eastAsia" w:ascii="仿宋_GB2312" w:hAnsi="宋体" w:eastAsia="仿宋_GB2312"/>
          <w:sz w:val="32"/>
          <w:szCs w:val="32"/>
        </w:rPr>
        <w:t xml:space="preserve"> 距离测量时，不得穿越不适合行人通行或穿越的固定隔离物。固定隔离物是指原设计用途中就已存在的隔离物，如道路上的固定花圃（盆）、立柱、台阶或其它固定隔离物，政府部门设置的隔离护栏、护墙、花坛等行人不得或无法逾越的市政设施。其他个人或单位擅自设置的隔离物，如停车场线（围栏）、水泥墩柱、锁链、挡板、车辆、垃圾桶、废弃物和其它可移动物体、物品，视为无隔离物。</w:t>
      </w:r>
    </w:p>
    <w:p>
      <w:pPr>
        <w:spacing w:line="560" w:lineRule="exact"/>
        <w:ind w:firstLine="640" w:firstLineChars="200"/>
        <w:rPr>
          <w:rFonts w:ascii="仿宋_GB2312" w:hAnsi="宋体" w:eastAsia="仿宋_GB2312"/>
          <w:sz w:val="32"/>
          <w:szCs w:val="32"/>
        </w:rPr>
      </w:pPr>
      <w:r>
        <w:rPr>
          <w:rFonts w:hint="eastAsia" w:ascii="黑体" w:hAnsi="黑体" w:eastAsia="黑体" w:cs="宋体"/>
          <w:sz w:val="32"/>
          <w:szCs w:val="32"/>
          <w:lang w:bidi="ug-CN"/>
        </w:rPr>
        <w:t>第五条</w:t>
      </w:r>
      <w:r>
        <w:rPr>
          <w:rFonts w:hint="eastAsia" w:ascii="仿宋_GB2312" w:hAnsi="宋体" w:eastAsia="仿宋_GB2312"/>
          <w:sz w:val="32"/>
          <w:szCs w:val="32"/>
        </w:rPr>
        <w:t xml:space="preserve">  申请新办证经营场所位于两个及以上间距标准不同的市场单元交汇处的，按照两个及以上市场单元中最高的间距标准执行。  </w:t>
      </w:r>
    </w:p>
    <w:p>
      <w:pPr>
        <w:spacing w:line="560" w:lineRule="exact"/>
        <w:ind w:firstLine="640" w:firstLineChars="200"/>
        <w:rPr>
          <w:rFonts w:ascii="仿宋_GB2312" w:hAnsi="宋体" w:eastAsia="仿宋_GB2312" w:cs="宋体"/>
          <w:sz w:val="32"/>
          <w:szCs w:val="32"/>
          <w:lang w:bidi="ug-CN"/>
        </w:rPr>
      </w:pPr>
      <w:r>
        <w:rPr>
          <w:rFonts w:hint="eastAsia" w:ascii="黑体" w:hAnsi="黑体" w:eastAsia="黑体" w:cs="宋体"/>
          <w:sz w:val="32"/>
          <w:szCs w:val="32"/>
          <w:lang w:bidi="ug-CN"/>
        </w:rPr>
        <w:t>第六条</w:t>
      </w:r>
      <w:r>
        <w:rPr>
          <w:rFonts w:hint="eastAsia" w:ascii="仿宋_GB2312" w:hAnsi="宋体" w:eastAsia="仿宋_GB2312" w:cs="宋体"/>
          <w:sz w:val="32"/>
          <w:szCs w:val="32"/>
          <w:lang w:bidi="ug-CN"/>
        </w:rPr>
        <w:t xml:space="preserve">  间距距离使用测量工具进行测量，测量结果在零售点设置合格值正负2%范围以内，申请人或利害关系人提出复核的，由测量单位法制监督部门参与进行二次勘验，并制作现场勘验表和全程视频音频记录。</w:t>
      </w:r>
    </w:p>
    <w:p>
      <w:pPr>
        <w:spacing w:line="560" w:lineRule="exact"/>
        <w:ind w:firstLine="640" w:firstLineChars="200"/>
        <w:rPr>
          <w:rFonts w:ascii="仿宋_GB2312" w:hAnsi="宋体" w:eastAsia="仿宋_GB2312" w:cs="宋体"/>
          <w:sz w:val="32"/>
          <w:szCs w:val="32"/>
          <w:lang w:bidi="ug-CN"/>
        </w:rPr>
      </w:pPr>
      <w:r>
        <w:rPr>
          <w:rFonts w:hint="eastAsia" w:ascii="黑体" w:hAnsi="黑体" w:eastAsia="黑体" w:cs="宋体"/>
          <w:sz w:val="32"/>
          <w:szCs w:val="32"/>
          <w:lang w:bidi="ug-CN"/>
        </w:rPr>
        <w:t>第七条</w:t>
      </w:r>
      <w:r>
        <w:rPr>
          <w:rFonts w:hint="eastAsia" w:ascii="仿宋_GB2312" w:hAnsi="宋体" w:eastAsia="仿宋_GB2312" w:cs="宋体"/>
          <w:sz w:val="32"/>
          <w:szCs w:val="32"/>
          <w:lang w:bidi="ug-CN"/>
        </w:rPr>
        <w:t xml:space="preserve">  特殊情况间距测量示意图</w:t>
      </w:r>
    </w:p>
    <w:p>
      <w:pPr>
        <w:adjustRightInd w:val="0"/>
        <w:snapToGrid w:val="0"/>
        <w:spacing w:line="600" w:lineRule="exact"/>
        <w:ind w:firstLine="622"/>
        <w:rPr>
          <w:rFonts w:ascii="仿宋_GB2312" w:hAnsi="宋体" w:eastAsia="仿宋_GB2312"/>
          <w:sz w:val="32"/>
          <w:szCs w:val="32"/>
        </w:rPr>
      </w:pPr>
      <w:r>
        <w:rPr>
          <w:rFonts w:hint="eastAsia" w:ascii="仿宋_GB2312" w:hAnsi="宋体" w:eastAsia="仿宋_GB2312"/>
          <w:sz w:val="32"/>
          <w:szCs w:val="32"/>
        </w:rPr>
        <w:t>（一）申请点与参照点之间有固定隔离物，依法不可通行的，参照下图的测量方式。</w:t>
      </w:r>
    </w:p>
    <w:p>
      <w:pPr>
        <w:adjustRightInd w:val="0"/>
        <w:snapToGrid w:val="0"/>
        <w:spacing w:line="600" w:lineRule="exact"/>
        <w:rPr>
          <w:rFonts w:ascii="仿宋_GB2312" w:hAnsi="宋体" w:eastAsia="仿宋_GB2312"/>
          <w:sz w:val="32"/>
          <w:szCs w:val="32"/>
        </w:rPr>
      </w:pPr>
    </w:p>
    <w:p>
      <w:pPr>
        <w:spacing w:after="120"/>
        <w:jc w:val="center"/>
        <w:rPr>
          <w:rFonts w:ascii="仿宋_GB2312" w:hAnsi="宋体" w:eastAsia="仿宋_GB2312" w:cs="仿宋"/>
          <w:sz w:val="32"/>
          <w:szCs w:val="32"/>
        </w:rPr>
      </w:pPr>
      <w:r>
        <w:rPr>
          <w:rFonts w:ascii="仿宋_GB2312" w:hAnsi="宋体" w:eastAsia="仿宋_GB2312"/>
          <w:sz w:val="32"/>
        </w:rPr>
        <w:drawing>
          <wp:inline distT="0" distB="0" distL="114300" distR="114300">
            <wp:extent cx="4667250" cy="7391400"/>
            <wp:effectExtent l="0" t="0" r="0" b="0"/>
            <wp:docPr id="5" name="图片 1" descr="说明: C:\Users\wj\Documents\WXWork\1688852294766789\Cache\Image\2023-08\6d4f610442838f12a008c1c68d0d4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说明: C:\Users\wj\Documents\WXWork\1688852294766789\Cache\Image\2023-08\6d4f610442838f12a008c1c68d0d4d1a.jpg"/>
                    <pic:cNvPicPr>
                      <a:picLocks noChangeAspect="1"/>
                    </pic:cNvPicPr>
                  </pic:nvPicPr>
                  <pic:blipFill>
                    <a:blip r:embed="rId6"/>
                    <a:stretch>
                      <a:fillRect/>
                    </a:stretch>
                  </pic:blipFill>
                  <pic:spPr>
                    <a:xfrm>
                      <a:off x="0" y="0"/>
                      <a:ext cx="4667250" cy="7391400"/>
                    </a:xfrm>
                    <a:prstGeom prst="rect">
                      <a:avLst/>
                    </a:prstGeom>
                    <a:noFill/>
                    <a:ln>
                      <a:noFill/>
                    </a:ln>
                  </pic:spPr>
                </pic:pic>
              </a:graphicData>
            </a:graphic>
          </wp:inline>
        </w:drawing>
      </w:r>
    </w:p>
    <w:p>
      <w:pPr>
        <w:widowControl/>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（二）申请点与参照零售点分属前后楼栋的，如有后门依法可通行，按后门依法可通行的最短距离测量。</w:t>
      </w:r>
    </w:p>
    <w:p>
      <w:pPr>
        <w:widowControl/>
        <w:adjustRightInd w:val="0"/>
        <w:snapToGrid w:val="0"/>
        <w:spacing w:line="600" w:lineRule="exact"/>
        <w:ind w:firstLine="640" w:firstLineChars="200"/>
        <w:rPr>
          <w:rFonts w:ascii="仿宋_GB2312" w:hAnsi="宋体" w:eastAsia="仿宋_GB2312"/>
          <w:sz w:val="32"/>
          <w:szCs w:val="32"/>
        </w:rPr>
      </w:pPr>
      <w:r>
        <w:rPr>
          <w:rFonts w:ascii="仿宋_GB2312" w:hAnsi="宋体" w:eastAsia="仿宋_GB2312"/>
          <w:sz w:val="32"/>
        </w:rPr>
        <w:drawing>
          <wp:anchor distT="0" distB="0" distL="114300" distR="114300" simplePos="0" relativeHeight="251659264" behindDoc="0" locked="0" layoutInCell="1" allowOverlap="1">
            <wp:simplePos x="0" y="0"/>
            <wp:positionH relativeFrom="column">
              <wp:posOffset>1332865</wp:posOffset>
            </wp:positionH>
            <wp:positionV relativeFrom="paragraph">
              <wp:posOffset>227965</wp:posOffset>
            </wp:positionV>
            <wp:extent cx="3162300" cy="3498850"/>
            <wp:effectExtent l="0" t="0" r="0" b="6350"/>
            <wp:wrapThrough wrapText="bothSides">
              <wp:wrapPolygon>
                <wp:start x="0" y="0"/>
                <wp:lineTo x="0" y="21522"/>
                <wp:lineTo x="21470" y="21522"/>
                <wp:lineTo x="21470" y="0"/>
                <wp:lineTo x="0" y="0"/>
              </wp:wrapPolygon>
            </wp:wrapThrough>
            <wp:docPr id="7" name="图片 11" descr="说明: C:\Users\Optiplex3046\AppData\Local\Temp\企业微信截图_16925825164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说明: C:\Users\Optiplex3046\AppData\Local\Temp\企业微信截图_16925825164703.png"/>
                    <pic:cNvPicPr>
                      <a:picLocks noChangeAspect="1"/>
                    </pic:cNvPicPr>
                  </pic:nvPicPr>
                  <pic:blipFill>
                    <a:blip r:embed="rId7"/>
                    <a:stretch>
                      <a:fillRect/>
                    </a:stretch>
                  </pic:blipFill>
                  <pic:spPr>
                    <a:xfrm>
                      <a:off x="0" y="0"/>
                      <a:ext cx="3162300" cy="3498850"/>
                    </a:xfrm>
                    <a:prstGeom prst="rect">
                      <a:avLst/>
                    </a:prstGeom>
                    <a:noFill/>
                    <a:ln>
                      <a:noFill/>
                    </a:ln>
                  </pic:spPr>
                </pic:pic>
              </a:graphicData>
            </a:graphic>
          </wp:anchor>
        </w:drawing>
      </w:r>
    </w:p>
    <w:p>
      <w:pPr>
        <w:widowControl/>
        <w:adjustRightInd w:val="0"/>
        <w:snapToGrid w:val="0"/>
        <w:spacing w:line="600" w:lineRule="exact"/>
        <w:ind w:firstLine="640" w:firstLineChars="200"/>
        <w:rPr>
          <w:rFonts w:ascii="仿宋_GB2312" w:hAnsi="宋体" w:eastAsia="仿宋_GB2312"/>
          <w:sz w:val="32"/>
          <w:szCs w:val="32"/>
        </w:rPr>
      </w:pPr>
    </w:p>
    <w:p>
      <w:pPr>
        <w:widowControl/>
        <w:adjustRightInd w:val="0"/>
        <w:snapToGrid w:val="0"/>
        <w:spacing w:line="600" w:lineRule="exact"/>
        <w:ind w:firstLine="640" w:firstLineChars="200"/>
        <w:rPr>
          <w:rFonts w:ascii="仿宋_GB2312" w:hAnsi="宋体" w:eastAsia="仿宋_GB2312"/>
          <w:sz w:val="32"/>
          <w:szCs w:val="32"/>
        </w:rPr>
      </w:pPr>
    </w:p>
    <w:p>
      <w:pPr>
        <w:widowControl/>
        <w:adjustRightInd w:val="0"/>
        <w:snapToGrid w:val="0"/>
        <w:spacing w:line="600" w:lineRule="exact"/>
        <w:ind w:firstLine="640" w:firstLineChars="200"/>
        <w:rPr>
          <w:rFonts w:ascii="仿宋_GB2312" w:hAnsi="宋体" w:eastAsia="仿宋_GB2312"/>
          <w:sz w:val="32"/>
          <w:szCs w:val="32"/>
        </w:rPr>
      </w:pPr>
    </w:p>
    <w:p>
      <w:pPr>
        <w:widowControl/>
        <w:adjustRightInd w:val="0"/>
        <w:snapToGrid w:val="0"/>
        <w:spacing w:line="600" w:lineRule="exact"/>
        <w:ind w:firstLine="640" w:firstLineChars="200"/>
        <w:rPr>
          <w:rFonts w:ascii="仿宋_GB2312" w:hAnsi="宋体" w:eastAsia="仿宋_GB2312"/>
          <w:sz w:val="32"/>
          <w:szCs w:val="32"/>
        </w:rPr>
      </w:pPr>
    </w:p>
    <w:p>
      <w:pPr>
        <w:widowControl/>
        <w:adjustRightInd w:val="0"/>
        <w:snapToGrid w:val="0"/>
        <w:spacing w:line="600" w:lineRule="exact"/>
        <w:ind w:firstLine="640" w:firstLineChars="200"/>
        <w:rPr>
          <w:rFonts w:ascii="仿宋_GB2312" w:hAnsi="宋体" w:eastAsia="仿宋_GB2312"/>
          <w:sz w:val="32"/>
          <w:szCs w:val="32"/>
        </w:rPr>
      </w:pPr>
    </w:p>
    <w:p>
      <w:pPr>
        <w:widowControl/>
        <w:adjustRightInd w:val="0"/>
        <w:snapToGrid w:val="0"/>
        <w:spacing w:line="600" w:lineRule="exact"/>
        <w:ind w:firstLine="640" w:firstLineChars="200"/>
        <w:rPr>
          <w:rFonts w:ascii="仿宋_GB2312" w:hAnsi="宋体" w:eastAsia="仿宋_GB2312"/>
          <w:sz w:val="32"/>
          <w:szCs w:val="32"/>
        </w:rPr>
      </w:pPr>
    </w:p>
    <w:p>
      <w:pPr>
        <w:widowControl/>
        <w:adjustRightInd w:val="0"/>
        <w:snapToGrid w:val="0"/>
        <w:spacing w:line="600" w:lineRule="exact"/>
        <w:ind w:firstLine="640" w:firstLineChars="200"/>
        <w:rPr>
          <w:rFonts w:ascii="仿宋_GB2312" w:hAnsi="宋体" w:eastAsia="仿宋_GB2312"/>
          <w:sz w:val="32"/>
          <w:szCs w:val="32"/>
        </w:rPr>
      </w:pPr>
    </w:p>
    <w:p>
      <w:pPr>
        <w:widowControl/>
        <w:adjustRightInd w:val="0"/>
        <w:snapToGrid w:val="0"/>
        <w:spacing w:line="600" w:lineRule="exact"/>
        <w:ind w:firstLine="640" w:firstLineChars="200"/>
        <w:rPr>
          <w:rFonts w:ascii="仿宋_GB2312" w:hAnsi="宋体" w:eastAsia="仿宋_GB2312"/>
          <w:sz w:val="32"/>
          <w:szCs w:val="32"/>
        </w:rPr>
      </w:pPr>
    </w:p>
    <w:p>
      <w:pPr>
        <w:widowControl/>
        <w:spacing w:line="600" w:lineRule="exact"/>
        <w:ind w:firstLine="480" w:firstLineChars="150"/>
        <w:rPr>
          <w:rFonts w:ascii="仿宋_GB2312" w:hAnsi="宋体" w:eastAsia="仿宋_GB2312"/>
          <w:sz w:val="32"/>
          <w:szCs w:val="32"/>
        </w:rPr>
      </w:pPr>
    </w:p>
    <w:p>
      <w:pPr>
        <w:widowControl/>
        <w:spacing w:line="600" w:lineRule="exact"/>
        <w:ind w:firstLine="480" w:firstLineChars="150"/>
        <w:rPr>
          <w:rFonts w:ascii="仿宋_GB2312" w:hAnsi="宋体" w:eastAsia="仿宋_GB2312"/>
          <w:sz w:val="32"/>
          <w:szCs w:val="32"/>
        </w:rPr>
      </w:pPr>
      <w:r>
        <w:rPr>
          <w:rFonts w:hint="eastAsia" w:ascii="仿宋_GB2312" w:hAnsi="宋体" w:eastAsia="仿宋_GB2312"/>
          <w:sz w:val="32"/>
          <w:szCs w:val="32"/>
        </w:rPr>
        <w:t>（三）申请点位置位于十字路口的，参照零售点位于正对面的，按依法可通行的最短距离测量。</w:t>
      </w:r>
    </w:p>
    <w:p>
      <w:pPr>
        <w:widowControl/>
        <w:spacing w:line="600" w:lineRule="exact"/>
        <w:ind w:firstLine="480" w:firstLineChars="150"/>
        <w:rPr>
          <w:rFonts w:ascii="仿宋_GB2312" w:hAnsi="宋体" w:eastAsia="仿宋_GB2312"/>
          <w:sz w:val="32"/>
          <w:szCs w:val="32"/>
        </w:rPr>
      </w:pPr>
      <w:r>
        <w:rPr>
          <w:rFonts w:ascii="仿宋_GB2312" w:hAnsi="宋体" w:eastAsia="仿宋_GB2312"/>
          <w:sz w:val="32"/>
        </w:rPr>
        <w:drawing>
          <wp:anchor distT="0" distB="0" distL="114300" distR="114300" simplePos="0" relativeHeight="251660288" behindDoc="0" locked="0" layoutInCell="1" allowOverlap="1">
            <wp:simplePos x="0" y="0"/>
            <wp:positionH relativeFrom="margin">
              <wp:posOffset>1197610</wp:posOffset>
            </wp:positionH>
            <wp:positionV relativeFrom="paragraph">
              <wp:posOffset>121285</wp:posOffset>
            </wp:positionV>
            <wp:extent cx="2943225" cy="2860040"/>
            <wp:effectExtent l="0" t="0" r="9525" b="16510"/>
            <wp:wrapThrough wrapText="bothSides">
              <wp:wrapPolygon>
                <wp:start x="0" y="0"/>
                <wp:lineTo x="0" y="21437"/>
                <wp:lineTo x="21530" y="21437"/>
                <wp:lineTo x="21530" y="0"/>
                <wp:lineTo x="0" y="0"/>
              </wp:wrapPolygon>
            </wp:wrapThrough>
            <wp:docPr id="4" name="图片 12" descr="说明: C:\Users\Optiplex3046\AppData\Local\Temp\企业微信截图_1692582726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说明: C:\Users\Optiplex3046\AppData\Local\Temp\企业微信截图_16925827261554.png"/>
                    <pic:cNvPicPr>
                      <a:picLocks noChangeAspect="1"/>
                    </pic:cNvPicPr>
                  </pic:nvPicPr>
                  <pic:blipFill>
                    <a:blip r:embed="rId8"/>
                    <a:stretch>
                      <a:fillRect/>
                    </a:stretch>
                  </pic:blipFill>
                  <pic:spPr>
                    <a:xfrm>
                      <a:off x="0" y="0"/>
                      <a:ext cx="2943225" cy="2860040"/>
                    </a:xfrm>
                    <a:prstGeom prst="rect">
                      <a:avLst/>
                    </a:prstGeom>
                    <a:noFill/>
                    <a:ln>
                      <a:noFill/>
                    </a:ln>
                  </pic:spPr>
                </pic:pic>
              </a:graphicData>
            </a:graphic>
          </wp:anchor>
        </w:drawing>
      </w:r>
    </w:p>
    <w:p>
      <w:pPr>
        <w:spacing w:after="120"/>
        <w:ind w:left="420" w:leftChars="200" w:firstLine="640" w:firstLineChars="200"/>
        <w:rPr>
          <w:rFonts w:ascii="仿宋_GB2312" w:hAnsi="宋体" w:eastAsia="仿宋_GB2312"/>
          <w:sz w:val="32"/>
        </w:rPr>
      </w:pPr>
    </w:p>
    <w:p>
      <w:pPr>
        <w:widowControl/>
        <w:jc w:val="center"/>
        <w:rPr>
          <w:rFonts w:ascii="仿宋_GB2312" w:hAnsi="宋体" w:eastAsia="仿宋_GB2312"/>
          <w:sz w:val="32"/>
          <w:szCs w:val="32"/>
        </w:rPr>
      </w:pPr>
    </w:p>
    <w:p>
      <w:pPr>
        <w:widowControl/>
        <w:jc w:val="center"/>
        <w:rPr>
          <w:rFonts w:ascii="仿宋_GB2312" w:hAnsi="宋体" w:eastAsia="仿宋_GB2312"/>
          <w:sz w:val="32"/>
          <w:szCs w:val="32"/>
        </w:rPr>
      </w:pPr>
    </w:p>
    <w:p>
      <w:pPr>
        <w:widowControl/>
        <w:jc w:val="center"/>
        <w:rPr>
          <w:rFonts w:ascii="仿宋_GB2312" w:hAnsi="宋体" w:eastAsia="仿宋_GB2312"/>
          <w:sz w:val="32"/>
          <w:szCs w:val="32"/>
        </w:rPr>
      </w:pPr>
    </w:p>
    <w:p>
      <w:pPr>
        <w:widowControl/>
        <w:ind w:firstLine="622"/>
        <w:jc w:val="center"/>
        <w:rPr>
          <w:rFonts w:ascii="仿宋_GB2312" w:hAnsi="宋体" w:eastAsia="仿宋_GB2312" w:cs="仿宋"/>
          <w:sz w:val="32"/>
          <w:szCs w:val="32"/>
        </w:rPr>
      </w:pPr>
    </w:p>
    <w:p>
      <w:pPr>
        <w:widowControl/>
        <w:ind w:firstLine="622"/>
        <w:jc w:val="center"/>
        <w:rPr>
          <w:rFonts w:ascii="仿宋_GB2312" w:hAnsi="宋体" w:eastAsia="仿宋_GB2312" w:cs="仿宋"/>
          <w:sz w:val="32"/>
          <w:szCs w:val="32"/>
        </w:rPr>
      </w:pPr>
    </w:p>
    <w:p>
      <w:pPr>
        <w:widowControl/>
        <w:ind w:firstLine="622"/>
        <w:jc w:val="center"/>
        <w:rPr>
          <w:rFonts w:ascii="仿宋_GB2312" w:hAnsi="宋体" w:eastAsia="仿宋_GB2312" w:cs="仿宋"/>
          <w:sz w:val="32"/>
          <w:szCs w:val="32"/>
        </w:rPr>
      </w:pPr>
    </w:p>
    <w:p>
      <w:pPr>
        <w:widowControl/>
        <w:ind w:firstLine="480" w:firstLineChars="150"/>
        <w:jc w:val="left"/>
        <w:rPr>
          <w:rFonts w:ascii="仿宋_GB2312" w:hAnsi="宋体" w:eastAsia="仿宋_GB2312"/>
          <w:sz w:val="32"/>
          <w:szCs w:val="32"/>
        </w:rPr>
      </w:pPr>
      <w:r>
        <w:rPr>
          <w:rFonts w:hint="eastAsia" w:ascii="仿宋_GB2312" w:hAnsi="宋体" w:eastAsia="仿宋_GB2312"/>
          <w:sz w:val="32"/>
          <w:szCs w:val="32"/>
        </w:rPr>
        <w:t>（四）申请点位置位于十字路口且与参照零售点呈对角的，以最近一侧有门的中心依法可通行距离测量。</w:t>
      </w:r>
    </w:p>
    <w:p>
      <w:pPr>
        <w:widowControl/>
        <w:ind w:left="624"/>
        <w:jc w:val="center"/>
        <w:rPr>
          <w:rFonts w:ascii="仿宋_GB2312" w:hAnsi="宋体" w:eastAsia="仿宋_GB2312"/>
          <w:sz w:val="32"/>
          <w:szCs w:val="32"/>
        </w:rPr>
      </w:pPr>
      <w:r>
        <w:rPr>
          <w:rFonts w:ascii="仿宋_GB2312" w:hAnsi="宋体" w:eastAsia="仿宋_GB2312"/>
          <w:sz w:val="32"/>
        </w:rPr>
        <w:drawing>
          <wp:inline distT="0" distB="0" distL="114300" distR="114300">
            <wp:extent cx="3147695" cy="3039110"/>
            <wp:effectExtent l="0" t="0" r="14605" b="8890"/>
            <wp:docPr id="3" name="图片 2" descr="说明: C:\Users\Optiplex3046\AppData\Local\Temp\企业微信截图_1692582799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说明: C:\Users\Optiplex3046\AppData\Local\Temp\企业微信截图_16925827998283.png"/>
                    <pic:cNvPicPr>
                      <a:picLocks noChangeAspect="1"/>
                    </pic:cNvPicPr>
                  </pic:nvPicPr>
                  <pic:blipFill>
                    <a:blip r:embed="rId9"/>
                    <a:stretch>
                      <a:fillRect/>
                    </a:stretch>
                  </pic:blipFill>
                  <pic:spPr>
                    <a:xfrm>
                      <a:off x="0" y="0"/>
                      <a:ext cx="3147695" cy="3039110"/>
                    </a:xfrm>
                    <a:prstGeom prst="rect">
                      <a:avLst/>
                    </a:prstGeom>
                    <a:noFill/>
                    <a:ln>
                      <a:noFill/>
                    </a:ln>
                  </pic:spPr>
                </pic:pic>
              </a:graphicData>
            </a:graphic>
          </wp:inline>
        </w:drawing>
      </w:r>
    </w:p>
    <w:p>
      <w:pPr>
        <w:widowControl/>
        <w:spacing w:line="600" w:lineRule="exact"/>
        <w:ind w:firstLine="480" w:firstLineChars="150"/>
        <w:rPr>
          <w:rFonts w:ascii="仿宋_GB2312" w:hAnsi="宋体" w:eastAsia="仿宋_GB2312"/>
          <w:sz w:val="32"/>
          <w:szCs w:val="32"/>
        </w:rPr>
      </w:pPr>
      <w:r>
        <w:rPr>
          <w:rFonts w:hint="eastAsia" w:ascii="仿宋_GB2312" w:hAnsi="宋体" w:eastAsia="仿宋_GB2312"/>
          <w:sz w:val="32"/>
          <w:szCs w:val="32"/>
        </w:rPr>
        <w:t>（五）申请点位置位于十字路口且与参照零售点之间有红绿灯，且行人必须按交通规则要求从斑马线行走的，可沿斑马线行进的最短距离测量。</w:t>
      </w:r>
    </w:p>
    <w:p>
      <w:pPr>
        <w:widowControl/>
        <w:spacing w:line="600" w:lineRule="exact"/>
        <w:ind w:left="624"/>
        <w:rPr>
          <w:rFonts w:ascii="仿宋_GB2312" w:hAnsi="宋体" w:eastAsia="仿宋_GB2312"/>
          <w:sz w:val="32"/>
          <w:szCs w:val="32"/>
        </w:rPr>
      </w:pPr>
      <w:r>
        <w:rPr>
          <w:rFonts w:ascii="仿宋_GB2312" w:hAnsi="宋体" w:eastAsia="仿宋_GB2312"/>
          <w:sz w:val="32"/>
        </w:rPr>
        <w:drawing>
          <wp:anchor distT="0" distB="0" distL="114300" distR="114300" simplePos="0" relativeHeight="251662336" behindDoc="0" locked="0" layoutInCell="1" allowOverlap="1">
            <wp:simplePos x="0" y="0"/>
            <wp:positionH relativeFrom="column">
              <wp:posOffset>1207770</wp:posOffset>
            </wp:positionH>
            <wp:positionV relativeFrom="paragraph">
              <wp:posOffset>111760</wp:posOffset>
            </wp:positionV>
            <wp:extent cx="3305175" cy="3314065"/>
            <wp:effectExtent l="0" t="0" r="9525" b="635"/>
            <wp:wrapNone/>
            <wp:docPr id="1" name="图片 14" descr="说明: C:\Users\Optiplex3046\AppData\Local\Temp\企业微信截图_1692671169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说明: C:\Users\Optiplex3046\AppData\Local\Temp\企业微信截图_1692671169266.png"/>
                    <pic:cNvPicPr>
                      <a:picLocks noChangeAspect="1"/>
                    </pic:cNvPicPr>
                  </pic:nvPicPr>
                  <pic:blipFill>
                    <a:blip r:embed="rId10"/>
                    <a:stretch>
                      <a:fillRect/>
                    </a:stretch>
                  </pic:blipFill>
                  <pic:spPr>
                    <a:xfrm>
                      <a:off x="0" y="0"/>
                      <a:ext cx="3305175" cy="3314065"/>
                    </a:xfrm>
                    <a:prstGeom prst="rect">
                      <a:avLst/>
                    </a:prstGeom>
                    <a:noFill/>
                    <a:ln>
                      <a:noFill/>
                    </a:ln>
                  </pic:spPr>
                </pic:pic>
              </a:graphicData>
            </a:graphic>
          </wp:anchor>
        </w:drawing>
      </w:r>
    </w:p>
    <w:p>
      <w:pPr>
        <w:widowControl/>
        <w:spacing w:line="600" w:lineRule="exact"/>
        <w:ind w:left="624"/>
        <w:rPr>
          <w:rFonts w:ascii="仿宋_GB2312" w:hAnsi="宋体" w:eastAsia="仿宋_GB2312"/>
          <w:sz w:val="32"/>
          <w:szCs w:val="32"/>
        </w:rPr>
      </w:pPr>
    </w:p>
    <w:p>
      <w:pPr>
        <w:widowControl/>
        <w:spacing w:line="600" w:lineRule="exact"/>
        <w:ind w:left="624"/>
        <w:rPr>
          <w:rFonts w:ascii="仿宋_GB2312" w:hAnsi="宋体" w:eastAsia="仿宋_GB2312"/>
          <w:sz w:val="32"/>
          <w:szCs w:val="32"/>
        </w:rPr>
      </w:pPr>
    </w:p>
    <w:p>
      <w:pPr>
        <w:widowControl/>
        <w:ind w:firstLine="622"/>
        <w:jc w:val="center"/>
        <w:rPr>
          <w:rFonts w:ascii="仿宋_GB2312" w:hAnsi="宋体" w:eastAsia="仿宋_GB2312" w:cs="仿宋"/>
          <w:sz w:val="32"/>
          <w:szCs w:val="32"/>
        </w:rPr>
      </w:pPr>
    </w:p>
    <w:p>
      <w:pPr>
        <w:widowControl/>
        <w:ind w:firstLine="622"/>
        <w:jc w:val="left"/>
        <w:rPr>
          <w:rFonts w:ascii="仿宋_GB2312" w:hAnsi="宋体" w:eastAsia="仿宋_GB2312"/>
          <w:sz w:val="32"/>
          <w:szCs w:val="32"/>
        </w:rPr>
      </w:pPr>
    </w:p>
    <w:p>
      <w:pPr>
        <w:widowControl/>
        <w:ind w:firstLine="480" w:firstLineChars="150"/>
        <w:jc w:val="left"/>
        <w:rPr>
          <w:rFonts w:ascii="仿宋_GB2312" w:hAnsi="宋体" w:eastAsia="仿宋_GB2312"/>
          <w:sz w:val="32"/>
          <w:szCs w:val="32"/>
        </w:rPr>
      </w:pPr>
      <w:r>
        <w:rPr>
          <w:rFonts w:hint="eastAsia" w:ascii="仿宋_GB2312" w:hAnsi="宋体" w:eastAsia="仿宋_GB2312"/>
          <w:sz w:val="32"/>
          <w:szCs w:val="32"/>
        </w:rPr>
        <w:t>（六）申请点与参照点处于S形道路或其他特殊道路的，沿正常行人线路测量。</w:t>
      </w:r>
    </w:p>
    <w:p>
      <w:pPr>
        <w:widowControl/>
        <w:shd w:val="clear" w:color="auto" w:fill="FFFFFF"/>
        <w:spacing w:before="132" w:after="378"/>
        <w:jc w:val="center"/>
        <w:rPr>
          <w:rFonts w:ascii="仿宋_GB2312" w:hAnsi="宋体" w:eastAsia="仿宋_GB2312" w:cs="仿宋"/>
          <w:sz w:val="32"/>
          <w:szCs w:val="32"/>
          <w:shd w:val="clear" w:color="auto" w:fill="FFFFFF"/>
        </w:rPr>
      </w:pPr>
      <w:r>
        <w:rPr>
          <w:rFonts w:ascii="仿宋_GB2312" w:hAnsi="宋体" w:eastAsia="仿宋_GB2312" w:cs="仿宋"/>
          <w:sz w:val="32"/>
          <w:szCs w:val="32"/>
          <w:shd w:val="clear" w:color="auto" w:fill="FFFFFF"/>
        </w:rPr>
        <w:drawing>
          <wp:inline distT="0" distB="0" distL="114300" distR="114300">
            <wp:extent cx="4318000" cy="2459355"/>
            <wp:effectExtent l="0" t="0" r="6350" b="17145"/>
            <wp:docPr id="2" name="图片 3" descr="说明: 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说明: IMG_261"/>
                    <pic:cNvPicPr>
                      <a:picLocks noChangeAspect="1"/>
                    </pic:cNvPicPr>
                  </pic:nvPicPr>
                  <pic:blipFill>
                    <a:blip r:embed="rId11">
                      <a:grayscl/>
                    </a:blip>
                    <a:stretch>
                      <a:fillRect/>
                    </a:stretch>
                  </pic:blipFill>
                  <pic:spPr>
                    <a:xfrm>
                      <a:off x="0" y="0"/>
                      <a:ext cx="4318000" cy="2459355"/>
                    </a:xfrm>
                    <a:prstGeom prst="rect">
                      <a:avLst/>
                    </a:prstGeom>
                    <a:solidFill>
                      <a:srgbClr val="000001"/>
                    </a:solidFill>
                    <a:ln>
                      <a:noFill/>
                    </a:ln>
                  </pic:spPr>
                </pic:pic>
              </a:graphicData>
            </a:graphic>
          </wp:inline>
        </w:drawing>
      </w:r>
    </w:p>
    <w:p>
      <w:pPr>
        <w:adjustRightInd w:val="0"/>
        <w:snapToGrid w:val="0"/>
        <w:spacing w:line="600" w:lineRule="exact"/>
        <w:ind w:firstLine="640" w:firstLineChars="200"/>
        <w:jc w:val="left"/>
        <w:rPr>
          <w:rFonts w:ascii="仿宋_GB2312" w:hAnsi="宋体" w:eastAsia="仿宋_GB2312" w:cs="仿宋"/>
          <w:sz w:val="32"/>
          <w:szCs w:val="32"/>
        </w:rPr>
      </w:pPr>
      <w:r>
        <w:rPr>
          <w:rFonts w:ascii="仿宋_GB2312" w:hAnsi="宋体" w:eastAsia="仿宋_GB2312"/>
          <w:sz w:val="32"/>
        </w:rPr>
        <w:drawing>
          <wp:anchor distT="0" distB="0" distL="114300" distR="114300" simplePos="0" relativeHeight="251661312" behindDoc="0" locked="0" layoutInCell="1" allowOverlap="1">
            <wp:simplePos x="0" y="0"/>
            <wp:positionH relativeFrom="margin">
              <wp:align>right</wp:align>
            </wp:positionH>
            <wp:positionV relativeFrom="paragraph">
              <wp:posOffset>1698625</wp:posOffset>
            </wp:positionV>
            <wp:extent cx="5095240" cy="2543175"/>
            <wp:effectExtent l="0" t="0" r="10160" b="9525"/>
            <wp:wrapThrough wrapText="bothSides">
              <wp:wrapPolygon>
                <wp:start x="0" y="0"/>
                <wp:lineTo x="0" y="21519"/>
                <wp:lineTo x="21482" y="21519"/>
                <wp:lineTo x="21482" y="0"/>
                <wp:lineTo x="0" y="0"/>
              </wp:wrapPolygon>
            </wp:wrapThrough>
            <wp:docPr id="6" name="图片 16" descr="说明: C:\Users\Optiplex3046\AppData\Local\Temp\企业微信截图_16925830586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descr="说明: C:\Users\Optiplex3046\AppData\Local\Temp\企业微信截图_16925830586626.png"/>
                    <pic:cNvPicPr>
                      <a:picLocks noChangeAspect="1"/>
                    </pic:cNvPicPr>
                  </pic:nvPicPr>
                  <pic:blipFill>
                    <a:blip r:embed="rId12"/>
                    <a:stretch>
                      <a:fillRect/>
                    </a:stretch>
                  </pic:blipFill>
                  <pic:spPr>
                    <a:xfrm>
                      <a:off x="0" y="0"/>
                      <a:ext cx="5095240" cy="2543175"/>
                    </a:xfrm>
                    <a:prstGeom prst="rect">
                      <a:avLst/>
                    </a:prstGeom>
                    <a:noFill/>
                    <a:ln>
                      <a:noFill/>
                    </a:ln>
                  </pic:spPr>
                </pic:pic>
              </a:graphicData>
            </a:graphic>
          </wp:anchor>
        </w:drawing>
      </w:r>
      <w:r>
        <w:rPr>
          <w:rFonts w:hint="eastAsia" w:ascii="仿宋_GB2312" w:hAnsi="宋体" w:eastAsia="仿宋_GB2312" w:cs="仿宋"/>
          <w:sz w:val="32"/>
          <w:szCs w:val="32"/>
        </w:rPr>
        <w:t>（七）申请点位置位于中小学校、托幼机构、儿童福利院、少年宫、青少年活动中心门口周边50米距离，其起点与终点分别为申请新办证经营场所出（入）口中心与上述场所最近的出入口门边（非中心且靠近申请点一侧）。</w:t>
      </w:r>
    </w:p>
    <w:p>
      <w:pPr>
        <w:adjustRightInd w:val="0"/>
        <w:snapToGrid w:val="0"/>
        <w:spacing w:line="600" w:lineRule="exact"/>
        <w:ind w:firstLine="640" w:firstLineChars="200"/>
        <w:jc w:val="left"/>
        <w:rPr>
          <w:rFonts w:hint="eastAsia" w:ascii="仿宋_GB2312" w:hAnsi="宋体" w:eastAsia="仿宋_GB2312" w:cs="仿宋"/>
          <w:sz w:val="32"/>
          <w:szCs w:val="32"/>
        </w:rPr>
        <w:sectPr>
          <w:footerReference r:id="rId3" w:type="default"/>
          <w:footerReference r:id="rId4" w:type="even"/>
          <w:pgSz w:w="11906" w:h="16838"/>
          <w:pgMar w:top="2098" w:right="1474" w:bottom="1985" w:left="1588" w:header="851" w:footer="1418" w:gutter="0"/>
          <w:pgNumType w:start="1"/>
          <w:cols w:space="425" w:num="1"/>
          <w:docGrid w:linePitch="579" w:charSpace="-886"/>
        </w:sectPr>
      </w:pPr>
      <w:r>
        <w:rPr>
          <w:rFonts w:hint="eastAsia" w:ascii="仿宋_GB2312" w:hAnsi="宋体" w:eastAsia="仿宋_GB2312" w:cs="仿宋"/>
          <w:sz w:val="32"/>
          <w:szCs w:val="32"/>
        </w:rPr>
        <w:t>（八</w:t>
      </w:r>
      <w:r>
        <w:rPr>
          <w:rFonts w:ascii="仿宋_GB2312" w:hAnsi="宋体" w:eastAsia="仿宋_GB2312" w:cs="仿宋"/>
          <w:sz w:val="32"/>
          <w:szCs w:val="32"/>
        </w:rPr>
        <w:t>）</w:t>
      </w:r>
      <w:r>
        <w:rPr>
          <w:rFonts w:hint="eastAsia" w:ascii="仿宋_GB2312" w:hAnsi="宋体" w:eastAsia="仿宋_GB2312" w:cs="仿宋"/>
          <w:sz w:val="32"/>
          <w:szCs w:val="32"/>
        </w:rPr>
        <w:t>上述示例未能穷尽的其他特殊道路情况的测量，按照依法可通行的最短距离测量。</w:t>
      </w:r>
    </w:p>
    <w:p>
      <w:pPr>
        <w:widowControl/>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720" w:lineRule="exact"/>
        <w:jc w:val="center"/>
        <w:rPr>
          <w:rFonts w:hint="eastAsia" w:ascii="方正小标宋简体" w:hAnsi="宋体" w:eastAsia="方正小标宋简体" w:cs="宋体"/>
          <w:sz w:val="40"/>
          <w:szCs w:val="40"/>
          <w:lang w:eastAsia="zh-CN" w:bidi="ug-CN"/>
        </w:rPr>
      </w:pPr>
      <w:r>
        <w:rPr>
          <w:rFonts w:hint="eastAsia" w:ascii="方正小标宋简体" w:hAnsi="宋体" w:eastAsia="方正小标宋简体" w:cs="宋体"/>
          <w:sz w:val="40"/>
          <w:szCs w:val="40"/>
          <w:lang w:bidi="ug-CN"/>
        </w:rPr>
        <w:t>宜昌市夷陵区烟草制品零售点</w:t>
      </w:r>
      <w:r>
        <w:rPr>
          <w:rFonts w:hint="eastAsia" w:ascii="方正小标宋简体" w:hAnsi="宋体" w:eastAsia="方正小标宋简体" w:cs="宋体"/>
          <w:sz w:val="40"/>
          <w:szCs w:val="40"/>
          <w:lang w:eastAsia="zh-CN" w:bidi="ug-CN"/>
        </w:rPr>
        <w:t>区域单元划分</w:t>
      </w:r>
    </w:p>
    <w:tbl>
      <w:tblPr>
        <w:tblW w:w="7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0"/>
        <w:gridCol w:w="1890"/>
        <w:gridCol w:w="2125"/>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720" w:type="dxa"/>
            <w:vMerge w:val="restart"/>
            <w:tcBorders>
              <w:top w:val="single" w:color="000000" w:sz="8"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890" w:type="dxa"/>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行政区划名称</w:t>
            </w:r>
          </w:p>
        </w:tc>
        <w:tc>
          <w:tcPr>
            <w:tcW w:w="2125" w:type="dxa"/>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区域单元名称</w:t>
            </w:r>
          </w:p>
        </w:tc>
        <w:tc>
          <w:tcPr>
            <w:tcW w:w="3233" w:type="dxa"/>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区域单元类型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720" w:type="dxa"/>
            <w:vMerge w:val="continue"/>
            <w:tcBorders>
              <w:top w:val="single" w:color="000000" w:sz="8"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2125" w:type="dxa"/>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233" w:type="dxa"/>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nil"/>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小溪塔街道 （20）</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柏木坪村</w:t>
            </w:r>
          </w:p>
        </w:tc>
        <w:tc>
          <w:tcPr>
            <w:tcW w:w="3233"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文仙洞村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仓屋榜村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  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廖家林村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岩  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官  庄村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姜家庙村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前坪村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龙泉山村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南津关村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丁家坝社区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望江社区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冯家湾社区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兴安社区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东湖社区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平湖社区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营盘社区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谭家榜社区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南津关社区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东城试验区 （14）</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鄢家河村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陈趟坪村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蔡家河村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新桥边村</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南村坪村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姜家湾村</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黄金卡社区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东城社区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润城社区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绿洲社区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梅子垭社区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郭家湾社区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锦湖社区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小溪塔（特殊区域2个）</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仓屋榜村国家现代农业柑桔产业园</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720" w:type="dxa"/>
            <w:tcBorders>
              <w:top w:val="single" w:color="000000" w:sz="4" w:space="0"/>
              <w:left w:val="single" w:color="000000" w:sz="8"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东城社区烟火巷</w:t>
            </w:r>
          </w:p>
        </w:tc>
        <w:tc>
          <w:tcPr>
            <w:tcW w:w="3233"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w:t>
            </w:r>
            <w:bookmarkStart w:id="0" w:name="_GoBack"/>
            <w:r>
              <w:rPr>
                <w:rFonts w:hint="eastAsia" w:ascii="宋体" w:hAnsi="宋体" w:eastAsia="宋体" w:cs="宋体"/>
                <w:i w:val="0"/>
                <w:iCs w:val="0"/>
                <w:color w:val="000000"/>
                <w:kern w:val="0"/>
                <w:sz w:val="22"/>
                <w:szCs w:val="22"/>
                <w:u w:val="none"/>
                <w:bdr w:val="none" w:color="auto" w:sz="0" w:space="0"/>
                <w:lang w:val="en-US" w:eastAsia="zh-CN" w:bidi="ar"/>
              </w:rPr>
              <w:t>区域</w:t>
            </w:r>
            <w:bookmarkEnd w:id="0"/>
            <w:r>
              <w:rPr>
                <w:rFonts w:hint="eastAsia" w:ascii="宋体" w:hAnsi="宋体" w:eastAsia="宋体" w:cs="宋体"/>
                <w:i w:val="0"/>
                <w:iCs w:val="0"/>
                <w:color w:val="000000"/>
                <w:kern w:val="0"/>
                <w:sz w:val="22"/>
                <w:szCs w:val="22"/>
                <w:u w:val="none"/>
                <w:bdr w:val="none" w:color="auto" w:sz="0" w:space="0"/>
                <w:lang w:val="en-US" w:eastAsia="zh-CN" w:bidi="ar"/>
              </w:rPr>
              <w:t>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nil"/>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189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雾渡河镇（7）   </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清江坪村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茅坪河社区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马卧泥村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龚家河村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交战垭村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观音堂村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黄花镇（14）</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黄花场村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上洋村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军田坝村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黄花、雾渡河</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香龙山村(三隅口、西北口)</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黄花</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张家口村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背马山村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牛坪村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姜家畈村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小峰河村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杨家河村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杜家坪村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杨家畈村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樟村坪镇（12）  </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桃坪河村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丁家河村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砦沟村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栗林河村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黄马河村（三堡垭村、古村村）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董家河村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羊角山村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殷家坪村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樟村坪居委会</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秦家坪村(犁耳坪村)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黄家台村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云霄垭村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下堡坪乡（8）</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蛟龙寺村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马宗岭村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磨坪村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十八湾村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下堡坪村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秀水村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赵勉河村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1890" w:type="dxa"/>
            <w:vMerge w:val="restart"/>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分乡镇（14）</w:t>
            </w: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高家堰村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分乡场村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界岭村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普溪河村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天鹅池村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高场村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金竹村（南岔湾村）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插旗村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百里荒村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大中坝村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720" w:type="dxa"/>
            <w:tcBorders>
              <w:top w:val="single" w:color="000000" w:sz="4" w:space="0"/>
              <w:left w:val="single" w:color="000000" w:sz="8"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w:t>
            </w:r>
          </w:p>
        </w:tc>
        <w:tc>
          <w:tcPr>
            <w:tcW w:w="1890" w:type="dxa"/>
            <w:vMerge w:val="continue"/>
            <w:tcBorders>
              <w:top w:val="single" w:color="000000" w:sz="4" w:space="0"/>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天坑村（中洲山村）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nil"/>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189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鸦鹊岭镇  （19）</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梅林村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田畈村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童畈村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凤凰观村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东西泉村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海云村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黄金堂村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云台村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梅店村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金和村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新场村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107</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龙潭村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108</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长寿村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长湖村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牧童村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龙泉镇 （15）</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柏家坪村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罗家畈村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雷家畈村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双泉村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宋家嘴村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香烟寺村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法官泉村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青龙村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龙泉村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万家畈村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跑马岗村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水府庙村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钟家畈村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李家台村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w:t>
            </w:r>
          </w:p>
        </w:tc>
        <w:tc>
          <w:tcPr>
            <w:tcW w:w="1890" w:type="dxa"/>
            <w:vMerge w:val="restart"/>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鸦鹊岭特殊网格（3个）</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楚能工业园区</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127</w:t>
            </w:r>
          </w:p>
        </w:tc>
        <w:tc>
          <w:tcPr>
            <w:tcW w:w="1890" w:type="dxa"/>
            <w:vMerge w:val="continue"/>
            <w:tcBorders>
              <w:top w:val="nil"/>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宜昌北站跑马岗标段</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w:t>
            </w:r>
          </w:p>
        </w:tc>
        <w:tc>
          <w:tcPr>
            <w:tcW w:w="1890" w:type="dxa"/>
            <w:vMerge w:val="continue"/>
            <w:tcBorders>
              <w:top w:val="nil"/>
              <w:left w:val="single" w:color="000000" w:sz="4" w:space="0"/>
              <w:bottom w:val="single" w:color="000000" w:sz="8"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125" w:type="dxa"/>
            <w:tcBorders>
              <w:top w:val="nil"/>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宜昌北站万家畈标段</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w:t>
            </w:r>
          </w:p>
        </w:tc>
        <w:tc>
          <w:tcPr>
            <w:tcW w:w="189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太平溪镇（13）  </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伍相庙村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太平溪村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落佛村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龙潭坪村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133</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富村坪村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134</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长岭村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黄家冲村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136</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古村坪村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韩家湾村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许家冲村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美人沱村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小溪口村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w:t>
            </w:r>
          </w:p>
        </w:tc>
        <w:tc>
          <w:tcPr>
            <w:tcW w:w="189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林家溪村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142</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乐天溪镇  （14）</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陈家冲村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瓦窑坪村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朱家湾村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八户店村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下岸溪村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乐天溪村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路溪坪村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石洞坪村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唐家坝村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孙家河村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王家坪村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兆吉坪村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莲沱村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156</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三斗坪镇（19）  </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棋盘山村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石牌村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花鸡坡村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柘木坪村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东岳庙村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雾河村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南沱村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中堡村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头顶石村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秋千坪村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黄牛岩村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暮阳村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石板村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黄陵庙村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高家冲村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园艺村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新生村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白果埫村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天桥村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175</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邓村乡（16）</w:t>
            </w: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邓村坪村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中包山村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小渔村村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高台头村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竹林湾村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白水头村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黄金河村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182</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谭家垭村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183</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红桂香村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184</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庙垭村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185</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大水田村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187</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常家垭村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188</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古城坪村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189</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袁家坪村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190</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杨家湾村</w:t>
            </w:r>
          </w:p>
        </w:tc>
        <w:tc>
          <w:tcPr>
            <w:tcW w:w="32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二类区域单元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720"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w:t>
            </w:r>
          </w:p>
        </w:tc>
        <w:tc>
          <w:tcPr>
            <w:tcW w:w="1890" w:type="dxa"/>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（特殊区域1个）</w:t>
            </w:r>
          </w:p>
        </w:tc>
        <w:tc>
          <w:tcPr>
            <w:tcW w:w="2125" w:type="dxa"/>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三峡坝区红线内</w:t>
            </w:r>
          </w:p>
        </w:tc>
        <w:tc>
          <w:tcPr>
            <w:tcW w:w="3233" w:type="dxa"/>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特殊区域单元</w:t>
            </w:r>
          </w:p>
        </w:tc>
      </w:tr>
    </w:tbl>
    <w:p>
      <w:pPr>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75714"/>
    <w:multiLevelType w:val="singleLevel"/>
    <w:tmpl w:val="FDF7571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F5CC7"/>
    <w:rsid w:val="00007377"/>
    <w:rsid w:val="00132741"/>
    <w:rsid w:val="003162F3"/>
    <w:rsid w:val="004E03A7"/>
    <w:rsid w:val="005C6478"/>
    <w:rsid w:val="00616BA9"/>
    <w:rsid w:val="006D02AD"/>
    <w:rsid w:val="00742DD4"/>
    <w:rsid w:val="007A6B5F"/>
    <w:rsid w:val="008C3952"/>
    <w:rsid w:val="00916AEF"/>
    <w:rsid w:val="00A01944"/>
    <w:rsid w:val="00AF0C23"/>
    <w:rsid w:val="00B60F55"/>
    <w:rsid w:val="00B830F0"/>
    <w:rsid w:val="00D35201"/>
    <w:rsid w:val="00D632F5"/>
    <w:rsid w:val="00D96D81"/>
    <w:rsid w:val="00DD39D9"/>
    <w:rsid w:val="00EE4D0C"/>
    <w:rsid w:val="00FA7C4A"/>
    <w:rsid w:val="3AFF6AD4"/>
    <w:rsid w:val="3D7F8349"/>
    <w:rsid w:val="3FF6421C"/>
    <w:rsid w:val="409F5CC7"/>
    <w:rsid w:val="4DEF8D5E"/>
    <w:rsid w:val="4FFFFF29"/>
    <w:rsid w:val="67E3E97E"/>
    <w:rsid w:val="6D376E22"/>
    <w:rsid w:val="6D6C7E18"/>
    <w:rsid w:val="76FFA526"/>
    <w:rsid w:val="7ED1FBC4"/>
    <w:rsid w:val="7EFBCB95"/>
    <w:rsid w:val="BBFFA67F"/>
    <w:rsid w:val="CFFBD161"/>
    <w:rsid w:val="F767B330"/>
    <w:rsid w:val="FA6FE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1077</Words>
  <Characters>6140</Characters>
  <Lines>51</Lines>
  <Paragraphs>14</Paragraphs>
  <TotalTime>2</TotalTime>
  <ScaleCrop>false</ScaleCrop>
  <LinksUpToDate>false</LinksUpToDate>
  <CharactersWithSpaces>7203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2025-12-21T16:58:00Z</dcterms:created>
  <dc:creator>粉墨人生</dc:creator>
  <cp:lastModifiedBy>方统华</cp:lastModifiedBy>
  <dcterms:modified xsi:type="dcterms:W3CDTF">2026-03-23T17:52:43Z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5253C9A063F944988FE7A3D9407DF715_11</vt:lpwstr>
  </property>
  <property fmtid="{D5CDD505-2E9C-101B-9397-08002B2CF9AE}" pid="4" name="KSOTemplateDocerSaveRecord">
    <vt:lpwstr>eyJoZGlkIjoiMGMwZTc3MTA4MjIwNWYxMGY2OTM3MDhkYTM3NWFlNmMiLCJ1c2VySWQiOiIzMTczNjEwMzEifQ==</vt:lpwstr>
  </property>
</Properties>
</file>