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6760C">
      <w:pPr>
        <w:keepNext w:val="0"/>
        <w:keepLines w:val="0"/>
        <w:pageBreakBefore w:val="0"/>
        <w:widowControl w:val="0"/>
        <w:kinsoku/>
        <w:wordWrap/>
        <w:overflowPunct/>
        <w:topLinePunct w:val="0"/>
        <w:autoSpaceDE/>
        <w:autoSpaceDN/>
        <w:bidi w:val="0"/>
        <w:adjustRightInd/>
        <w:snapToGrid/>
        <w:spacing w:line="520" w:lineRule="exact"/>
        <w:ind w:firstLine="880" w:firstLineChars="200"/>
        <w:textAlignment w:val="auto"/>
        <w:rPr>
          <w:rFonts w:hint="eastAsia" w:ascii="方正小标宋简体" w:hAnsi="方正小标宋简体" w:eastAsia="方正小标宋简体" w:cs="方正小标宋简体"/>
          <w:sz w:val="44"/>
          <w:szCs w:val="44"/>
          <w:highlight w:val="none"/>
        </w:rPr>
      </w:pPr>
    </w:p>
    <w:p w14:paraId="263080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宜昌市既有高层</w:t>
      </w:r>
      <w:bookmarkStart w:id="0" w:name="_GoBack"/>
      <w:bookmarkEnd w:id="0"/>
      <w:r>
        <w:rPr>
          <w:rFonts w:hint="eastAsia" w:ascii="方正小标宋简体" w:hAnsi="方正小标宋简体" w:eastAsia="方正小标宋简体" w:cs="方正小标宋简体"/>
          <w:sz w:val="44"/>
          <w:szCs w:val="44"/>
          <w:highlight w:val="none"/>
        </w:rPr>
        <w:t>民用建筑外墙外保温系统防火性能排查与评估技术指引（</w:t>
      </w:r>
      <w:r>
        <w:rPr>
          <w:rFonts w:hint="eastAsia" w:ascii="方正小标宋简体" w:hAnsi="方正小标宋简体" w:eastAsia="方正小标宋简体" w:cs="方正小标宋简体"/>
          <w:sz w:val="44"/>
          <w:szCs w:val="44"/>
          <w:highlight w:val="none"/>
          <w:lang w:eastAsia="zh-CN"/>
        </w:rPr>
        <w:t>征求意见稿</w:t>
      </w:r>
      <w:r>
        <w:rPr>
          <w:rFonts w:hint="eastAsia" w:ascii="方正小标宋简体" w:hAnsi="方正小标宋简体" w:eastAsia="方正小标宋简体" w:cs="方正小标宋简体"/>
          <w:sz w:val="44"/>
          <w:szCs w:val="44"/>
          <w:highlight w:val="none"/>
        </w:rPr>
        <w:t>）</w:t>
      </w:r>
    </w:p>
    <w:p w14:paraId="19BAC7E2">
      <w:pPr>
        <w:keepNext w:val="0"/>
        <w:keepLines w:val="0"/>
        <w:pageBreakBefore w:val="0"/>
        <w:widowControl w:val="0"/>
        <w:kinsoku/>
        <w:wordWrap/>
        <w:overflowPunct/>
        <w:topLinePunct w:val="0"/>
        <w:autoSpaceDE/>
        <w:autoSpaceDN/>
        <w:bidi w:val="0"/>
        <w:adjustRightInd/>
        <w:snapToGrid/>
        <w:spacing w:line="520" w:lineRule="exact"/>
        <w:ind w:firstLine="880" w:firstLineChars="200"/>
        <w:textAlignment w:val="auto"/>
        <w:rPr>
          <w:rFonts w:hint="eastAsia" w:ascii="方正小标宋简体" w:hAnsi="方正小标宋简体" w:eastAsia="方正小标宋简体" w:cs="方正小标宋简体"/>
          <w:sz w:val="44"/>
          <w:szCs w:val="44"/>
          <w:highlight w:val="none"/>
        </w:rPr>
      </w:pPr>
    </w:p>
    <w:p w14:paraId="23BAC5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一、总则</w:t>
      </w:r>
    </w:p>
    <w:p w14:paraId="0F0E31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（一）适用范围</w:t>
      </w:r>
    </w:p>
    <w:p w14:paraId="4F1B14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本指引适用于宜昌市行政区域内既有高层民用建筑外墙外保温系统防火性能的排查与评估工作。高层民用建筑</w:t>
      </w:r>
      <w:r>
        <w:rPr>
          <w:rFonts w:hint="eastAsia" w:ascii="仿宋" w:hAnsi="仿宋" w:eastAsia="仿宋" w:cs="仿宋"/>
          <w:sz w:val="32"/>
          <w:szCs w:val="32"/>
          <w:highlight w:val="none"/>
          <w:lang w:eastAsia="zh-CN"/>
        </w:rPr>
        <w:t>指</w:t>
      </w:r>
      <w:r>
        <w:rPr>
          <w:rFonts w:hint="eastAsia" w:ascii="仿宋" w:hAnsi="仿宋" w:eastAsia="仿宋" w:cs="仿宋"/>
          <w:sz w:val="32"/>
          <w:szCs w:val="32"/>
          <w:highlight w:val="none"/>
        </w:rPr>
        <w:t>建筑高度大于27m的住宅建筑，以及建筑高度大于24m的非单层民用建筑。</w:t>
      </w:r>
    </w:p>
    <w:p w14:paraId="5B2C97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（二）工作依据</w:t>
      </w:r>
    </w:p>
    <w:p w14:paraId="02ABF7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严格</w:t>
      </w:r>
      <w:r>
        <w:rPr>
          <w:rFonts w:hint="eastAsia" w:ascii="仿宋" w:hAnsi="仿宋" w:eastAsia="仿宋" w:cs="仿宋"/>
          <w:sz w:val="32"/>
          <w:szCs w:val="32"/>
          <w:highlight w:val="none"/>
          <w:lang w:eastAsia="zh-CN"/>
        </w:rPr>
        <w:t>遵守</w:t>
      </w:r>
      <w:r>
        <w:rPr>
          <w:rFonts w:hint="eastAsia" w:ascii="仿宋" w:hAnsi="仿宋" w:eastAsia="仿宋" w:cs="仿宋"/>
          <w:sz w:val="32"/>
          <w:szCs w:val="32"/>
          <w:highlight w:val="none"/>
        </w:rPr>
        <w:t>《中华人民共和国安全生产法》《中华人民共和国消防法》《高层民用建筑消防安全管理规定》（应急管理部令第5号）等法律法规</w:t>
      </w:r>
      <w:r>
        <w:rPr>
          <w:rFonts w:hint="eastAsia" w:ascii="仿宋" w:hAnsi="仿宋" w:eastAsia="仿宋" w:cs="仿宋"/>
          <w:sz w:val="32"/>
          <w:szCs w:val="32"/>
          <w:highlight w:val="none"/>
          <w:lang w:eastAsia="zh-CN"/>
        </w:rPr>
        <w:t>规章</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执行</w:t>
      </w:r>
      <w:r>
        <w:rPr>
          <w:rFonts w:hint="eastAsia" w:ascii="仿宋" w:hAnsi="仿宋" w:eastAsia="仿宋" w:cs="仿宋"/>
          <w:sz w:val="32"/>
          <w:szCs w:val="32"/>
          <w:highlight w:val="none"/>
        </w:rPr>
        <w:t>《建筑防火</w:t>
      </w:r>
      <w:r>
        <w:rPr>
          <w:rFonts w:hint="eastAsia" w:ascii="仿宋" w:hAnsi="仿宋" w:eastAsia="仿宋" w:cs="仿宋"/>
          <w:sz w:val="32"/>
          <w:szCs w:val="32"/>
          <w:highlight w:val="none"/>
          <w:lang w:eastAsia="zh-CN"/>
        </w:rPr>
        <w:t>通用</w:t>
      </w:r>
      <w:r>
        <w:rPr>
          <w:rFonts w:hint="eastAsia" w:ascii="仿宋" w:hAnsi="仿宋" w:eastAsia="仿宋" w:cs="仿宋"/>
          <w:sz w:val="32"/>
          <w:szCs w:val="32"/>
          <w:highlight w:val="none"/>
        </w:rPr>
        <w:t>规范》</w:t>
      </w:r>
      <w:r>
        <w:rPr>
          <w:rFonts w:hint="default" w:ascii="仿宋" w:hAnsi="仿宋" w:eastAsia="仿宋" w:cs="仿宋"/>
          <w:sz w:val="32"/>
          <w:szCs w:val="32"/>
          <w:highlight w:val="none"/>
          <w:woUserID w:val="1"/>
        </w:rPr>
        <w:t>《建筑设计防火规范》GB</w:t>
      </w:r>
      <w:r>
        <w:rPr>
          <w:rFonts w:hint="eastAsia" w:ascii="仿宋" w:hAnsi="仿宋" w:eastAsia="仿宋" w:cs="仿宋"/>
          <w:sz w:val="32"/>
          <w:szCs w:val="32"/>
          <w:highlight w:val="none"/>
          <w:lang w:val="en-US" w:eastAsia="zh-CN"/>
          <w:woUserID w:val="1"/>
        </w:rPr>
        <w:t xml:space="preserve"> </w:t>
      </w:r>
      <w:r>
        <w:rPr>
          <w:rFonts w:hint="default" w:ascii="仿宋" w:hAnsi="仿宋" w:eastAsia="仿宋" w:cs="仿宋"/>
          <w:sz w:val="32"/>
          <w:szCs w:val="32"/>
          <w:highlight w:val="none"/>
          <w:woUserID w:val="1"/>
        </w:rPr>
        <w:t>50016-2014(2018年版)、</w:t>
      </w:r>
      <w:r>
        <w:rPr>
          <w:rFonts w:hint="eastAsia" w:ascii="仿宋" w:hAnsi="仿宋" w:eastAsia="仿宋" w:cs="仿宋"/>
          <w:sz w:val="32"/>
          <w:szCs w:val="32"/>
          <w:highlight w:val="none"/>
        </w:rPr>
        <w:t>《人员密集场所消防安全管理》等国家及行业技术标准。</w:t>
      </w:r>
    </w:p>
    <w:p w14:paraId="0AEC3D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（三）责任分工</w:t>
      </w:r>
    </w:p>
    <w:p w14:paraId="4DD7BA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建筑产权人（业主）是既有高层民用建筑外墙外保温系统安全</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第一责任主体，负责牵头组织开展排查与评估工作。业主委托物业服务企业或专业管理单位的，由受委托单位具体实施</w:t>
      </w:r>
      <w:r>
        <w:rPr>
          <w:rFonts w:hint="eastAsia" w:ascii="仿宋" w:hAnsi="仿宋" w:eastAsia="仿宋" w:cs="仿宋"/>
          <w:sz w:val="32"/>
          <w:szCs w:val="32"/>
          <w:highlight w:val="none"/>
          <w:lang w:eastAsia="zh-CN"/>
        </w:rPr>
        <w:t>排查与评估</w:t>
      </w:r>
      <w:r>
        <w:rPr>
          <w:rFonts w:hint="eastAsia" w:ascii="仿宋" w:hAnsi="仿宋" w:eastAsia="仿宋" w:cs="仿宋"/>
          <w:sz w:val="32"/>
          <w:szCs w:val="32"/>
          <w:highlight w:val="none"/>
        </w:rPr>
        <w:t>工作，业主承担监督责任</w:t>
      </w:r>
      <w:r>
        <w:rPr>
          <w:rFonts w:hint="eastAsia" w:ascii="仿宋" w:hAnsi="仿宋" w:eastAsia="仿宋" w:cs="仿宋"/>
          <w:sz w:val="32"/>
          <w:szCs w:val="32"/>
          <w:highlight w:val="none"/>
          <w:lang w:eastAsia="zh-CN"/>
        </w:rPr>
        <w:t>。</w:t>
      </w:r>
    </w:p>
    <w:p w14:paraId="352B5A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各属地政府承担安全生产属地监管责任，各相关行业主管部门承担</w:t>
      </w:r>
      <w:r>
        <w:rPr>
          <w:rFonts w:hint="eastAsia" w:ascii="仿宋" w:hAnsi="仿宋" w:eastAsia="仿宋" w:cs="仿宋"/>
          <w:sz w:val="32"/>
          <w:szCs w:val="32"/>
          <w:highlight w:val="none"/>
          <w:lang w:eastAsia="zh-CN"/>
        </w:rPr>
        <w:t>相</w:t>
      </w:r>
      <w:r>
        <w:rPr>
          <w:rFonts w:hint="eastAsia" w:ascii="仿宋" w:hAnsi="仿宋" w:eastAsia="仿宋" w:cs="仿宋"/>
          <w:sz w:val="32"/>
          <w:szCs w:val="32"/>
          <w:highlight w:val="none"/>
        </w:rPr>
        <w:t>应</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行业监管责任。</w:t>
      </w:r>
    </w:p>
    <w:p w14:paraId="3BF525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（四）实施要求</w:t>
      </w:r>
    </w:p>
    <w:p w14:paraId="1D4A40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排查工作可由业主、物业服务企业等责任主体自行实施，也可委托具备相应资格条件的机构实施，</w:t>
      </w:r>
      <w:r>
        <w:rPr>
          <w:rFonts w:hint="eastAsia" w:ascii="仿宋" w:hAnsi="仿宋" w:eastAsia="仿宋" w:cs="仿宋"/>
          <w:sz w:val="32"/>
          <w:szCs w:val="32"/>
          <w:highlight w:val="none"/>
          <w:lang w:eastAsia="zh-CN"/>
        </w:rPr>
        <w:t>具体</w:t>
      </w:r>
      <w:r>
        <w:rPr>
          <w:rFonts w:hint="eastAsia" w:ascii="仿宋" w:hAnsi="仿宋" w:eastAsia="仿宋" w:cs="仿宋"/>
          <w:sz w:val="32"/>
          <w:szCs w:val="32"/>
          <w:highlight w:val="none"/>
        </w:rPr>
        <w:t>包括具备建筑节能专项材料燃烧性能</w:t>
      </w:r>
      <w:r>
        <w:rPr>
          <w:rFonts w:hint="eastAsia" w:ascii="仿宋" w:hAnsi="仿宋" w:eastAsia="仿宋" w:cs="仿宋"/>
          <w:sz w:val="32"/>
          <w:szCs w:val="32"/>
          <w:highlight w:val="none"/>
          <w:lang w:eastAsia="zh-CN"/>
        </w:rPr>
        <w:t>参数</w:t>
      </w:r>
      <w:r>
        <w:rPr>
          <w:rFonts w:hint="eastAsia" w:ascii="仿宋" w:hAnsi="仿宋" w:eastAsia="仿宋" w:cs="仿宋"/>
          <w:sz w:val="32"/>
          <w:szCs w:val="32"/>
          <w:highlight w:val="none"/>
        </w:rPr>
        <w:t>检测能力的检测机构</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w:t>
      </w:r>
    </w:p>
    <w:p w14:paraId="5127B1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经排查判定需开展技术评估的，</w:t>
      </w:r>
      <w:r>
        <w:rPr>
          <w:rFonts w:hint="eastAsia" w:ascii="仿宋" w:hAnsi="仿宋" w:eastAsia="仿宋" w:cs="仿宋"/>
          <w:sz w:val="32"/>
          <w:szCs w:val="32"/>
          <w:highlight w:val="none"/>
          <w:lang w:eastAsia="zh-CN"/>
        </w:rPr>
        <w:t>应</w:t>
      </w:r>
      <w:r>
        <w:rPr>
          <w:rFonts w:hint="eastAsia" w:ascii="仿宋" w:hAnsi="仿宋" w:eastAsia="仿宋" w:cs="仿宋"/>
          <w:sz w:val="32"/>
          <w:szCs w:val="32"/>
          <w:highlight w:val="none"/>
        </w:rPr>
        <w:t>委托具备建筑节能专项材料燃烧性能</w:t>
      </w:r>
      <w:r>
        <w:rPr>
          <w:rFonts w:hint="eastAsia" w:ascii="仿宋" w:hAnsi="仿宋" w:eastAsia="仿宋" w:cs="仿宋"/>
          <w:sz w:val="32"/>
          <w:szCs w:val="32"/>
          <w:highlight w:val="none"/>
          <w:lang w:eastAsia="zh-CN"/>
        </w:rPr>
        <w:t>参数</w:t>
      </w:r>
      <w:r>
        <w:rPr>
          <w:rFonts w:hint="eastAsia" w:ascii="仿宋" w:hAnsi="仿宋" w:eastAsia="仿宋" w:cs="仿宋"/>
          <w:sz w:val="32"/>
          <w:szCs w:val="32"/>
          <w:highlight w:val="none"/>
        </w:rPr>
        <w:t>检测能力的检测机构实施取样检测</w:t>
      </w:r>
      <w:r>
        <w:rPr>
          <w:rFonts w:hint="eastAsia" w:ascii="仿宋" w:hAnsi="仿宋" w:eastAsia="仿宋" w:cs="仿宋"/>
          <w:sz w:val="32"/>
          <w:szCs w:val="32"/>
          <w:highlight w:val="none"/>
          <w:lang w:eastAsia="zh-CN"/>
        </w:rPr>
        <w:t>，委托前述</w:t>
      </w:r>
      <w:r>
        <w:rPr>
          <w:rFonts w:hint="eastAsia" w:ascii="仿宋" w:hAnsi="仿宋" w:eastAsia="仿宋" w:cs="仿宋"/>
          <w:sz w:val="32"/>
          <w:szCs w:val="32"/>
          <w:highlight w:val="none"/>
        </w:rPr>
        <w:t>检测机构</w:t>
      </w:r>
      <w:r>
        <w:rPr>
          <w:rFonts w:hint="eastAsia" w:ascii="仿宋" w:hAnsi="仿宋" w:eastAsia="仿宋" w:cs="仿宋"/>
          <w:sz w:val="32"/>
          <w:szCs w:val="32"/>
          <w:highlight w:val="none"/>
          <w:lang w:eastAsia="zh-CN"/>
        </w:rPr>
        <w:t>或设计单位进行安全</w:t>
      </w:r>
      <w:r>
        <w:rPr>
          <w:rFonts w:hint="eastAsia" w:ascii="仿宋" w:hAnsi="仿宋" w:eastAsia="仿宋" w:cs="仿宋"/>
          <w:sz w:val="32"/>
          <w:szCs w:val="32"/>
          <w:highlight w:val="none"/>
        </w:rPr>
        <w:t>评估。</w:t>
      </w:r>
    </w:p>
    <w:p w14:paraId="3F38F4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排查、评估机构应严格按照国家及行业相关技术标准</w:t>
      </w:r>
      <w:r>
        <w:rPr>
          <w:rFonts w:hint="eastAsia" w:ascii="仿宋" w:hAnsi="仿宋" w:eastAsia="仿宋" w:cs="仿宋"/>
          <w:sz w:val="32"/>
          <w:szCs w:val="32"/>
          <w:highlight w:val="none"/>
          <w:lang w:eastAsia="zh-CN"/>
        </w:rPr>
        <w:t>，参照</w:t>
      </w:r>
      <w:r>
        <w:rPr>
          <w:rFonts w:hint="eastAsia" w:ascii="仿宋" w:hAnsi="仿宋" w:eastAsia="仿宋" w:cs="仿宋"/>
          <w:sz w:val="32"/>
          <w:szCs w:val="32"/>
          <w:highlight w:val="none"/>
        </w:rPr>
        <w:t>本指引开展工作，对出具的排查</w:t>
      </w:r>
      <w:r>
        <w:rPr>
          <w:rFonts w:hint="eastAsia" w:ascii="仿宋" w:hAnsi="仿宋" w:eastAsia="仿宋" w:cs="仿宋"/>
          <w:sz w:val="32"/>
          <w:szCs w:val="32"/>
          <w:highlight w:val="none"/>
          <w:lang w:eastAsia="zh-CN"/>
        </w:rPr>
        <w:t>与</w:t>
      </w:r>
      <w:r>
        <w:rPr>
          <w:rFonts w:hint="eastAsia" w:ascii="仿宋" w:hAnsi="仿宋" w:eastAsia="仿宋" w:cs="仿宋"/>
          <w:sz w:val="32"/>
          <w:szCs w:val="32"/>
          <w:highlight w:val="none"/>
        </w:rPr>
        <w:t>评估</w:t>
      </w:r>
      <w:r>
        <w:rPr>
          <w:rFonts w:hint="eastAsia" w:ascii="仿宋" w:hAnsi="仿宋" w:eastAsia="仿宋" w:cs="仿宋"/>
          <w:sz w:val="32"/>
          <w:szCs w:val="32"/>
          <w:highlight w:val="none"/>
          <w:lang w:eastAsia="zh-CN"/>
        </w:rPr>
        <w:t>结论</w:t>
      </w:r>
      <w:r>
        <w:rPr>
          <w:rFonts w:hint="eastAsia" w:ascii="仿宋" w:hAnsi="仿宋" w:eastAsia="仿宋" w:cs="仿宋"/>
          <w:sz w:val="32"/>
          <w:szCs w:val="32"/>
          <w:highlight w:val="none"/>
        </w:rPr>
        <w:t>的真实性、准确性、完整性负责。</w:t>
      </w:r>
    </w:p>
    <w:p w14:paraId="2060D4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二、排查工作</w:t>
      </w:r>
    </w:p>
    <w:p w14:paraId="142D79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仿宋" w:hAnsi="仿宋" w:eastAsia="仿宋" w:cs="仿宋"/>
          <w:sz w:val="32"/>
          <w:szCs w:val="32"/>
          <w:highlight w:val="none"/>
        </w:rPr>
        <w:t>现场排查</w:t>
      </w:r>
      <w:r>
        <w:rPr>
          <w:rFonts w:hint="eastAsia" w:ascii="仿宋" w:hAnsi="仿宋" w:eastAsia="仿宋" w:cs="仿宋"/>
          <w:sz w:val="32"/>
          <w:szCs w:val="32"/>
          <w:highlight w:val="none"/>
          <w:lang w:eastAsia="zh-CN"/>
        </w:rPr>
        <w:t>分为信息核查判定、</w:t>
      </w:r>
      <w:r>
        <w:rPr>
          <w:rFonts w:hint="eastAsia" w:ascii="仿宋" w:hAnsi="仿宋" w:eastAsia="仿宋" w:cs="仿宋"/>
          <w:sz w:val="32"/>
          <w:szCs w:val="32"/>
          <w:highlight w:val="none"/>
        </w:rPr>
        <w:t>现场测试</w:t>
      </w:r>
      <w:r>
        <w:rPr>
          <w:rFonts w:hint="eastAsia" w:ascii="仿宋" w:hAnsi="仿宋" w:eastAsia="仿宋" w:cs="仿宋"/>
          <w:sz w:val="32"/>
          <w:szCs w:val="32"/>
          <w:highlight w:val="none"/>
          <w:lang w:eastAsia="zh-CN"/>
        </w:rPr>
        <w:t>判定两个阶段。现场排查应填写《既有高层民用建筑外墙外保温系统防火性能现场</w:t>
      </w:r>
      <w:r>
        <w:rPr>
          <w:rFonts w:hint="eastAsia" w:ascii="仿宋" w:hAnsi="仿宋" w:eastAsia="仿宋" w:cs="仿宋"/>
          <w:sz w:val="32"/>
          <w:szCs w:val="32"/>
          <w:highlight w:val="none"/>
        </w:rPr>
        <w:t>排查表》</w:t>
      </w:r>
      <w:r>
        <w:rPr>
          <w:rFonts w:hint="eastAsia" w:ascii="仿宋" w:hAnsi="仿宋" w:eastAsia="仿宋" w:cs="仿宋"/>
          <w:sz w:val="32"/>
          <w:szCs w:val="32"/>
          <w:highlight w:val="none"/>
          <w:lang w:eastAsia="zh-CN"/>
        </w:rPr>
        <w:t>（见附件</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，并签章</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归档。</w:t>
      </w:r>
    </w:p>
    <w:p w14:paraId="1A0F98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一</w:t>
      </w: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信息核查判定</w:t>
      </w:r>
    </w:p>
    <w:p w14:paraId="3E58CD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建筑基本</w:t>
      </w:r>
      <w:r>
        <w:rPr>
          <w:rFonts w:hint="eastAsia" w:ascii="仿宋" w:hAnsi="仿宋" w:eastAsia="仿宋" w:cs="仿宋"/>
          <w:sz w:val="32"/>
          <w:szCs w:val="32"/>
          <w:highlight w:val="none"/>
        </w:rPr>
        <w:t>信息</w:t>
      </w:r>
      <w:r>
        <w:rPr>
          <w:rFonts w:hint="eastAsia" w:ascii="仿宋" w:hAnsi="仿宋" w:eastAsia="仿宋" w:cs="仿宋"/>
          <w:sz w:val="32"/>
          <w:szCs w:val="32"/>
          <w:highlight w:val="none"/>
          <w:lang w:eastAsia="zh-CN"/>
        </w:rPr>
        <w:t>。核查</w:t>
      </w:r>
      <w:r>
        <w:rPr>
          <w:rFonts w:hint="eastAsia" w:ascii="仿宋" w:hAnsi="仿宋" w:eastAsia="仿宋" w:cs="仿宋"/>
          <w:sz w:val="32"/>
          <w:szCs w:val="32"/>
          <w:highlight w:val="none"/>
        </w:rPr>
        <w:t>建筑名称、详细地址、建筑高度</w:t>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rPr>
        <w:t>层数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建筑面积、</w:t>
      </w:r>
      <w:r>
        <w:rPr>
          <w:rFonts w:hint="eastAsia" w:ascii="仿宋" w:hAnsi="仿宋" w:eastAsia="仿宋" w:cs="仿宋"/>
          <w:sz w:val="32"/>
          <w:szCs w:val="32"/>
          <w:highlight w:val="none"/>
          <w:lang w:eastAsia="zh-CN"/>
        </w:rPr>
        <w:t>建筑类型、</w:t>
      </w:r>
      <w:r>
        <w:rPr>
          <w:rFonts w:hint="eastAsia" w:ascii="仿宋" w:hAnsi="仿宋" w:eastAsia="仿宋" w:cs="仿宋"/>
          <w:sz w:val="32"/>
          <w:szCs w:val="32"/>
          <w:highlight w:val="none"/>
        </w:rPr>
        <w:t>竣工时间等信息</w:t>
      </w:r>
      <w:r>
        <w:rPr>
          <w:rFonts w:hint="eastAsia" w:ascii="仿宋" w:hAnsi="仿宋" w:eastAsia="仿宋" w:cs="仿宋"/>
          <w:sz w:val="32"/>
          <w:szCs w:val="32"/>
          <w:highlight w:val="none"/>
          <w:lang w:eastAsia="zh-CN"/>
        </w:rPr>
        <w:t>。</w:t>
      </w:r>
    </w:p>
    <w:p w14:paraId="5BACF3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2.外墙外保温标识牌。</w:t>
      </w:r>
      <w:r>
        <w:rPr>
          <w:rFonts w:hint="eastAsia" w:ascii="仿宋" w:hAnsi="仿宋" w:eastAsia="仿宋" w:cs="仿宋"/>
          <w:sz w:val="32"/>
          <w:szCs w:val="32"/>
          <w:highlight w:val="none"/>
        </w:rPr>
        <w:t>核查</w:t>
      </w:r>
      <w:r>
        <w:rPr>
          <w:rFonts w:hint="eastAsia" w:ascii="仿宋" w:hAnsi="仿宋" w:eastAsia="仿宋" w:cs="仿宋"/>
          <w:sz w:val="32"/>
          <w:szCs w:val="32"/>
          <w:highlight w:val="none"/>
          <w:lang w:eastAsia="zh-CN"/>
        </w:rPr>
        <w:t>在</w:t>
      </w:r>
      <w:r>
        <w:rPr>
          <w:rFonts w:hint="eastAsia" w:ascii="仿宋" w:hAnsi="仿宋" w:eastAsia="仿宋" w:cs="仿宋"/>
          <w:sz w:val="32"/>
          <w:szCs w:val="32"/>
          <w:highlight w:val="none"/>
        </w:rPr>
        <w:t>建筑主入口及周边显著位置，是否规范设置外墙外保温系统安全风险提示牌、建造信息公告牌（即“一楼一牌”）。</w:t>
      </w:r>
    </w:p>
    <w:p w14:paraId="0BE49F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3.工程</w:t>
      </w:r>
      <w:r>
        <w:rPr>
          <w:rFonts w:hint="eastAsia" w:ascii="仿宋" w:hAnsi="仿宋" w:eastAsia="仿宋" w:cs="仿宋"/>
          <w:sz w:val="32"/>
          <w:szCs w:val="32"/>
          <w:highlight w:val="none"/>
        </w:rPr>
        <w:t>资料与实物</w:t>
      </w:r>
      <w:r>
        <w:rPr>
          <w:rFonts w:hint="eastAsia" w:ascii="仿宋" w:hAnsi="仿宋" w:eastAsia="仿宋" w:cs="仿宋"/>
          <w:sz w:val="32"/>
          <w:szCs w:val="32"/>
          <w:highlight w:val="none"/>
          <w:lang w:eastAsia="zh-CN"/>
        </w:rPr>
        <w:t>。查阅</w:t>
      </w:r>
      <w:r>
        <w:rPr>
          <w:rFonts w:hint="eastAsia" w:ascii="仿宋" w:hAnsi="仿宋" w:eastAsia="仿宋" w:cs="仿宋"/>
          <w:sz w:val="32"/>
          <w:szCs w:val="32"/>
          <w:highlight w:val="none"/>
        </w:rPr>
        <w:t>建筑外墙外保温系统工程设计、竣工验收</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资料，现</w:t>
      </w:r>
      <w:r>
        <w:rPr>
          <w:rFonts w:hint="eastAsia" w:ascii="仿宋" w:hAnsi="仿宋" w:eastAsia="仿宋" w:cs="仿宋"/>
          <w:sz w:val="32"/>
          <w:szCs w:val="32"/>
          <w:highlight w:val="none"/>
          <w:lang w:val="en-US" w:eastAsia="zh-CN"/>
        </w:rPr>
        <w:t>场核对工程实物是否与工程资料明确的</w:t>
      </w:r>
      <w:r>
        <w:rPr>
          <w:rFonts w:hint="default" w:ascii="仿宋" w:hAnsi="仿宋" w:eastAsia="仿宋" w:cs="仿宋"/>
          <w:sz w:val="32"/>
          <w:szCs w:val="32"/>
          <w:highlight w:val="none"/>
          <w:lang w:val="en-US" w:eastAsia="zh-CN"/>
        </w:rPr>
        <w:t>外</w:t>
      </w:r>
      <w:r>
        <w:rPr>
          <w:rFonts w:hint="eastAsia" w:ascii="仿宋" w:hAnsi="仿宋" w:eastAsia="仿宋" w:cs="仿宋"/>
          <w:sz w:val="32"/>
          <w:szCs w:val="32"/>
          <w:highlight w:val="none"/>
          <w:lang w:val="en-US" w:eastAsia="zh-CN"/>
        </w:rPr>
        <w:t>墙外保温系统及</w:t>
      </w:r>
      <w:r>
        <w:rPr>
          <w:rFonts w:hint="default" w:ascii="仿宋" w:hAnsi="仿宋" w:eastAsia="仿宋" w:cs="仿宋"/>
          <w:sz w:val="32"/>
          <w:szCs w:val="32"/>
          <w:highlight w:val="none"/>
          <w:lang w:val="en-US" w:eastAsia="zh-CN"/>
        </w:rPr>
        <w:t>饰面层</w:t>
      </w:r>
      <w:r>
        <w:rPr>
          <w:rFonts w:hint="eastAsia" w:ascii="仿宋" w:hAnsi="仿宋" w:eastAsia="仿宋" w:cs="仿宋"/>
          <w:sz w:val="32"/>
          <w:szCs w:val="32"/>
          <w:highlight w:val="none"/>
          <w:lang w:val="en-US" w:eastAsia="zh-CN"/>
        </w:rPr>
        <w:t>（保护层）</w:t>
      </w:r>
      <w:r>
        <w:rPr>
          <w:rFonts w:hint="default" w:ascii="仿宋" w:hAnsi="仿宋" w:eastAsia="仿宋" w:cs="仿宋"/>
          <w:sz w:val="32"/>
          <w:szCs w:val="32"/>
          <w:highlight w:val="none"/>
          <w:lang w:val="en-US" w:eastAsia="zh-CN"/>
        </w:rPr>
        <w:t>类型</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保温材料</w:t>
      </w:r>
      <w:r>
        <w:rPr>
          <w:rFonts w:hint="eastAsia" w:ascii="仿宋" w:hAnsi="仿宋" w:eastAsia="仿宋" w:cs="仿宋"/>
          <w:sz w:val="32"/>
          <w:szCs w:val="32"/>
          <w:highlight w:val="none"/>
          <w:lang w:val="en-US" w:eastAsia="zh-CN"/>
        </w:rPr>
        <w:t>种类一致。</w:t>
      </w:r>
    </w:p>
    <w:p w14:paraId="27F07A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4.信息核查判定方法。若工程资料齐全，工程实物与工程资料相符，且外墙外保温系统无大面积（单面墙面积占比5%以上）开裂、空鼓、脱落等缺陷的，可免予进一步的排查和评估。</w:t>
      </w:r>
    </w:p>
    <w:p w14:paraId="1585A2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二</w:t>
      </w:r>
      <w:r>
        <w:rPr>
          <w:rFonts w:hint="eastAsia" w:ascii="楷体" w:hAnsi="楷体" w:eastAsia="楷体" w:cs="楷体"/>
          <w:sz w:val="32"/>
          <w:szCs w:val="32"/>
          <w:highlight w:val="none"/>
        </w:rPr>
        <w:t>）现场测试判定</w:t>
      </w:r>
    </w:p>
    <w:p w14:paraId="1C67D5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无法查阅完整的工程资料，或工程实物与工程资料不相符，以及外墙外保温系统存在大面积开裂、空鼓、脱落等缺陷的，应开展现场测试，按现场测试流程与判定规则（见附件2）实施。现场测试判定结果，符合设计文件等级（无设计文件的暂按现行设计标准（见附件3）），可免予取样检查和安全评估。</w:t>
      </w:r>
    </w:p>
    <w:p w14:paraId="2655583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评估工作</w:t>
      </w:r>
    </w:p>
    <w:p w14:paraId="4E31C7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highlight w:val="none"/>
          <w:lang w:eastAsia="zh-CN"/>
        </w:rPr>
      </w:pPr>
      <w:r>
        <w:rPr>
          <w:rFonts w:hint="eastAsia" w:ascii="仿宋" w:hAnsi="仿宋" w:eastAsia="仿宋" w:cs="仿宋"/>
          <w:sz w:val="32"/>
          <w:szCs w:val="32"/>
          <w:highlight w:val="none"/>
          <w:lang w:eastAsia="zh-CN"/>
        </w:rPr>
        <w:t>评估工作分为取样检测、安全评估两项内容。当保温材料燃烧性能现场测试判定结果，低于设计文件等级要求（无设计文件的，暂按现行设计标准要求）的，或非</w:t>
      </w:r>
      <w:r>
        <w:rPr>
          <w:rFonts w:hint="eastAsia" w:ascii="仿宋" w:hAnsi="仿宋" w:eastAsia="仿宋" w:cs="仿宋"/>
          <w:sz w:val="32"/>
          <w:szCs w:val="32"/>
          <w:highlight w:val="none"/>
          <w:lang w:val="en-US" w:eastAsia="zh-CN"/>
        </w:rPr>
        <w:t>A级且存在大面积开裂、空鼓、脱落等缺陷的，或需要组织火灾事故调查的，均</w:t>
      </w:r>
      <w:r>
        <w:rPr>
          <w:rFonts w:hint="eastAsia" w:ascii="仿宋" w:hAnsi="仿宋" w:eastAsia="仿宋" w:cs="仿宋"/>
          <w:sz w:val="32"/>
          <w:szCs w:val="32"/>
          <w:highlight w:val="none"/>
          <w:lang w:eastAsia="zh-CN"/>
        </w:rPr>
        <w:t>应</w:t>
      </w:r>
      <w:r>
        <w:rPr>
          <w:rFonts w:hint="eastAsia" w:ascii="仿宋" w:hAnsi="仿宋" w:eastAsia="仿宋" w:cs="仿宋"/>
          <w:sz w:val="32"/>
          <w:szCs w:val="32"/>
          <w:highlight w:val="none"/>
        </w:rPr>
        <w:t>委托具备</w:t>
      </w:r>
      <w:r>
        <w:rPr>
          <w:rFonts w:hint="eastAsia" w:ascii="仿宋" w:hAnsi="仿宋" w:eastAsia="仿宋" w:cs="仿宋"/>
          <w:sz w:val="32"/>
          <w:szCs w:val="32"/>
          <w:highlight w:val="none"/>
          <w:lang w:eastAsia="zh-CN"/>
        </w:rPr>
        <w:t>相应</w:t>
      </w:r>
      <w:r>
        <w:rPr>
          <w:rFonts w:hint="eastAsia" w:ascii="仿宋" w:hAnsi="仿宋" w:eastAsia="仿宋" w:cs="仿宋"/>
          <w:sz w:val="32"/>
          <w:szCs w:val="32"/>
          <w:highlight w:val="none"/>
        </w:rPr>
        <w:t>资质的机构开展取样检测与</w:t>
      </w:r>
      <w:r>
        <w:rPr>
          <w:rFonts w:hint="eastAsia" w:ascii="仿宋" w:hAnsi="仿宋" w:eastAsia="仿宋" w:cs="仿宋"/>
          <w:sz w:val="32"/>
          <w:szCs w:val="32"/>
          <w:highlight w:val="none"/>
          <w:lang w:eastAsia="zh-CN"/>
        </w:rPr>
        <w:t>安全</w:t>
      </w:r>
      <w:r>
        <w:rPr>
          <w:rFonts w:hint="eastAsia" w:ascii="仿宋" w:hAnsi="仿宋" w:eastAsia="仿宋" w:cs="仿宋"/>
          <w:sz w:val="32"/>
          <w:szCs w:val="32"/>
          <w:highlight w:val="none"/>
        </w:rPr>
        <w:t>评估</w:t>
      </w:r>
      <w:r>
        <w:rPr>
          <w:rFonts w:hint="eastAsia" w:ascii="楷体" w:hAnsi="楷体" w:eastAsia="楷体" w:cs="楷体"/>
          <w:sz w:val="32"/>
          <w:szCs w:val="32"/>
          <w:highlight w:val="none"/>
          <w:lang w:eastAsia="zh-CN"/>
        </w:rPr>
        <w:t>。</w:t>
      </w:r>
    </w:p>
    <w:p w14:paraId="55AF83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一</w:t>
      </w:r>
      <w:r>
        <w:rPr>
          <w:rFonts w:hint="eastAsia" w:ascii="楷体" w:hAnsi="楷体" w:eastAsia="楷体" w:cs="楷体"/>
          <w:sz w:val="32"/>
          <w:szCs w:val="32"/>
          <w:highlight w:val="none"/>
        </w:rPr>
        <w:t>）取样检测</w:t>
      </w:r>
    </w:p>
    <w:p w14:paraId="426E0D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检测依据</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执行《建筑材料及制品燃烧性能分级》（GB</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8624-2012）、《建筑材料可燃性试验方法》（GB/T</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8626-2007）、《塑料用氧指数法测定燃烧行为第2部分：室温试验》（GB/T</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2406.2-2009）标准。</w:t>
      </w:r>
      <w:r>
        <w:rPr>
          <w:rFonts w:hint="eastAsia" w:ascii="仿宋" w:hAnsi="仿宋" w:eastAsia="仿宋" w:cs="仿宋"/>
          <w:sz w:val="32"/>
          <w:szCs w:val="32"/>
          <w:highlight w:val="none"/>
          <w:lang w:eastAsia="zh-CN"/>
        </w:rPr>
        <w:t>每种</w:t>
      </w:r>
      <w:r>
        <w:rPr>
          <w:rFonts w:hint="default" w:ascii="仿宋" w:hAnsi="仿宋" w:eastAsia="仿宋" w:cs="仿宋"/>
          <w:sz w:val="32"/>
          <w:szCs w:val="32"/>
          <w:highlight w:val="none"/>
          <w:lang w:val="en-US" w:eastAsia="zh-CN"/>
        </w:rPr>
        <w:t>保温材料</w:t>
      </w:r>
      <w:r>
        <w:rPr>
          <w:rFonts w:hint="eastAsia" w:ascii="仿宋" w:hAnsi="仿宋" w:eastAsia="仿宋" w:cs="仿宋"/>
          <w:sz w:val="32"/>
          <w:szCs w:val="32"/>
          <w:highlight w:val="none"/>
          <w:lang w:val="en-US" w:eastAsia="zh-CN"/>
        </w:rPr>
        <w:t>均应取样检测。取样部位在取样检测后应及时恢复。</w:t>
      </w:r>
    </w:p>
    <w:p w14:paraId="785AA4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检测判定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检测项目</w:t>
      </w:r>
      <w:r>
        <w:rPr>
          <w:rFonts w:hint="eastAsia" w:ascii="仿宋" w:hAnsi="仿宋" w:eastAsia="仿宋" w:cs="仿宋"/>
          <w:sz w:val="32"/>
          <w:szCs w:val="32"/>
          <w:highlight w:val="none"/>
          <w:lang w:eastAsia="zh-CN"/>
        </w:rPr>
        <w:t>可</w:t>
      </w:r>
      <w:r>
        <w:rPr>
          <w:rFonts w:hint="eastAsia" w:ascii="仿宋" w:hAnsi="仿宋" w:eastAsia="仿宋" w:cs="仿宋"/>
          <w:sz w:val="32"/>
          <w:szCs w:val="32"/>
          <w:highlight w:val="none"/>
        </w:rPr>
        <w:t>仅包含可燃性试验、氧指数（OI）两项，不</w:t>
      </w:r>
      <w:r>
        <w:rPr>
          <w:rFonts w:hint="eastAsia" w:ascii="仿宋" w:hAnsi="仿宋" w:eastAsia="仿宋" w:cs="仿宋"/>
          <w:sz w:val="32"/>
          <w:szCs w:val="32"/>
          <w:highlight w:val="none"/>
          <w:lang w:eastAsia="zh-CN"/>
        </w:rPr>
        <w:t>需</w:t>
      </w:r>
      <w:r>
        <w:rPr>
          <w:rFonts w:hint="eastAsia" w:ascii="仿宋" w:hAnsi="仿宋" w:eastAsia="仿宋" w:cs="仿宋"/>
          <w:sz w:val="32"/>
          <w:szCs w:val="32"/>
          <w:highlight w:val="none"/>
        </w:rPr>
        <w:t>开展单体燃烧等其他试验。检测报告需明确试样的燃烧性能等级</w:t>
      </w:r>
      <w:r>
        <w:rPr>
          <w:rFonts w:hint="eastAsia" w:ascii="仿宋" w:hAnsi="仿宋" w:eastAsia="仿宋" w:cs="仿宋"/>
          <w:sz w:val="32"/>
          <w:szCs w:val="32"/>
          <w:highlight w:val="none"/>
          <w:lang w:eastAsia="zh-CN"/>
        </w:rPr>
        <w:t>，并注明是否和设计文件一致（无设计文件的暂按现行设计标准）</w:t>
      </w:r>
      <w:r>
        <w:rPr>
          <w:rFonts w:hint="eastAsia" w:ascii="仿宋" w:hAnsi="仿宋" w:eastAsia="仿宋" w:cs="仿宋"/>
          <w:sz w:val="32"/>
          <w:szCs w:val="32"/>
          <w:highlight w:val="none"/>
        </w:rPr>
        <w:t>。</w:t>
      </w:r>
    </w:p>
    <w:p w14:paraId="526B3A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val="en-US" w:eastAsia="zh-CN"/>
        </w:rPr>
        <w:t>（二）安全</w:t>
      </w:r>
      <w:r>
        <w:rPr>
          <w:rFonts w:hint="eastAsia" w:ascii="楷体" w:hAnsi="楷体" w:eastAsia="楷体" w:cs="楷体"/>
          <w:sz w:val="32"/>
          <w:szCs w:val="32"/>
          <w:highlight w:val="none"/>
        </w:rPr>
        <w:t>评估</w:t>
      </w:r>
    </w:p>
    <w:p w14:paraId="09308F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安全评估机构应根据</w:t>
      </w:r>
      <w:r>
        <w:rPr>
          <w:rFonts w:hint="eastAsia" w:ascii="仿宋" w:hAnsi="仿宋" w:eastAsia="仿宋" w:cs="仿宋"/>
          <w:sz w:val="32"/>
          <w:szCs w:val="32"/>
          <w:highlight w:val="none"/>
        </w:rPr>
        <w:t>取样检测报告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结合工程资料、现场排查</w:t>
      </w:r>
      <w:r>
        <w:rPr>
          <w:rFonts w:hint="eastAsia" w:ascii="仿宋" w:hAnsi="仿宋" w:eastAsia="仿宋" w:cs="仿宋"/>
          <w:sz w:val="32"/>
          <w:szCs w:val="32"/>
          <w:highlight w:val="none"/>
          <w:lang w:eastAsia="zh-CN"/>
        </w:rPr>
        <w:t>情况等</w:t>
      </w:r>
      <w:r>
        <w:rPr>
          <w:rFonts w:hint="eastAsia" w:ascii="仿宋" w:hAnsi="仿宋" w:eastAsia="仿宋" w:cs="仿宋"/>
          <w:sz w:val="32"/>
          <w:szCs w:val="32"/>
          <w:highlight w:val="none"/>
        </w:rPr>
        <w:t>，同时兼顾不同时期国家设计标准的更迭要求，</w:t>
      </w:r>
      <w:r>
        <w:rPr>
          <w:rFonts w:hint="eastAsia" w:ascii="仿宋" w:hAnsi="仿宋" w:eastAsia="仿宋" w:cs="仿宋"/>
          <w:sz w:val="32"/>
          <w:szCs w:val="32"/>
          <w:highlight w:val="none"/>
          <w:lang w:eastAsia="zh-CN"/>
        </w:rPr>
        <w:t>以及保温材料的燃烧性能降效等因素，</w:t>
      </w:r>
      <w:r>
        <w:rPr>
          <w:rFonts w:hint="eastAsia" w:ascii="仿宋" w:hAnsi="仿宋" w:eastAsia="仿宋" w:cs="仿宋"/>
          <w:sz w:val="32"/>
          <w:szCs w:val="32"/>
          <w:highlight w:val="none"/>
        </w:rPr>
        <w:t>开展</w:t>
      </w:r>
      <w:r>
        <w:rPr>
          <w:rFonts w:hint="eastAsia" w:ascii="仿宋" w:hAnsi="仿宋" w:eastAsia="仿宋" w:cs="仿宋"/>
          <w:sz w:val="32"/>
          <w:szCs w:val="32"/>
          <w:highlight w:val="none"/>
          <w:lang w:val="en-US" w:eastAsia="zh-CN"/>
        </w:rPr>
        <w:t>防火性能安全评估</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出具防火性能安全评估报告（见附件</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w:t>
      </w:r>
    </w:p>
    <w:p w14:paraId="322716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排查与评估结果应用</w:t>
      </w:r>
    </w:p>
    <w:p w14:paraId="57B553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结果应用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排查与</w:t>
      </w:r>
      <w:r>
        <w:rPr>
          <w:rFonts w:hint="eastAsia" w:ascii="仿宋" w:hAnsi="仿宋" w:eastAsia="仿宋" w:cs="仿宋"/>
          <w:sz w:val="32"/>
          <w:szCs w:val="32"/>
          <w:highlight w:val="none"/>
        </w:rPr>
        <w:t>评估确认存在安全隐患的，责任主体</w:t>
      </w:r>
      <w:r>
        <w:rPr>
          <w:rFonts w:hint="eastAsia" w:ascii="仿宋" w:hAnsi="仿宋" w:eastAsia="仿宋" w:cs="仿宋"/>
          <w:sz w:val="32"/>
          <w:szCs w:val="32"/>
          <w:highlight w:val="none"/>
          <w:lang w:eastAsia="zh-CN"/>
        </w:rPr>
        <w:t>应组织治理。对于存在严重安全隐患的，</w:t>
      </w:r>
      <w:r>
        <w:rPr>
          <w:rFonts w:hint="eastAsia" w:ascii="仿宋" w:hAnsi="仿宋" w:eastAsia="仿宋" w:cs="仿宋"/>
          <w:sz w:val="32"/>
          <w:szCs w:val="32"/>
          <w:highlight w:val="none"/>
        </w:rPr>
        <w:t>应委托具备相应资质的设计单位出具专项</w:t>
      </w:r>
      <w:r>
        <w:rPr>
          <w:rFonts w:hint="eastAsia" w:ascii="仿宋" w:hAnsi="仿宋" w:eastAsia="仿宋" w:cs="仿宋"/>
          <w:sz w:val="32"/>
          <w:szCs w:val="32"/>
          <w:highlight w:val="none"/>
          <w:lang w:eastAsia="zh-CN"/>
        </w:rPr>
        <w:t>治理</w:t>
      </w:r>
      <w:r>
        <w:rPr>
          <w:rFonts w:hint="eastAsia" w:ascii="仿宋" w:hAnsi="仿宋" w:eastAsia="仿宋" w:cs="仿宋"/>
          <w:sz w:val="32"/>
          <w:szCs w:val="32"/>
          <w:highlight w:val="none"/>
        </w:rPr>
        <w:t>设计方案，委托具备</w:t>
      </w:r>
      <w:r>
        <w:rPr>
          <w:rFonts w:hint="eastAsia" w:ascii="仿宋" w:hAnsi="仿宋" w:eastAsia="仿宋" w:cs="仿宋"/>
          <w:sz w:val="32"/>
          <w:szCs w:val="32"/>
          <w:highlight w:val="none"/>
          <w:lang w:eastAsia="zh-CN"/>
        </w:rPr>
        <w:t>相应</w:t>
      </w:r>
      <w:r>
        <w:rPr>
          <w:rFonts w:hint="eastAsia" w:ascii="仿宋" w:hAnsi="仿宋" w:eastAsia="仿宋" w:cs="仿宋"/>
          <w:sz w:val="32"/>
          <w:szCs w:val="32"/>
          <w:highlight w:val="none"/>
        </w:rPr>
        <w:t>资质的施工单位按</w:t>
      </w:r>
      <w:r>
        <w:rPr>
          <w:rFonts w:hint="eastAsia" w:ascii="仿宋" w:hAnsi="仿宋" w:eastAsia="仿宋" w:cs="仿宋"/>
          <w:sz w:val="32"/>
          <w:szCs w:val="32"/>
          <w:highlight w:val="none"/>
          <w:lang w:eastAsia="zh-CN"/>
        </w:rPr>
        <w:t>设计</w:t>
      </w:r>
      <w:r>
        <w:rPr>
          <w:rFonts w:hint="eastAsia" w:ascii="仿宋" w:hAnsi="仿宋" w:eastAsia="仿宋" w:cs="仿宋"/>
          <w:sz w:val="32"/>
          <w:szCs w:val="32"/>
          <w:highlight w:val="none"/>
        </w:rPr>
        <w:t>方案实施维修。</w:t>
      </w:r>
    </w:p>
    <w:p w14:paraId="32BD94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隐患治理责任与资金保障</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工程竣工验收后5年质保期内的，由项目工程参建单位负责隐患治理及相关费用；超出质保期的，由业主共同承担治理责任，可按规定申请使用住宅专项维修资金，或组织业主分摊治理资金；公租房、保租房、国有直管公房等国有产权房屋，由产权单位负责筹集资金并实施隐患治理；已纳入城市更新项目范围的建筑，外墙外保温系统隐患治理应与城市更新项目同步设计、同步实施、同步验收。</w:t>
      </w:r>
    </w:p>
    <w:p w14:paraId="5A9969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治理</w:t>
      </w:r>
      <w:r>
        <w:rPr>
          <w:rFonts w:hint="eastAsia" w:ascii="仿宋" w:hAnsi="仿宋" w:eastAsia="仿宋" w:cs="仿宋"/>
          <w:sz w:val="32"/>
          <w:szCs w:val="32"/>
          <w:highlight w:val="none"/>
        </w:rPr>
        <w:t>验收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隐患治理工程完工后，责任主体应组织</w:t>
      </w:r>
      <w:r>
        <w:rPr>
          <w:rFonts w:hint="eastAsia" w:ascii="仿宋" w:hAnsi="仿宋" w:eastAsia="仿宋" w:cs="仿宋"/>
          <w:sz w:val="32"/>
          <w:szCs w:val="32"/>
          <w:highlight w:val="none"/>
          <w:lang w:eastAsia="zh-CN"/>
        </w:rPr>
        <w:t>参建</w:t>
      </w:r>
      <w:r>
        <w:rPr>
          <w:rFonts w:hint="eastAsia" w:ascii="仿宋" w:hAnsi="仿宋" w:eastAsia="仿宋" w:cs="仿宋"/>
          <w:sz w:val="32"/>
          <w:szCs w:val="32"/>
          <w:highlight w:val="none"/>
        </w:rPr>
        <w:t>单位</w:t>
      </w:r>
      <w:r>
        <w:rPr>
          <w:rFonts w:hint="eastAsia" w:ascii="仿宋" w:hAnsi="仿宋" w:eastAsia="仿宋" w:cs="仿宋"/>
          <w:sz w:val="32"/>
          <w:szCs w:val="32"/>
          <w:highlight w:val="none"/>
          <w:lang w:eastAsia="zh-CN"/>
        </w:rPr>
        <w:t>进行</w:t>
      </w:r>
      <w:r>
        <w:rPr>
          <w:rFonts w:hint="eastAsia" w:ascii="仿宋" w:hAnsi="仿宋" w:eastAsia="仿宋" w:cs="仿宋"/>
          <w:sz w:val="32"/>
          <w:szCs w:val="32"/>
          <w:highlight w:val="none"/>
        </w:rPr>
        <w:t>竣工验收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验收合格后方可销项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属地政府</w:t>
      </w:r>
      <w:r>
        <w:rPr>
          <w:rFonts w:hint="eastAsia" w:ascii="仿宋" w:hAnsi="仿宋" w:eastAsia="仿宋" w:cs="仿宋"/>
          <w:sz w:val="32"/>
          <w:szCs w:val="32"/>
          <w:highlight w:val="none"/>
          <w:lang w:eastAsia="zh-CN"/>
        </w:rPr>
        <w:t>和</w:t>
      </w:r>
      <w:r>
        <w:rPr>
          <w:rFonts w:hint="eastAsia" w:ascii="仿宋" w:hAnsi="仿宋" w:eastAsia="仿宋" w:cs="仿宋"/>
          <w:sz w:val="32"/>
          <w:szCs w:val="32"/>
          <w:highlight w:val="none"/>
        </w:rPr>
        <w:t>相关行业主管部门</w:t>
      </w:r>
      <w:r>
        <w:rPr>
          <w:rFonts w:hint="eastAsia" w:ascii="仿宋" w:hAnsi="仿宋" w:eastAsia="仿宋" w:cs="仿宋"/>
          <w:sz w:val="32"/>
          <w:szCs w:val="32"/>
          <w:highlight w:val="none"/>
          <w:lang w:eastAsia="zh-CN"/>
        </w:rPr>
        <w:t>组织核实</w:t>
      </w:r>
      <w:r>
        <w:rPr>
          <w:rFonts w:hint="eastAsia" w:ascii="仿宋" w:hAnsi="仿宋" w:eastAsia="仿宋" w:cs="仿宋"/>
          <w:sz w:val="32"/>
          <w:szCs w:val="32"/>
          <w:highlight w:val="none"/>
        </w:rPr>
        <w:t>，确保彻底消除安全隐患。</w:t>
      </w:r>
    </w:p>
    <w:p w14:paraId="3987BA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五、附则</w:t>
      </w:r>
    </w:p>
    <w:p w14:paraId="0A6481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宜昌市行政区域内既有</w:t>
      </w:r>
      <w:r>
        <w:rPr>
          <w:rFonts w:hint="eastAsia" w:ascii="仿宋" w:hAnsi="仿宋" w:eastAsia="仿宋" w:cs="仿宋"/>
          <w:sz w:val="32"/>
          <w:szCs w:val="32"/>
          <w:highlight w:val="none"/>
          <w:lang w:eastAsia="zh-CN"/>
        </w:rPr>
        <w:t>非</w:t>
      </w:r>
      <w:r>
        <w:rPr>
          <w:rFonts w:hint="eastAsia" w:ascii="仿宋" w:hAnsi="仿宋" w:eastAsia="仿宋" w:cs="仿宋"/>
          <w:sz w:val="32"/>
          <w:szCs w:val="32"/>
          <w:highlight w:val="none"/>
        </w:rPr>
        <w:t>高层民用建筑</w:t>
      </w:r>
      <w:r>
        <w:rPr>
          <w:rFonts w:hint="eastAsia" w:ascii="仿宋" w:hAnsi="仿宋" w:eastAsia="仿宋" w:cs="仿宋"/>
          <w:sz w:val="32"/>
          <w:szCs w:val="32"/>
          <w:highlight w:val="none"/>
          <w:lang w:eastAsia="zh-CN"/>
        </w:rPr>
        <w:t>、工业建筑</w:t>
      </w:r>
      <w:r>
        <w:rPr>
          <w:rFonts w:hint="eastAsia" w:ascii="仿宋" w:hAnsi="仿宋" w:eastAsia="仿宋" w:cs="仿宋"/>
          <w:sz w:val="32"/>
          <w:szCs w:val="32"/>
          <w:highlight w:val="none"/>
        </w:rPr>
        <w:t>外墙外保温系统防火性能的排查与评估工作</w:t>
      </w:r>
      <w:r>
        <w:rPr>
          <w:rFonts w:hint="eastAsia" w:ascii="仿宋" w:hAnsi="仿宋" w:eastAsia="仿宋" w:cs="仿宋"/>
          <w:sz w:val="32"/>
          <w:szCs w:val="32"/>
          <w:highlight w:val="none"/>
          <w:lang w:eastAsia="zh-CN"/>
        </w:rPr>
        <w:t>，参照执行。</w:t>
      </w:r>
    </w:p>
    <w:p w14:paraId="1CEE27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本指引自发布之日起试行</w:t>
      </w:r>
      <w:r>
        <w:rPr>
          <w:rFonts w:hint="eastAsia" w:ascii="仿宋" w:hAnsi="仿宋" w:eastAsia="仿宋" w:cs="仿宋"/>
          <w:sz w:val="32"/>
          <w:szCs w:val="32"/>
          <w:highlight w:val="none"/>
          <w:lang w:eastAsia="zh-CN"/>
        </w:rPr>
        <w:t>，试行期两年。在试行期间，若国家或行业出台新标准规范，从其规定。</w:t>
      </w:r>
    </w:p>
    <w:p w14:paraId="2A6B46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p>
    <w:p w14:paraId="6C438032">
      <w:pPr>
        <w:keepNext w:val="0"/>
        <w:keepLines w:val="0"/>
        <w:pageBreakBefore w:val="0"/>
        <w:widowControl w:val="0"/>
        <w:kinsoku/>
        <w:wordWrap/>
        <w:overflowPunct/>
        <w:topLinePunct w:val="0"/>
        <w:autoSpaceDE/>
        <w:autoSpaceDN/>
        <w:bidi w:val="0"/>
        <w:adjustRightInd/>
        <w:snapToGrid/>
        <w:spacing w:line="520" w:lineRule="exact"/>
        <w:ind w:left="1812" w:leftChars="304" w:hanging="1174" w:hangingChars="367"/>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附件：1.既有高层民用建筑外墙外保温系统防火性能</w:t>
      </w:r>
      <w:r>
        <w:rPr>
          <w:rFonts w:hint="eastAsia" w:ascii="仿宋" w:hAnsi="仿宋" w:eastAsia="仿宋" w:cs="仿宋"/>
          <w:sz w:val="32"/>
          <w:szCs w:val="32"/>
          <w:highlight w:val="none"/>
          <w:lang w:eastAsia="zh-CN"/>
        </w:rPr>
        <w:t>现场</w:t>
      </w:r>
      <w:r>
        <w:rPr>
          <w:rFonts w:hint="eastAsia" w:ascii="仿宋" w:hAnsi="仿宋" w:eastAsia="仿宋" w:cs="仿宋"/>
          <w:sz w:val="32"/>
          <w:szCs w:val="32"/>
          <w:highlight w:val="none"/>
        </w:rPr>
        <w:t>排查表</w:t>
      </w:r>
    </w:p>
    <w:p w14:paraId="1055F99F">
      <w:pPr>
        <w:keepNext w:val="0"/>
        <w:keepLines w:val="0"/>
        <w:pageBreakBefore w:val="0"/>
        <w:widowControl w:val="0"/>
        <w:kinsoku/>
        <w:wordWrap/>
        <w:overflowPunct/>
        <w:topLinePunct w:val="0"/>
        <w:autoSpaceDE/>
        <w:autoSpaceDN/>
        <w:bidi w:val="0"/>
        <w:adjustRightInd/>
        <w:snapToGrid/>
        <w:spacing w:line="520" w:lineRule="exact"/>
        <w:ind w:left="0" w:leftChars="0" w:firstLine="1497" w:firstLineChars="468"/>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default" w:ascii="仿宋" w:hAnsi="仿宋" w:eastAsia="仿宋" w:cs="仿宋"/>
          <w:sz w:val="32"/>
          <w:szCs w:val="32"/>
          <w:highlight w:val="none"/>
          <w:lang w:val="en-US" w:eastAsia="zh-CN"/>
        </w:rPr>
        <w:t>保温材料</w:t>
      </w:r>
      <w:r>
        <w:rPr>
          <w:rFonts w:hint="eastAsia" w:ascii="仿宋" w:hAnsi="仿宋" w:eastAsia="仿宋" w:cs="仿宋"/>
          <w:sz w:val="32"/>
          <w:szCs w:val="32"/>
          <w:highlight w:val="none"/>
          <w:lang w:val="en-US" w:eastAsia="zh-CN"/>
        </w:rPr>
        <w:t>燃烧性能现场测试流程与判定规则</w:t>
      </w:r>
    </w:p>
    <w:p w14:paraId="68265DFC">
      <w:pPr>
        <w:keepNext w:val="0"/>
        <w:keepLines w:val="0"/>
        <w:pageBreakBefore w:val="0"/>
        <w:widowControl w:val="0"/>
        <w:kinsoku/>
        <w:wordWrap/>
        <w:overflowPunct/>
        <w:topLinePunct w:val="0"/>
        <w:autoSpaceDE/>
        <w:autoSpaceDN/>
        <w:bidi w:val="0"/>
        <w:adjustRightInd/>
        <w:snapToGrid/>
        <w:spacing w:line="520" w:lineRule="exact"/>
        <w:ind w:left="1277" w:leftChars="608" w:firstLine="201" w:firstLineChars="63"/>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eastAsia="zh-CN"/>
        </w:rPr>
        <w:t>现行</w:t>
      </w:r>
      <w:r>
        <w:rPr>
          <w:rFonts w:hint="eastAsia" w:ascii="仿宋" w:hAnsi="仿宋" w:eastAsia="仿宋" w:cs="仿宋"/>
          <w:sz w:val="32"/>
          <w:szCs w:val="32"/>
          <w:highlight w:val="none"/>
        </w:rPr>
        <w:t>外墙外保温系统防火设计</w:t>
      </w:r>
      <w:r>
        <w:rPr>
          <w:rFonts w:hint="eastAsia" w:ascii="仿宋" w:hAnsi="仿宋" w:eastAsia="仿宋" w:cs="仿宋"/>
          <w:sz w:val="32"/>
          <w:szCs w:val="32"/>
          <w:highlight w:val="none"/>
          <w:lang w:eastAsia="zh-CN"/>
        </w:rPr>
        <w:t>技术</w:t>
      </w:r>
      <w:r>
        <w:rPr>
          <w:rFonts w:hint="eastAsia" w:ascii="仿宋" w:hAnsi="仿宋" w:eastAsia="仿宋" w:cs="仿宋"/>
          <w:sz w:val="32"/>
          <w:szCs w:val="32"/>
          <w:highlight w:val="none"/>
        </w:rPr>
        <w:t>要点</w:t>
      </w:r>
    </w:p>
    <w:p w14:paraId="4422C119">
      <w:pPr>
        <w:keepNext w:val="0"/>
        <w:keepLines w:val="0"/>
        <w:pageBreakBefore w:val="0"/>
        <w:widowControl w:val="0"/>
        <w:kinsoku/>
        <w:wordWrap/>
        <w:overflowPunct/>
        <w:topLinePunct w:val="0"/>
        <w:autoSpaceDE/>
        <w:autoSpaceDN/>
        <w:bidi w:val="0"/>
        <w:adjustRightInd/>
        <w:snapToGrid/>
        <w:spacing w:line="520" w:lineRule="exact"/>
        <w:ind w:left="1277" w:leftChars="608" w:firstLine="201" w:firstLineChars="63"/>
        <w:textAlignment w:val="auto"/>
        <w:rPr>
          <w:rFonts w:hint="default" w:ascii="仿宋" w:hAnsi="仿宋" w:eastAsia="仿宋" w:cs="仿宋"/>
          <w:sz w:val="32"/>
          <w:szCs w:val="32"/>
          <w:highlight w:val="none"/>
          <w:lang w:val="en-US"/>
        </w:rPr>
        <w:sectPr>
          <w:footerReference r:id="rId3" w:type="default"/>
          <w:pgSz w:w="11905" w:h="16840"/>
          <w:pgMar w:top="2098" w:right="1474" w:bottom="1984" w:left="1587" w:header="720" w:footer="720" w:gutter="0"/>
          <w:pgNumType w:fmt="decimal"/>
          <w:cols w:space="720" w:num="1"/>
        </w:sectPr>
      </w:pPr>
      <w:r>
        <w:rPr>
          <w:rFonts w:hint="eastAsia" w:ascii="仿宋" w:hAnsi="仿宋" w:eastAsia="仿宋" w:cs="仿宋"/>
          <w:sz w:val="32"/>
          <w:szCs w:val="32"/>
          <w:highlight w:val="none"/>
          <w:lang w:val="en-US" w:eastAsia="zh-CN"/>
        </w:rPr>
        <w:t>4.既有高层民用建筑外墙外保温系统防火性能安全评估报告</w:t>
      </w:r>
    </w:p>
    <w:p w14:paraId="68BB6B35">
      <w:pPr>
        <w:keepNext w:val="0"/>
        <w:keepLines w:val="0"/>
        <w:pageBreakBefore w:val="0"/>
        <w:widowControl w:val="0"/>
        <w:kinsoku/>
        <w:wordWrap/>
        <w:overflowPunct/>
        <w:topLinePunct w:val="0"/>
        <w:autoSpaceDE/>
        <w:autoSpaceDN/>
        <w:bidi w:val="0"/>
        <w:adjustRightInd w:val="0"/>
        <w:snapToGrid w:val="0"/>
        <w:spacing w:before="320" w:after="120" w:line="560" w:lineRule="exact"/>
        <w:ind w:left="0" w:firstLine="0" w:firstLineChars="0"/>
        <w:jc w:val="left"/>
        <w:textAlignment w:val="auto"/>
        <w:outlineLvl w:val="1"/>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rPr>
        <w:t>附件</w:t>
      </w:r>
      <w:r>
        <w:rPr>
          <w:rFonts w:hint="eastAsia" w:ascii="黑体" w:hAnsi="黑体" w:eastAsia="黑体" w:cs="黑体"/>
          <w:b/>
          <w:sz w:val="32"/>
          <w:szCs w:val="32"/>
          <w:highlight w:val="none"/>
          <w:lang w:val="en-US" w:eastAsia="zh-CN"/>
        </w:rPr>
        <w:t>1</w:t>
      </w:r>
    </w:p>
    <w:p w14:paraId="62573761">
      <w:pPr>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0" w:firstLineChars="0"/>
        <w:jc w:val="center"/>
        <w:textAlignment w:val="auto"/>
        <w:outlineLvl w:val="1"/>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既有高层民用建筑外墙外保温系统</w:t>
      </w:r>
    </w:p>
    <w:p w14:paraId="5BDDA36A">
      <w:pPr>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0" w:firstLineChars="0"/>
        <w:jc w:val="center"/>
        <w:textAlignment w:val="auto"/>
        <w:outlineLvl w:val="1"/>
        <w:rPr>
          <w:rFonts w:hint="eastAsia" w:ascii="宋体" w:hAnsi="宋体" w:eastAsia="宋体" w:cs="宋体"/>
          <w:b/>
          <w:bCs/>
          <w:sz w:val="44"/>
          <w:szCs w:val="44"/>
          <w:highlight w:val="none"/>
          <w:lang w:val="en-US" w:eastAsia="zh-CN"/>
        </w:rPr>
      </w:pPr>
      <w:r>
        <w:rPr>
          <w:rFonts w:hint="eastAsia" w:ascii="宋体" w:hAnsi="宋体" w:eastAsia="宋体" w:cs="宋体"/>
          <w:b/>
          <w:bCs/>
          <w:color w:val="auto"/>
          <w:sz w:val="44"/>
          <w:szCs w:val="44"/>
          <w:highlight w:val="none"/>
          <w:lang w:val="en-US" w:eastAsia="zh-CN"/>
        </w:rPr>
        <w:t>防火性能现场</w:t>
      </w:r>
      <w:r>
        <w:rPr>
          <w:rFonts w:hint="eastAsia" w:ascii="宋体" w:hAnsi="宋体" w:eastAsia="宋体" w:cs="宋体"/>
          <w:b/>
          <w:bCs/>
          <w:sz w:val="44"/>
          <w:szCs w:val="44"/>
          <w:highlight w:val="none"/>
          <w:lang w:val="en-US" w:eastAsia="zh-CN"/>
        </w:rPr>
        <w:t>排查表</w:t>
      </w:r>
    </w:p>
    <w:tbl>
      <w:tblPr>
        <w:tblStyle w:val="3"/>
        <w:tblpPr w:leftFromText="180" w:rightFromText="180" w:vertAnchor="text" w:horzAnchor="page" w:tblpX="1780" w:tblpY="521"/>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775"/>
        <w:gridCol w:w="431"/>
        <w:gridCol w:w="512"/>
        <w:gridCol w:w="1728"/>
        <w:gridCol w:w="84"/>
        <w:gridCol w:w="524"/>
        <w:gridCol w:w="1111"/>
        <w:gridCol w:w="36"/>
        <w:gridCol w:w="1167"/>
        <w:gridCol w:w="1219"/>
      </w:tblGrid>
      <w:tr w14:paraId="2208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5" w:hRule="exact"/>
          <w:tblHeader/>
        </w:trPr>
        <w:tc>
          <w:tcPr>
            <w:tcW w:w="8587" w:type="dxa"/>
            <w:gridSpan w:val="10"/>
            <w:tcBorders>
              <w:tl2br w:val="nil"/>
              <w:tr2bl w:val="nil"/>
            </w:tcBorders>
            <w:shd w:val="clear" w:color="auto" w:fill="F2F3F5"/>
            <w:tcMar>
              <w:top w:w="96" w:type="dxa"/>
              <w:left w:w="96" w:type="dxa"/>
              <w:bottom w:w="96" w:type="dxa"/>
              <w:right w:w="96" w:type="dxa"/>
            </w:tcMar>
            <w:vAlign w:val="center"/>
          </w:tcPr>
          <w:p w14:paraId="56E7ADFC">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b/>
                <w:bCs/>
                <w:kern w:val="0"/>
                <w:sz w:val="21"/>
                <w:szCs w:val="21"/>
                <w:highlight w:val="none"/>
                <w:lang w:val="en-US" w:eastAsia="zh-CN" w:bidi="ar"/>
              </w:rPr>
            </w:pPr>
            <w:r>
              <w:rPr>
                <w:rFonts w:hint="default" w:ascii="Times New Roman" w:hAnsi="Times New Roman" w:eastAsia="宋体" w:cs="Times New Roman"/>
                <w:b/>
                <w:bCs/>
                <w:kern w:val="0"/>
                <w:sz w:val="21"/>
                <w:szCs w:val="21"/>
                <w:highlight w:val="none"/>
                <w:lang w:val="en-US" w:eastAsia="zh-CN" w:bidi="ar"/>
              </w:rPr>
              <w:t>一、</w:t>
            </w:r>
            <w:r>
              <w:rPr>
                <w:rFonts w:hint="eastAsia" w:ascii="Times New Roman" w:hAnsi="Times New Roman" w:eastAsia="宋体" w:cs="Times New Roman"/>
                <w:b/>
                <w:bCs/>
                <w:kern w:val="0"/>
                <w:sz w:val="21"/>
                <w:szCs w:val="21"/>
                <w:highlight w:val="none"/>
                <w:lang w:val="en-US" w:eastAsia="zh-CN" w:bidi="ar"/>
              </w:rPr>
              <w:t>房屋</w:t>
            </w:r>
            <w:r>
              <w:rPr>
                <w:rFonts w:hint="default" w:ascii="Times New Roman" w:hAnsi="Times New Roman" w:eastAsia="宋体" w:cs="Times New Roman"/>
                <w:b/>
                <w:bCs/>
                <w:kern w:val="0"/>
                <w:sz w:val="21"/>
                <w:szCs w:val="21"/>
                <w:highlight w:val="none"/>
                <w:lang w:val="en-US" w:eastAsia="zh-CN" w:bidi="ar"/>
              </w:rPr>
              <w:t>基</w:t>
            </w:r>
            <w:r>
              <w:rPr>
                <w:rFonts w:hint="eastAsia" w:ascii="Times New Roman" w:hAnsi="Times New Roman" w:eastAsia="宋体" w:cs="Times New Roman"/>
                <w:b/>
                <w:bCs/>
                <w:kern w:val="0"/>
                <w:sz w:val="21"/>
                <w:szCs w:val="21"/>
                <w:highlight w:val="none"/>
                <w:lang w:val="en-US" w:eastAsia="zh-CN" w:bidi="ar"/>
              </w:rPr>
              <w:t>本</w:t>
            </w:r>
            <w:r>
              <w:rPr>
                <w:rFonts w:hint="default" w:ascii="Times New Roman" w:hAnsi="Times New Roman" w:eastAsia="宋体" w:cs="Times New Roman"/>
                <w:b/>
                <w:bCs/>
                <w:kern w:val="0"/>
                <w:sz w:val="21"/>
                <w:szCs w:val="21"/>
                <w:highlight w:val="none"/>
                <w:lang w:val="en-US" w:eastAsia="zh-CN" w:bidi="ar"/>
              </w:rPr>
              <w:t>信息</w:t>
            </w:r>
            <w:r>
              <w:rPr>
                <w:rFonts w:hint="eastAsia" w:ascii="Times New Roman" w:hAnsi="Times New Roman" w:eastAsia="宋体" w:cs="Times New Roman"/>
                <w:b/>
                <w:bCs/>
                <w:kern w:val="0"/>
                <w:sz w:val="21"/>
                <w:szCs w:val="21"/>
                <w:highlight w:val="none"/>
                <w:lang w:val="en-US" w:eastAsia="zh-CN" w:bidi="ar"/>
              </w:rPr>
              <w:t>和“一楼一牌”</w:t>
            </w:r>
          </w:p>
          <w:p w14:paraId="420F9771">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p>
        </w:tc>
      </w:tr>
      <w:tr w14:paraId="4163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exact"/>
        </w:trPr>
        <w:tc>
          <w:tcPr>
            <w:tcW w:w="1775" w:type="dxa"/>
            <w:tcBorders>
              <w:tl2br w:val="nil"/>
              <w:tr2bl w:val="nil"/>
            </w:tcBorders>
            <w:shd w:val="clear" w:color="auto" w:fill="auto"/>
            <w:tcMar>
              <w:top w:w="96" w:type="dxa"/>
              <w:left w:w="96" w:type="dxa"/>
              <w:bottom w:w="96" w:type="dxa"/>
              <w:right w:w="96" w:type="dxa"/>
            </w:tcMar>
            <w:vAlign w:val="center"/>
          </w:tcPr>
          <w:p w14:paraId="5C7BD66E">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建筑名称</w:t>
            </w:r>
          </w:p>
        </w:tc>
        <w:tc>
          <w:tcPr>
            <w:tcW w:w="6812" w:type="dxa"/>
            <w:gridSpan w:val="9"/>
            <w:tcBorders>
              <w:tl2br w:val="nil"/>
              <w:tr2bl w:val="nil"/>
            </w:tcBorders>
            <w:shd w:val="clear" w:color="auto" w:fill="auto"/>
            <w:tcMar>
              <w:top w:w="96" w:type="dxa"/>
              <w:left w:w="96" w:type="dxa"/>
              <w:bottom w:w="96" w:type="dxa"/>
              <w:right w:w="96" w:type="dxa"/>
            </w:tcMar>
            <w:vAlign w:val="center"/>
          </w:tcPr>
          <w:p w14:paraId="7206F24D">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p>
        </w:tc>
      </w:tr>
      <w:tr w14:paraId="5D7D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exact"/>
        </w:trPr>
        <w:tc>
          <w:tcPr>
            <w:tcW w:w="1775" w:type="dxa"/>
            <w:tcBorders>
              <w:tl2br w:val="nil"/>
              <w:tr2bl w:val="nil"/>
            </w:tcBorders>
            <w:shd w:val="clear" w:color="auto" w:fill="auto"/>
            <w:tcMar>
              <w:top w:w="96" w:type="dxa"/>
              <w:left w:w="96" w:type="dxa"/>
              <w:bottom w:w="96" w:type="dxa"/>
              <w:right w:w="96" w:type="dxa"/>
            </w:tcMar>
            <w:vAlign w:val="center"/>
          </w:tcPr>
          <w:p w14:paraId="1738EF13">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详细地址</w:t>
            </w:r>
          </w:p>
        </w:tc>
        <w:tc>
          <w:tcPr>
            <w:tcW w:w="6812" w:type="dxa"/>
            <w:gridSpan w:val="9"/>
            <w:tcBorders>
              <w:tl2br w:val="nil"/>
              <w:tr2bl w:val="nil"/>
            </w:tcBorders>
            <w:shd w:val="clear" w:color="auto" w:fill="auto"/>
            <w:tcMar>
              <w:top w:w="96" w:type="dxa"/>
              <w:left w:w="96" w:type="dxa"/>
              <w:bottom w:w="96" w:type="dxa"/>
              <w:right w:w="96" w:type="dxa"/>
            </w:tcMar>
            <w:vAlign w:val="center"/>
          </w:tcPr>
          <w:p w14:paraId="1D0AF24E">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p>
        </w:tc>
      </w:tr>
      <w:tr w14:paraId="1EAE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exact"/>
        </w:trPr>
        <w:tc>
          <w:tcPr>
            <w:tcW w:w="1775" w:type="dxa"/>
            <w:tcBorders>
              <w:tl2br w:val="nil"/>
              <w:tr2bl w:val="nil"/>
            </w:tcBorders>
            <w:shd w:val="clear" w:color="auto" w:fill="auto"/>
            <w:tcMar>
              <w:top w:w="96" w:type="dxa"/>
              <w:left w:w="96" w:type="dxa"/>
              <w:bottom w:w="96" w:type="dxa"/>
              <w:right w:w="96" w:type="dxa"/>
            </w:tcMar>
            <w:vAlign w:val="center"/>
          </w:tcPr>
          <w:p w14:paraId="61934F88">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建筑面积</w:t>
            </w:r>
          </w:p>
        </w:tc>
        <w:tc>
          <w:tcPr>
            <w:tcW w:w="2755" w:type="dxa"/>
            <w:gridSpan w:val="4"/>
            <w:tcBorders>
              <w:tl2br w:val="nil"/>
              <w:tr2bl w:val="nil"/>
            </w:tcBorders>
            <w:shd w:val="clear" w:color="auto" w:fill="auto"/>
            <w:tcMar>
              <w:top w:w="96" w:type="dxa"/>
              <w:left w:w="96" w:type="dxa"/>
              <w:bottom w:w="96" w:type="dxa"/>
              <w:right w:w="96" w:type="dxa"/>
            </w:tcMar>
            <w:vAlign w:val="center"/>
          </w:tcPr>
          <w:p w14:paraId="53D17CEB">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平方米</w:t>
            </w:r>
          </w:p>
        </w:tc>
        <w:tc>
          <w:tcPr>
            <w:tcW w:w="1671" w:type="dxa"/>
            <w:gridSpan w:val="3"/>
            <w:tcBorders>
              <w:tl2br w:val="nil"/>
              <w:tr2bl w:val="nil"/>
            </w:tcBorders>
            <w:shd w:val="clear" w:color="auto" w:fill="auto"/>
            <w:tcMar>
              <w:top w:w="96" w:type="dxa"/>
              <w:left w:w="96" w:type="dxa"/>
              <w:bottom w:w="96" w:type="dxa"/>
              <w:right w:w="96" w:type="dxa"/>
            </w:tcMar>
            <w:vAlign w:val="center"/>
          </w:tcPr>
          <w:p w14:paraId="74579F74">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建筑</w:t>
            </w:r>
            <w:r>
              <w:rPr>
                <w:rFonts w:hint="default" w:ascii="Times New Roman" w:hAnsi="Times New Roman" w:eastAsia="宋体" w:cs="Times New Roman"/>
                <w:kern w:val="0"/>
                <w:sz w:val="21"/>
                <w:szCs w:val="21"/>
                <w:highlight w:val="none"/>
                <w:lang w:val="en-US" w:eastAsia="zh-CN" w:bidi="ar"/>
              </w:rPr>
              <w:t>高度/层数</w:t>
            </w:r>
          </w:p>
        </w:tc>
        <w:tc>
          <w:tcPr>
            <w:tcW w:w="2386" w:type="dxa"/>
            <w:gridSpan w:val="2"/>
            <w:tcBorders>
              <w:tl2br w:val="nil"/>
              <w:tr2bl w:val="nil"/>
            </w:tcBorders>
            <w:shd w:val="clear" w:color="auto" w:fill="auto"/>
            <w:tcMar>
              <w:top w:w="96" w:type="dxa"/>
              <w:left w:w="96" w:type="dxa"/>
              <w:bottom w:w="96" w:type="dxa"/>
              <w:right w:w="96" w:type="dxa"/>
            </w:tcMar>
            <w:vAlign w:val="center"/>
          </w:tcPr>
          <w:p w14:paraId="0C938487">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w:t>
            </w:r>
          </w:p>
        </w:tc>
      </w:tr>
      <w:tr w14:paraId="7073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 w:hRule="exact"/>
        </w:trPr>
        <w:tc>
          <w:tcPr>
            <w:tcW w:w="1775" w:type="dxa"/>
            <w:tcBorders>
              <w:tl2br w:val="nil"/>
              <w:tr2bl w:val="nil"/>
            </w:tcBorders>
            <w:shd w:val="clear" w:color="auto" w:fill="auto"/>
            <w:tcMar>
              <w:top w:w="96" w:type="dxa"/>
              <w:left w:w="96" w:type="dxa"/>
              <w:bottom w:w="96" w:type="dxa"/>
              <w:right w:w="96" w:type="dxa"/>
            </w:tcMar>
            <w:vAlign w:val="center"/>
          </w:tcPr>
          <w:p w14:paraId="31B46263">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建筑类型</w:t>
            </w:r>
          </w:p>
        </w:tc>
        <w:tc>
          <w:tcPr>
            <w:tcW w:w="2755" w:type="dxa"/>
            <w:gridSpan w:val="4"/>
            <w:tcBorders>
              <w:tl2br w:val="nil"/>
              <w:tr2bl w:val="nil"/>
            </w:tcBorders>
            <w:shd w:val="clear" w:color="auto" w:fill="auto"/>
            <w:tcMar>
              <w:top w:w="96" w:type="dxa"/>
              <w:left w:w="96" w:type="dxa"/>
              <w:bottom w:w="96" w:type="dxa"/>
              <w:right w:w="96" w:type="dxa"/>
            </w:tcMar>
            <w:vAlign w:val="center"/>
          </w:tcPr>
          <w:p w14:paraId="60E05E19">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left"/>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□住宅□公共建筑□其他</w:t>
            </w:r>
          </w:p>
        </w:tc>
        <w:tc>
          <w:tcPr>
            <w:tcW w:w="1671" w:type="dxa"/>
            <w:gridSpan w:val="3"/>
            <w:tcBorders>
              <w:tl2br w:val="nil"/>
              <w:tr2bl w:val="nil"/>
            </w:tcBorders>
            <w:shd w:val="clear" w:color="auto" w:fill="auto"/>
            <w:tcMar>
              <w:top w:w="96" w:type="dxa"/>
              <w:left w:w="96" w:type="dxa"/>
              <w:bottom w:w="96" w:type="dxa"/>
              <w:right w:w="96" w:type="dxa"/>
            </w:tcMar>
            <w:vAlign w:val="center"/>
          </w:tcPr>
          <w:p w14:paraId="1D90794E">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竣工时间</w:t>
            </w:r>
          </w:p>
        </w:tc>
        <w:tc>
          <w:tcPr>
            <w:tcW w:w="2386" w:type="dxa"/>
            <w:gridSpan w:val="2"/>
            <w:tcBorders>
              <w:tl2br w:val="nil"/>
              <w:tr2bl w:val="nil"/>
            </w:tcBorders>
            <w:shd w:val="clear" w:color="auto" w:fill="auto"/>
            <w:tcMar>
              <w:top w:w="96" w:type="dxa"/>
              <w:left w:w="96" w:type="dxa"/>
              <w:bottom w:w="96" w:type="dxa"/>
              <w:right w:w="96" w:type="dxa"/>
            </w:tcMar>
            <w:vAlign w:val="center"/>
          </w:tcPr>
          <w:p w14:paraId="73259D08">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年   月</w:t>
            </w:r>
          </w:p>
        </w:tc>
      </w:tr>
      <w:tr w14:paraId="3E49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9" w:hRule="exact"/>
        </w:trPr>
        <w:tc>
          <w:tcPr>
            <w:tcW w:w="1775" w:type="dxa"/>
            <w:tcBorders>
              <w:tl2br w:val="nil"/>
              <w:tr2bl w:val="nil"/>
            </w:tcBorders>
            <w:shd w:val="clear" w:color="auto" w:fill="auto"/>
            <w:tcMar>
              <w:top w:w="96" w:type="dxa"/>
              <w:left w:w="96" w:type="dxa"/>
              <w:bottom w:w="96" w:type="dxa"/>
              <w:right w:w="96" w:type="dxa"/>
            </w:tcMar>
            <w:vAlign w:val="center"/>
          </w:tcPr>
          <w:p w14:paraId="589B61EB">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产权人</w:t>
            </w:r>
            <w:r>
              <w:rPr>
                <w:rFonts w:hint="eastAsia" w:ascii="Times New Roman" w:hAnsi="Times New Roman" w:eastAsia="宋体" w:cs="Times New Roman"/>
                <w:kern w:val="0"/>
                <w:sz w:val="21"/>
                <w:szCs w:val="21"/>
                <w:highlight w:val="none"/>
                <w:lang w:val="en-US" w:eastAsia="zh-CN" w:bidi="ar"/>
              </w:rPr>
              <w:t>及联系方式</w:t>
            </w:r>
          </w:p>
        </w:tc>
        <w:tc>
          <w:tcPr>
            <w:tcW w:w="2755" w:type="dxa"/>
            <w:gridSpan w:val="4"/>
            <w:tcBorders>
              <w:tl2br w:val="nil"/>
              <w:tr2bl w:val="nil"/>
            </w:tcBorders>
            <w:shd w:val="clear" w:color="auto" w:fill="auto"/>
            <w:tcMar>
              <w:top w:w="96" w:type="dxa"/>
              <w:left w:w="96" w:type="dxa"/>
              <w:bottom w:w="96" w:type="dxa"/>
              <w:right w:w="96" w:type="dxa"/>
            </w:tcMar>
            <w:vAlign w:val="center"/>
          </w:tcPr>
          <w:p w14:paraId="36E87BCF">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p>
        </w:tc>
        <w:tc>
          <w:tcPr>
            <w:tcW w:w="1671" w:type="dxa"/>
            <w:gridSpan w:val="3"/>
            <w:tcBorders>
              <w:tl2br w:val="nil"/>
              <w:tr2bl w:val="nil"/>
            </w:tcBorders>
            <w:shd w:val="clear" w:color="auto" w:fill="auto"/>
            <w:tcMar>
              <w:top w:w="96" w:type="dxa"/>
              <w:left w:w="96" w:type="dxa"/>
              <w:bottom w:w="96" w:type="dxa"/>
              <w:right w:w="96" w:type="dxa"/>
            </w:tcMar>
            <w:vAlign w:val="center"/>
          </w:tcPr>
          <w:p w14:paraId="7AC915FB">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物业服务机构及联系方式</w:t>
            </w:r>
          </w:p>
        </w:tc>
        <w:tc>
          <w:tcPr>
            <w:tcW w:w="2386" w:type="dxa"/>
            <w:gridSpan w:val="2"/>
            <w:tcBorders>
              <w:tl2br w:val="nil"/>
              <w:tr2bl w:val="nil"/>
            </w:tcBorders>
            <w:shd w:val="clear" w:color="auto" w:fill="auto"/>
            <w:tcMar>
              <w:top w:w="96" w:type="dxa"/>
              <w:left w:w="96" w:type="dxa"/>
              <w:bottom w:w="96" w:type="dxa"/>
              <w:right w:w="96" w:type="dxa"/>
            </w:tcMar>
            <w:vAlign w:val="center"/>
          </w:tcPr>
          <w:p w14:paraId="644C3CC3">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p>
        </w:tc>
      </w:tr>
      <w:tr w14:paraId="13A4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9" w:hRule="exact"/>
        </w:trPr>
        <w:tc>
          <w:tcPr>
            <w:tcW w:w="8587" w:type="dxa"/>
            <w:gridSpan w:val="10"/>
            <w:tcBorders>
              <w:tl2br w:val="nil"/>
              <w:tr2bl w:val="nil"/>
            </w:tcBorders>
            <w:shd w:val="clear" w:color="auto" w:fill="auto"/>
            <w:tcMar>
              <w:top w:w="96" w:type="dxa"/>
              <w:left w:w="96" w:type="dxa"/>
              <w:bottom w:w="96" w:type="dxa"/>
              <w:right w:w="96" w:type="dxa"/>
            </w:tcMar>
            <w:vAlign w:val="center"/>
          </w:tcPr>
          <w:p w14:paraId="6620429F">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eastAsia"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“一楼一牌”标识设置：安全风险提示牌□</w:t>
            </w:r>
            <w:r>
              <w:rPr>
                <w:rFonts w:hint="default" w:ascii="Times New Roman" w:hAnsi="Times New Roman" w:eastAsia="宋体" w:cs="Times New Roman"/>
                <w:kern w:val="0"/>
                <w:sz w:val="21"/>
                <w:szCs w:val="21"/>
                <w:highlight w:val="none"/>
                <w:lang w:val="en-US" w:eastAsia="zh-CN" w:bidi="ar"/>
              </w:rPr>
              <w:t>有</w:t>
            </w:r>
            <w:r>
              <w:rPr>
                <w:rFonts w:hint="eastAsia" w:ascii="Times New Roman" w:hAnsi="Times New Roman" w:eastAsia="宋体" w:cs="Times New Roman"/>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无</w:t>
            </w:r>
            <w:r>
              <w:rPr>
                <w:rFonts w:hint="eastAsia" w:ascii="Times New Roman" w:hAnsi="Times New Roman" w:eastAsia="宋体" w:cs="Times New Roman"/>
                <w:kern w:val="0"/>
                <w:sz w:val="21"/>
                <w:szCs w:val="21"/>
                <w:highlight w:val="none"/>
                <w:lang w:val="en-US" w:eastAsia="zh-CN" w:bidi="ar"/>
              </w:rPr>
              <w:t>；建造信息公告牌□</w:t>
            </w:r>
            <w:r>
              <w:rPr>
                <w:rFonts w:hint="default" w:ascii="Times New Roman" w:hAnsi="Times New Roman" w:eastAsia="宋体" w:cs="Times New Roman"/>
                <w:kern w:val="0"/>
                <w:sz w:val="21"/>
                <w:szCs w:val="21"/>
                <w:highlight w:val="none"/>
                <w:lang w:val="en-US" w:eastAsia="zh-CN" w:bidi="ar"/>
              </w:rPr>
              <w:t>有</w:t>
            </w:r>
            <w:r>
              <w:rPr>
                <w:rFonts w:hint="eastAsia" w:ascii="Times New Roman" w:hAnsi="Times New Roman" w:eastAsia="宋体" w:cs="Times New Roman"/>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无</w:t>
            </w:r>
          </w:p>
        </w:tc>
      </w:tr>
      <w:tr w14:paraId="04E8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exact"/>
        </w:trPr>
        <w:tc>
          <w:tcPr>
            <w:tcW w:w="8587" w:type="dxa"/>
            <w:gridSpan w:val="10"/>
            <w:tcBorders>
              <w:tl2br w:val="nil"/>
              <w:tr2bl w:val="nil"/>
            </w:tcBorders>
            <w:shd w:val="clear" w:color="auto" w:fill="auto"/>
            <w:tcMar>
              <w:top w:w="96" w:type="dxa"/>
              <w:left w:w="96" w:type="dxa"/>
              <w:bottom w:w="96" w:type="dxa"/>
              <w:right w:w="96" w:type="dxa"/>
            </w:tcMar>
            <w:vAlign w:val="center"/>
          </w:tcPr>
          <w:p w14:paraId="66DAEE79">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b/>
                <w:bCs/>
                <w:kern w:val="0"/>
                <w:sz w:val="21"/>
                <w:szCs w:val="21"/>
                <w:highlight w:val="none"/>
                <w:lang w:val="en-US" w:eastAsia="zh-CN" w:bidi="ar"/>
              </w:rPr>
              <w:t>二、保温系统</w:t>
            </w:r>
            <w:r>
              <w:rPr>
                <w:rFonts w:hint="eastAsia" w:ascii="Times New Roman" w:hAnsi="Times New Roman" w:eastAsia="宋体" w:cs="Times New Roman"/>
                <w:b/>
                <w:bCs/>
                <w:kern w:val="0"/>
                <w:sz w:val="21"/>
                <w:szCs w:val="21"/>
                <w:highlight w:val="none"/>
                <w:lang w:val="en-US" w:eastAsia="zh-CN" w:bidi="ar"/>
              </w:rPr>
              <w:t>设计和</w:t>
            </w:r>
            <w:r>
              <w:rPr>
                <w:rFonts w:hint="default" w:ascii="Times New Roman" w:hAnsi="Times New Roman" w:eastAsia="宋体" w:cs="Times New Roman"/>
                <w:b/>
                <w:bCs/>
                <w:color w:val="auto"/>
                <w:kern w:val="0"/>
                <w:sz w:val="21"/>
                <w:szCs w:val="21"/>
                <w:highlight w:val="none"/>
                <w:lang w:val="en-US" w:eastAsia="zh-CN" w:bidi="ar"/>
              </w:rPr>
              <w:t>竣工</w:t>
            </w:r>
            <w:r>
              <w:rPr>
                <w:rFonts w:hint="eastAsia" w:ascii="Times New Roman" w:hAnsi="Times New Roman" w:eastAsia="宋体" w:cs="Times New Roman"/>
                <w:b/>
                <w:bCs/>
                <w:color w:val="auto"/>
                <w:kern w:val="0"/>
                <w:sz w:val="21"/>
                <w:szCs w:val="21"/>
                <w:highlight w:val="none"/>
                <w:lang w:val="en-US" w:eastAsia="zh-CN" w:bidi="ar"/>
              </w:rPr>
              <w:t>资料相关</w:t>
            </w:r>
            <w:r>
              <w:rPr>
                <w:rFonts w:hint="default" w:ascii="Times New Roman" w:hAnsi="Times New Roman" w:eastAsia="宋体" w:cs="Times New Roman"/>
                <w:b/>
                <w:bCs/>
                <w:kern w:val="0"/>
                <w:sz w:val="21"/>
                <w:szCs w:val="21"/>
                <w:highlight w:val="none"/>
                <w:lang w:val="en-US" w:eastAsia="zh-CN" w:bidi="ar"/>
              </w:rPr>
              <w:t>信息</w:t>
            </w:r>
          </w:p>
        </w:tc>
      </w:tr>
      <w:tr w14:paraId="3487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5" w:hRule="exact"/>
        </w:trPr>
        <w:tc>
          <w:tcPr>
            <w:tcW w:w="2718" w:type="dxa"/>
            <w:gridSpan w:val="3"/>
            <w:tcBorders>
              <w:tl2br w:val="nil"/>
              <w:tr2bl w:val="nil"/>
            </w:tcBorders>
            <w:shd w:val="clear" w:color="auto" w:fill="auto"/>
            <w:tcMar>
              <w:top w:w="96" w:type="dxa"/>
              <w:left w:w="96" w:type="dxa"/>
              <w:bottom w:w="96" w:type="dxa"/>
              <w:right w:w="96" w:type="dxa"/>
            </w:tcMar>
            <w:vAlign w:val="center"/>
          </w:tcPr>
          <w:p w14:paraId="0635CC31">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外</w:t>
            </w:r>
            <w:r>
              <w:rPr>
                <w:rFonts w:hint="eastAsia" w:ascii="Times New Roman" w:hAnsi="Times New Roman" w:eastAsia="宋体" w:cs="Times New Roman"/>
                <w:color w:val="auto"/>
                <w:kern w:val="0"/>
                <w:sz w:val="21"/>
                <w:szCs w:val="21"/>
                <w:highlight w:val="none"/>
                <w:lang w:val="en-US" w:eastAsia="zh-CN" w:bidi="ar"/>
              </w:rPr>
              <w:t>墙外保温系统</w:t>
            </w:r>
          </w:p>
          <w:p w14:paraId="366EE907">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bidi="ar"/>
              </w:rPr>
            </w:pPr>
            <w:r>
              <w:rPr>
                <w:rFonts w:hint="eastAsia" w:ascii="Times New Roman" w:hAnsi="Times New Roman" w:eastAsia="宋体" w:cs="Times New Roman"/>
                <w:color w:val="auto"/>
                <w:kern w:val="0"/>
                <w:sz w:val="21"/>
                <w:szCs w:val="21"/>
                <w:highlight w:val="none"/>
                <w:lang w:val="en-US" w:eastAsia="zh-CN" w:bidi="ar"/>
              </w:rPr>
              <w:t>及</w:t>
            </w:r>
            <w:r>
              <w:rPr>
                <w:rFonts w:hint="default" w:ascii="Times New Roman" w:hAnsi="Times New Roman" w:eastAsia="宋体" w:cs="Times New Roman"/>
                <w:color w:val="auto"/>
                <w:kern w:val="0"/>
                <w:sz w:val="21"/>
                <w:szCs w:val="21"/>
                <w:highlight w:val="none"/>
                <w:lang w:val="en-US" w:eastAsia="zh-CN" w:bidi="ar"/>
              </w:rPr>
              <w:t>饰面层</w:t>
            </w:r>
            <w:r>
              <w:rPr>
                <w:rFonts w:hint="eastAsia" w:ascii="Times New Roman" w:hAnsi="Times New Roman" w:eastAsia="宋体" w:cs="Times New Roman"/>
                <w:color w:val="auto"/>
                <w:kern w:val="0"/>
                <w:sz w:val="21"/>
                <w:szCs w:val="21"/>
                <w:highlight w:val="none"/>
                <w:lang w:val="en-US" w:eastAsia="zh-CN" w:bidi="ar"/>
              </w:rPr>
              <w:t>（保护层）</w:t>
            </w:r>
            <w:r>
              <w:rPr>
                <w:rFonts w:hint="default" w:ascii="Times New Roman" w:hAnsi="Times New Roman" w:eastAsia="宋体" w:cs="Times New Roman"/>
                <w:color w:val="auto"/>
                <w:kern w:val="0"/>
                <w:sz w:val="21"/>
                <w:szCs w:val="21"/>
                <w:highlight w:val="none"/>
                <w:lang w:val="en-US" w:eastAsia="zh-CN" w:bidi="ar"/>
              </w:rPr>
              <w:t>类型</w:t>
            </w:r>
          </w:p>
        </w:tc>
        <w:tc>
          <w:tcPr>
            <w:tcW w:w="2336" w:type="dxa"/>
            <w:gridSpan w:val="3"/>
            <w:tcBorders>
              <w:tl2br w:val="nil"/>
              <w:tr2bl w:val="nil"/>
            </w:tcBorders>
            <w:shd w:val="clear" w:color="auto" w:fill="auto"/>
            <w:tcMar>
              <w:top w:w="96" w:type="dxa"/>
              <w:left w:w="96" w:type="dxa"/>
              <w:bottom w:w="96" w:type="dxa"/>
              <w:right w:w="96" w:type="dxa"/>
            </w:tcMar>
            <w:vAlign w:val="center"/>
          </w:tcPr>
          <w:p w14:paraId="71D4F58A">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保温材料种类</w:t>
            </w:r>
          </w:p>
        </w:tc>
        <w:tc>
          <w:tcPr>
            <w:tcW w:w="2314" w:type="dxa"/>
            <w:gridSpan w:val="3"/>
            <w:tcBorders>
              <w:tl2br w:val="nil"/>
              <w:tr2bl w:val="nil"/>
            </w:tcBorders>
            <w:shd w:val="clear" w:color="auto" w:fill="auto"/>
            <w:tcMar>
              <w:top w:w="96" w:type="dxa"/>
              <w:left w:w="96" w:type="dxa"/>
              <w:bottom w:w="96" w:type="dxa"/>
              <w:right w:w="96" w:type="dxa"/>
            </w:tcMar>
            <w:vAlign w:val="center"/>
          </w:tcPr>
          <w:p w14:paraId="52957B35">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设计燃烧性能等级</w:t>
            </w:r>
          </w:p>
        </w:tc>
        <w:tc>
          <w:tcPr>
            <w:tcW w:w="1219" w:type="dxa"/>
            <w:tcBorders>
              <w:tl2br w:val="nil"/>
              <w:tr2bl w:val="nil"/>
            </w:tcBorders>
            <w:shd w:val="clear" w:color="auto" w:fill="auto"/>
            <w:tcMar>
              <w:top w:w="96" w:type="dxa"/>
              <w:left w:w="96" w:type="dxa"/>
              <w:bottom w:w="96" w:type="dxa"/>
              <w:right w:w="96" w:type="dxa"/>
            </w:tcMar>
            <w:vAlign w:val="center"/>
          </w:tcPr>
          <w:p w14:paraId="3C1EBE07">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备注</w:t>
            </w:r>
          </w:p>
        </w:tc>
      </w:tr>
      <w:tr w14:paraId="25E4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00" w:hRule="atLeast"/>
        </w:trPr>
        <w:tc>
          <w:tcPr>
            <w:tcW w:w="2718" w:type="dxa"/>
            <w:gridSpan w:val="3"/>
            <w:tcBorders>
              <w:tl2br w:val="nil"/>
              <w:tr2bl w:val="nil"/>
            </w:tcBorders>
            <w:shd w:val="clear" w:color="auto" w:fill="auto"/>
            <w:tcMar>
              <w:top w:w="96" w:type="dxa"/>
              <w:left w:w="96" w:type="dxa"/>
              <w:bottom w:w="96" w:type="dxa"/>
              <w:right w:w="96" w:type="dxa"/>
            </w:tcMar>
            <w:vAlign w:val="center"/>
          </w:tcPr>
          <w:p w14:paraId="7AA842B9">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left"/>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eastAsia="zh-CN" w:bidi="ar"/>
              </w:rPr>
              <w:t>保温砂浆面层</w:t>
            </w:r>
            <w:r>
              <w:rPr>
                <w:rFonts w:hint="default" w:ascii="Times New Roman" w:hAnsi="Times New Roman" w:eastAsia="宋体" w:cs="Times New Roman"/>
                <w:color w:val="auto"/>
                <w:kern w:val="0"/>
                <w:sz w:val="21"/>
                <w:szCs w:val="21"/>
                <w:highlight w:val="none"/>
                <w:lang w:val="en-US" w:eastAsia="zh-CN" w:bidi="ar"/>
              </w:rPr>
              <w:br w:type="textWrapping"/>
            </w: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eastAsia="zh-CN" w:bidi="ar"/>
              </w:rPr>
              <w:t>保温板材</w:t>
            </w:r>
            <w:r>
              <w:rPr>
                <w:rFonts w:hint="default" w:ascii="Times New Roman" w:hAnsi="Times New Roman" w:eastAsia="宋体" w:cs="Times New Roman"/>
                <w:color w:val="auto"/>
                <w:kern w:val="0"/>
                <w:sz w:val="21"/>
                <w:szCs w:val="21"/>
                <w:highlight w:val="none"/>
                <w:lang w:val="en-US" w:eastAsia="zh-CN" w:bidi="ar"/>
              </w:rPr>
              <w:t>+涂料</w:t>
            </w:r>
            <w:r>
              <w:rPr>
                <w:rFonts w:hint="default" w:ascii="Times New Roman" w:hAnsi="Times New Roman" w:eastAsia="宋体" w:cs="Times New Roman"/>
                <w:color w:val="auto"/>
                <w:kern w:val="0"/>
                <w:sz w:val="21"/>
                <w:szCs w:val="21"/>
                <w:highlight w:val="none"/>
                <w:lang w:val="en-US" w:eastAsia="zh-CN" w:bidi="ar"/>
              </w:rPr>
              <w:br w:type="textWrapping"/>
            </w: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保温装饰复合板</w:t>
            </w:r>
            <w:r>
              <w:rPr>
                <w:rFonts w:hint="default" w:ascii="Times New Roman" w:hAnsi="Times New Roman" w:eastAsia="宋体" w:cs="Times New Roman"/>
                <w:color w:val="auto"/>
                <w:kern w:val="0"/>
                <w:sz w:val="21"/>
                <w:szCs w:val="21"/>
                <w:highlight w:val="none"/>
                <w:lang w:val="en-US" w:eastAsia="zh-CN" w:bidi="ar"/>
              </w:rPr>
              <w:br w:type="textWrapping"/>
            </w: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保温层+干挂石材</w:t>
            </w:r>
            <w:r>
              <w:rPr>
                <w:rFonts w:hint="default" w:ascii="Times New Roman" w:hAnsi="Times New Roman" w:eastAsia="宋体" w:cs="Times New Roman"/>
                <w:color w:val="auto"/>
                <w:kern w:val="0"/>
                <w:sz w:val="21"/>
                <w:szCs w:val="21"/>
                <w:highlight w:val="none"/>
                <w:lang w:val="en-US" w:eastAsia="zh-CN" w:bidi="ar"/>
              </w:rPr>
              <w:br w:type="textWrapping"/>
            </w: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幕墙</w:t>
            </w:r>
            <w:r>
              <w:rPr>
                <w:rFonts w:hint="default" w:ascii="Times New Roman" w:hAnsi="Times New Roman" w:eastAsia="宋体" w:cs="Times New Roman"/>
                <w:color w:val="auto"/>
                <w:kern w:val="0"/>
                <w:sz w:val="21"/>
                <w:szCs w:val="21"/>
                <w:highlight w:val="none"/>
                <w:lang w:val="en-US" w:eastAsia="zh-CN" w:bidi="ar"/>
              </w:rPr>
              <w:br w:type="textWrapping"/>
            </w: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其他</w:t>
            </w:r>
          </w:p>
        </w:tc>
        <w:tc>
          <w:tcPr>
            <w:tcW w:w="2336" w:type="dxa"/>
            <w:gridSpan w:val="3"/>
            <w:tcBorders>
              <w:tl2br w:val="nil"/>
              <w:tr2bl w:val="nil"/>
            </w:tcBorders>
            <w:shd w:val="clear" w:color="auto" w:fill="auto"/>
            <w:tcMar>
              <w:top w:w="96" w:type="dxa"/>
              <w:left w:w="96" w:type="dxa"/>
              <w:bottom w:w="96" w:type="dxa"/>
              <w:right w:w="96" w:type="dxa"/>
            </w:tcMar>
            <w:vAlign w:val="center"/>
          </w:tcPr>
          <w:p w14:paraId="16A45499">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left"/>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EPS板</w:t>
            </w:r>
            <w:r>
              <w:rPr>
                <w:rFonts w:hint="default" w:ascii="Times New Roman" w:hAnsi="Times New Roman" w:eastAsia="宋体" w:cs="Times New Roman"/>
                <w:color w:val="auto"/>
                <w:kern w:val="0"/>
                <w:sz w:val="21"/>
                <w:szCs w:val="21"/>
                <w:highlight w:val="none"/>
                <w:lang w:bidi="ar"/>
              </w:rPr>
              <w:br w:type="textWrapping"/>
            </w: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XPS板</w:t>
            </w:r>
            <w:r>
              <w:rPr>
                <w:rFonts w:hint="default" w:ascii="Times New Roman" w:hAnsi="Times New Roman" w:eastAsia="宋体" w:cs="Times New Roman"/>
                <w:color w:val="auto"/>
                <w:kern w:val="0"/>
                <w:sz w:val="21"/>
                <w:szCs w:val="21"/>
                <w:highlight w:val="none"/>
                <w:lang w:val="en-US" w:eastAsia="zh-CN" w:bidi="ar"/>
              </w:rPr>
              <w:br w:type="textWrapping"/>
            </w: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bidi="ar"/>
              </w:rPr>
              <w:t>岩棉</w:t>
            </w:r>
            <w:r>
              <w:rPr>
                <w:rFonts w:hint="default" w:ascii="Times New Roman" w:hAnsi="Times New Roman" w:eastAsia="宋体" w:cs="Times New Roman"/>
                <w:color w:val="auto"/>
                <w:kern w:val="0"/>
                <w:sz w:val="21"/>
                <w:szCs w:val="21"/>
                <w:highlight w:val="none"/>
                <w:lang w:val="en-US" w:eastAsia="zh-CN" w:bidi="ar"/>
              </w:rPr>
              <w:t>板</w:t>
            </w:r>
            <w:r>
              <w:rPr>
                <w:rFonts w:hint="default" w:ascii="Times New Roman" w:hAnsi="Times New Roman" w:eastAsia="宋体" w:cs="Times New Roman"/>
                <w:color w:val="auto"/>
                <w:kern w:val="0"/>
                <w:sz w:val="21"/>
                <w:szCs w:val="21"/>
                <w:highlight w:val="none"/>
                <w:lang w:val="en-US" w:eastAsia="zh-CN" w:bidi="ar"/>
              </w:rPr>
              <w:br w:type="textWrapping"/>
            </w: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蒸压加气混凝土砌块</w:t>
            </w:r>
            <w:r>
              <w:rPr>
                <w:rFonts w:hint="default" w:ascii="Times New Roman" w:hAnsi="Times New Roman" w:eastAsia="宋体" w:cs="Times New Roman"/>
                <w:color w:val="auto"/>
                <w:kern w:val="0"/>
                <w:sz w:val="21"/>
                <w:szCs w:val="21"/>
                <w:highlight w:val="none"/>
                <w:lang w:val="en-US" w:eastAsia="zh-CN" w:bidi="ar"/>
              </w:rPr>
              <w:br w:type="textWrapping"/>
            </w: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泡沫玻璃</w:t>
            </w:r>
          </w:p>
          <w:p w14:paraId="245A13E1">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left"/>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lang w:val="en-US" w:eastAsia="zh-CN" w:bidi="ar"/>
              </w:rPr>
              <w:t>未设置保温层</w:t>
            </w:r>
            <w:r>
              <w:rPr>
                <w:rFonts w:hint="default" w:ascii="Times New Roman" w:hAnsi="Times New Roman" w:eastAsia="宋体" w:cs="Times New Roman"/>
                <w:color w:val="auto"/>
                <w:kern w:val="0"/>
                <w:sz w:val="21"/>
                <w:szCs w:val="21"/>
                <w:highlight w:val="none"/>
                <w:lang w:val="en-US" w:eastAsia="zh-CN" w:bidi="ar"/>
              </w:rPr>
              <w:br w:type="textWrapping"/>
            </w:r>
            <w:r>
              <w:rPr>
                <w:rFonts w:hint="eastAsia" w:ascii="Times New Roman" w:hAnsi="Times New Roman" w:eastAsia="宋体" w:cs="Times New Roman"/>
                <w:color w:val="auto"/>
                <w:kern w:val="0"/>
                <w:sz w:val="21"/>
                <w:szCs w:val="21"/>
                <w:highlight w:val="none"/>
                <w:lang w:eastAsia="zh-CN" w:bidi="ar"/>
              </w:rPr>
              <w:t>□</w:t>
            </w:r>
            <w:r>
              <w:rPr>
                <w:rFonts w:hint="default" w:ascii="Times New Roman" w:hAnsi="Times New Roman" w:eastAsia="宋体" w:cs="Times New Roman"/>
                <w:color w:val="auto"/>
                <w:kern w:val="0"/>
                <w:sz w:val="21"/>
                <w:szCs w:val="21"/>
                <w:highlight w:val="none"/>
                <w:u w:val="none"/>
                <w:lang w:val="en-US" w:eastAsia="zh-CN" w:bidi="ar"/>
              </w:rPr>
              <w:t>其他</w:t>
            </w:r>
          </w:p>
        </w:tc>
        <w:tc>
          <w:tcPr>
            <w:tcW w:w="2314" w:type="dxa"/>
            <w:gridSpan w:val="3"/>
            <w:tcBorders>
              <w:tl2br w:val="nil"/>
              <w:tr2bl w:val="nil"/>
            </w:tcBorders>
            <w:shd w:val="clear" w:color="auto" w:fill="auto"/>
            <w:tcMar>
              <w:top w:w="96" w:type="dxa"/>
              <w:left w:w="96" w:type="dxa"/>
              <w:bottom w:w="96" w:type="dxa"/>
              <w:right w:w="96" w:type="dxa"/>
            </w:tcMar>
            <w:vAlign w:val="center"/>
          </w:tcPr>
          <w:p w14:paraId="02838DC7">
            <w:pPr>
              <w:keepNext w:val="0"/>
              <w:keepLines w:val="0"/>
              <w:widowControl/>
              <w:suppressLineNumbers w:val="0"/>
              <w:jc w:val="left"/>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A</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不燃材料</w:t>
            </w:r>
            <w:r>
              <w:rPr>
                <w:rFonts w:hint="eastAsia" w:ascii="Times New Roman" w:hAnsi="Times New Roman" w:eastAsia="宋体" w:cs="Times New Roman"/>
                <w:color w:val="auto"/>
                <w:kern w:val="0"/>
                <w:sz w:val="21"/>
                <w:szCs w:val="21"/>
                <w:highlight w:val="none"/>
                <w:lang w:val="en-US" w:eastAsia="zh-CN" w:bidi="ar"/>
              </w:rPr>
              <w:t>）</w:t>
            </w:r>
          </w:p>
          <w:p w14:paraId="0417CEBC">
            <w:pPr>
              <w:keepNext w:val="0"/>
              <w:keepLines w:val="0"/>
              <w:widowControl/>
              <w:suppressLineNumbers w:val="0"/>
              <w:jc w:val="left"/>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B</w:t>
            </w:r>
            <w:r>
              <w:rPr>
                <w:rFonts w:hint="default" w:ascii="Times New Roman" w:hAnsi="Times New Roman" w:eastAsia="宋体" w:cs="Times New Roman"/>
                <w:color w:val="auto"/>
                <w:kern w:val="0"/>
                <w:sz w:val="21"/>
                <w:szCs w:val="21"/>
                <w:highlight w:val="none"/>
                <w:vertAlign w:val="subscript"/>
                <w:lang w:val="en-US" w:eastAsia="zh-CN" w:bidi="ar"/>
              </w:rPr>
              <w:t>1</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难燃材料</w:t>
            </w:r>
            <w:r>
              <w:rPr>
                <w:rFonts w:hint="eastAsia" w:ascii="Times New Roman" w:hAnsi="Times New Roman" w:eastAsia="宋体" w:cs="Times New Roman"/>
                <w:color w:val="auto"/>
                <w:kern w:val="0"/>
                <w:sz w:val="21"/>
                <w:szCs w:val="21"/>
                <w:highlight w:val="none"/>
                <w:lang w:val="en-US" w:eastAsia="zh-CN" w:bidi="ar"/>
              </w:rPr>
              <w:t>）</w:t>
            </w:r>
          </w:p>
          <w:p w14:paraId="56B428A0">
            <w:pPr>
              <w:keepNext w:val="0"/>
              <w:keepLines w:val="0"/>
              <w:widowControl/>
              <w:suppressLineNumbers w:val="0"/>
              <w:jc w:val="left"/>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B</w:t>
            </w:r>
            <w:r>
              <w:rPr>
                <w:rFonts w:hint="default" w:ascii="Times New Roman" w:hAnsi="Times New Roman" w:eastAsia="宋体" w:cs="Times New Roman"/>
                <w:color w:val="auto"/>
                <w:kern w:val="0"/>
                <w:sz w:val="21"/>
                <w:szCs w:val="21"/>
                <w:highlight w:val="none"/>
                <w:vertAlign w:val="subscript"/>
                <w:lang w:val="en-US" w:eastAsia="zh-CN" w:bidi="ar"/>
              </w:rPr>
              <w:t>2</w:t>
            </w:r>
            <w:r>
              <w:rPr>
                <w:rFonts w:hint="eastAsia" w:ascii="Times New Roman" w:hAnsi="Times New Roman" w:eastAsia="宋体" w:cs="Times New Roman"/>
                <w:color w:val="auto"/>
                <w:kern w:val="0"/>
                <w:sz w:val="21"/>
                <w:szCs w:val="21"/>
                <w:highlight w:val="none"/>
                <w:lang w:val="en-US" w:eastAsia="zh-CN" w:bidi="ar"/>
              </w:rPr>
              <w:t>（可</w:t>
            </w:r>
            <w:r>
              <w:rPr>
                <w:rFonts w:hint="default" w:ascii="Times New Roman" w:hAnsi="Times New Roman" w:eastAsia="宋体" w:cs="Times New Roman"/>
                <w:color w:val="auto"/>
                <w:kern w:val="0"/>
                <w:sz w:val="21"/>
                <w:szCs w:val="21"/>
                <w:highlight w:val="none"/>
                <w:lang w:val="en-US" w:eastAsia="zh-CN" w:bidi="ar"/>
              </w:rPr>
              <w:t>燃材料</w:t>
            </w:r>
            <w:r>
              <w:rPr>
                <w:rFonts w:hint="eastAsia" w:ascii="Times New Roman" w:hAnsi="Times New Roman" w:eastAsia="宋体" w:cs="Times New Roman"/>
                <w:color w:val="auto"/>
                <w:kern w:val="0"/>
                <w:sz w:val="21"/>
                <w:szCs w:val="21"/>
                <w:highlight w:val="none"/>
                <w:lang w:val="en-US" w:eastAsia="zh-CN" w:bidi="ar"/>
              </w:rPr>
              <w:t>）</w:t>
            </w:r>
          </w:p>
          <w:p w14:paraId="4DC3FF47">
            <w:pPr>
              <w:keepNext w:val="0"/>
              <w:keepLines w:val="0"/>
              <w:widowControl/>
              <w:suppressLineNumbers w:val="0"/>
              <w:jc w:val="left"/>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B</w:t>
            </w:r>
            <w:r>
              <w:rPr>
                <w:rFonts w:hint="default" w:ascii="Times New Roman" w:hAnsi="Times New Roman" w:eastAsia="宋体" w:cs="Times New Roman"/>
                <w:color w:val="auto"/>
                <w:kern w:val="0"/>
                <w:sz w:val="21"/>
                <w:szCs w:val="21"/>
                <w:highlight w:val="none"/>
                <w:vertAlign w:val="subscript"/>
                <w:lang w:val="en-US" w:eastAsia="zh-CN" w:bidi="ar"/>
              </w:rPr>
              <w:t>3</w:t>
            </w:r>
            <w:r>
              <w:rPr>
                <w:rFonts w:hint="eastAsia" w:ascii="Times New Roman" w:hAnsi="Times New Roman" w:eastAsia="宋体" w:cs="Times New Roman"/>
                <w:color w:val="auto"/>
                <w:kern w:val="0"/>
                <w:sz w:val="21"/>
                <w:szCs w:val="21"/>
                <w:highlight w:val="none"/>
                <w:lang w:val="en-US" w:eastAsia="zh-CN" w:bidi="ar"/>
              </w:rPr>
              <w:t>（易</w:t>
            </w:r>
            <w:r>
              <w:rPr>
                <w:rFonts w:hint="default" w:ascii="Times New Roman" w:hAnsi="Times New Roman" w:eastAsia="宋体" w:cs="Times New Roman"/>
                <w:color w:val="auto"/>
                <w:kern w:val="0"/>
                <w:sz w:val="21"/>
                <w:szCs w:val="21"/>
                <w:highlight w:val="none"/>
                <w:lang w:val="en-US" w:eastAsia="zh-CN" w:bidi="ar"/>
              </w:rPr>
              <w:t>燃材料</w:t>
            </w:r>
            <w:r>
              <w:rPr>
                <w:rFonts w:hint="eastAsia" w:ascii="Times New Roman" w:hAnsi="Times New Roman" w:eastAsia="宋体" w:cs="Times New Roman"/>
                <w:color w:val="auto"/>
                <w:kern w:val="0"/>
                <w:sz w:val="21"/>
                <w:szCs w:val="21"/>
                <w:highlight w:val="none"/>
                <w:lang w:val="en-US" w:eastAsia="zh-CN" w:bidi="ar"/>
              </w:rPr>
              <w:t>）</w:t>
            </w:r>
          </w:p>
          <w:p w14:paraId="3DC7E446">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p>
          <w:p w14:paraId="316EED5B">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eastAsia" w:ascii="Times New Roman" w:hAnsi="Times New Roman" w:eastAsia="宋体" w:cs="Times New Roman"/>
                <w:color w:val="auto"/>
                <w:kern w:val="0"/>
                <w:sz w:val="21"/>
                <w:szCs w:val="21"/>
                <w:highlight w:val="none"/>
                <w:lang w:val="en-US" w:eastAsia="zh-CN" w:bidi="ar"/>
              </w:rPr>
            </w:pPr>
          </w:p>
        </w:tc>
        <w:tc>
          <w:tcPr>
            <w:tcW w:w="1219" w:type="dxa"/>
            <w:tcBorders>
              <w:tl2br w:val="nil"/>
              <w:tr2bl w:val="nil"/>
            </w:tcBorders>
            <w:shd w:val="clear" w:color="auto" w:fill="auto"/>
            <w:tcMar>
              <w:top w:w="96" w:type="dxa"/>
              <w:left w:w="96" w:type="dxa"/>
              <w:bottom w:w="96" w:type="dxa"/>
              <w:right w:w="96" w:type="dxa"/>
            </w:tcMar>
            <w:vAlign w:val="center"/>
          </w:tcPr>
          <w:p w14:paraId="7EB80A67">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（超出1个类型或种类的，需注明）</w:t>
            </w:r>
          </w:p>
        </w:tc>
      </w:tr>
      <w:tr w14:paraId="522E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rPr>
        <w:tc>
          <w:tcPr>
            <w:tcW w:w="8587" w:type="dxa"/>
            <w:gridSpan w:val="10"/>
            <w:tcBorders>
              <w:tl2br w:val="nil"/>
              <w:tr2bl w:val="nil"/>
            </w:tcBorders>
            <w:shd w:val="clear" w:color="auto" w:fill="auto"/>
            <w:tcMar>
              <w:top w:w="96" w:type="dxa"/>
              <w:left w:w="96" w:type="dxa"/>
              <w:bottom w:w="96" w:type="dxa"/>
              <w:right w:w="96" w:type="dxa"/>
            </w:tcMar>
            <w:vAlign w:val="top"/>
          </w:tcPr>
          <w:p w14:paraId="42D8E850">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b/>
                <w:bCs/>
                <w:kern w:val="0"/>
                <w:sz w:val="21"/>
                <w:szCs w:val="21"/>
                <w:highlight w:val="none"/>
                <w:lang w:val="en-US" w:eastAsia="zh-CN" w:bidi="ar"/>
              </w:rPr>
              <w:t>三、外墙外保温实物核实情况</w:t>
            </w:r>
          </w:p>
        </w:tc>
      </w:tr>
      <w:tr w14:paraId="5ECD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8587" w:type="dxa"/>
            <w:gridSpan w:val="10"/>
            <w:tcBorders>
              <w:tl2br w:val="nil"/>
              <w:tr2bl w:val="nil"/>
            </w:tcBorders>
            <w:shd w:val="clear" w:color="auto" w:fill="auto"/>
            <w:tcMar>
              <w:top w:w="96" w:type="dxa"/>
              <w:left w:w="96" w:type="dxa"/>
              <w:bottom w:w="96" w:type="dxa"/>
              <w:right w:w="96" w:type="dxa"/>
            </w:tcMar>
            <w:vAlign w:val="top"/>
          </w:tcPr>
          <w:p w14:paraId="314FAA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工程实物与工程资料明确的</w:t>
            </w:r>
            <w:r>
              <w:rPr>
                <w:rFonts w:hint="default" w:ascii="Times New Roman" w:hAnsi="Times New Roman" w:eastAsia="宋体" w:cs="Times New Roman"/>
                <w:kern w:val="0"/>
                <w:sz w:val="21"/>
                <w:szCs w:val="21"/>
                <w:highlight w:val="none"/>
                <w:lang w:val="en-US" w:eastAsia="zh-CN" w:bidi="ar"/>
              </w:rPr>
              <w:t>外</w:t>
            </w:r>
            <w:r>
              <w:rPr>
                <w:rFonts w:hint="eastAsia" w:ascii="Times New Roman" w:hAnsi="Times New Roman" w:eastAsia="宋体" w:cs="Times New Roman"/>
                <w:kern w:val="0"/>
                <w:sz w:val="21"/>
                <w:szCs w:val="21"/>
                <w:highlight w:val="none"/>
                <w:lang w:val="en-US" w:eastAsia="zh-CN" w:bidi="ar"/>
              </w:rPr>
              <w:t>墙外保温系统及</w:t>
            </w:r>
            <w:r>
              <w:rPr>
                <w:rFonts w:hint="default" w:ascii="Times New Roman" w:hAnsi="Times New Roman" w:eastAsia="宋体" w:cs="Times New Roman"/>
                <w:kern w:val="0"/>
                <w:sz w:val="21"/>
                <w:szCs w:val="21"/>
                <w:highlight w:val="none"/>
                <w:lang w:val="en-US" w:eastAsia="zh-CN" w:bidi="ar"/>
              </w:rPr>
              <w:t>饰面层</w:t>
            </w:r>
            <w:r>
              <w:rPr>
                <w:rFonts w:hint="eastAsia" w:ascii="Times New Roman" w:hAnsi="Times New Roman" w:eastAsia="宋体" w:cs="Times New Roman"/>
                <w:kern w:val="0"/>
                <w:sz w:val="21"/>
                <w:szCs w:val="21"/>
                <w:highlight w:val="none"/>
                <w:lang w:val="en-US" w:eastAsia="zh-CN" w:bidi="ar"/>
              </w:rPr>
              <w:t>（保护层）</w:t>
            </w:r>
            <w:r>
              <w:rPr>
                <w:rFonts w:hint="default" w:ascii="Times New Roman" w:hAnsi="Times New Roman" w:eastAsia="宋体" w:cs="Times New Roman"/>
                <w:kern w:val="0"/>
                <w:sz w:val="21"/>
                <w:szCs w:val="21"/>
                <w:highlight w:val="none"/>
                <w:lang w:val="en-US" w:eastAsia="zh-CN" w:bidi="ar"/>
              </w:rPr>
              <w:t>类型</w:t>
            </w:r>
            <w:r>
              <w:rPr>
                <w:rFonts w:hint="eastAsia" w:ascii="Times New Roman" w:hAnsi="Times New Roman" w:eastAsia="宋体" w:cs="Times New Roman"/>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保温材料</w:t>
            </w:r>
            <w:r>
              <w:rPr>
                <w:rFonts w:hint="eastAsia" w:ascii="Times New Roman" w:hAnsi="Times New Roman" w:eastAsia="宋体" w:cs="Times New Roman"/>
                <w:kern w:val="0"/>
                <w:sz w:val="21"/>
                <w:szCs w:val="21"/>
                <w:highlight w:val="none"/>
                <w:lang w:val="en-US" w:eastAsia="zh-CN" w:bidi="ar"/>
              </w:rPr>
              <w:t>种类</w:t>
            </w:r>
          </w:p>
          <w:p w14:paraId="75A3A3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CIDFont" w:hAnsi="CIDFont" w:eastAsia="CIDFont" w:cs="CIDFont"/>
                <w:color w:val="000000"/>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eastAsia="zh-CN" w:bidi="ar"/>
              </w:rPr>
              <w:t>□</w:t>
            </w:r>
            <w:r>
              <w:rPr>
                <w:rFonts w:hint="eastAsia" w:ascii="CIDFont" w:hAnsi="CIDFont" w:eastAsia="CIDFont" w:cs="CIDFont"/>
                <w:color w:val="000000"/>
                <w:kern w:val="0"/>
                <w:sz w:val="21"/>
                <w:szCs w:val="21"/>
                <w:highlight w:val="none"/>
                <w:lang w:val="en-US" w:eastAsia="zh-CN" w:bidi="ar"/>
              </w:rPr>
              <w:t>一致</w:t>
            </w:r>
            <w:r>
              <w:rPr>
                <w:rFonts w:hint="default" w:ascii="CIDFont" w:hAnsi="CIDFont" w:eastAsia="CIDFont" w:cs="CIDFont"/>
                <w:color w:val="000000"/>
                <w:kern w:val="0"/>
                <w:sz w:val="21"/>
                <w:szCs w:val="21"/>
                <w:highlight w:val="none"/>
                <w:lang w:val="en-US" w:eastAsia="zh-CN" w:bidi="ar"/>
              </w:rPr>
              <w:t>,</w:t>
            </w:r>
            <w:r>
              <w:rPr>
                <w:rFonts w:hint="eastAsia" w:ascii="Times New Roman" w:hAnsi="Times New Roman" w:eastAsia="宋体" w:cs="Times New Roman"/>
                <w:color w:val="auto"/>
                <w:kern w:val="0"/>
                <w:sz w:val="21"/>
                <w:szCs w:val="21"/>
                <w:highlight w:val="none"/>
                <w:lang w:eastAsia="zh-CN" w:bidi="ar"/>
              </w:rPr>
              <w:t>□</w:t>
            </w:r>
            <w:r>
              <w:rPr>
                <w:rFonts w:hint="eastAsia" w:ascii="CIDFont" w:hAnsi="CIDFont" w:eastAsia="CIDFont" w:cs="CIDFont"/>
                <w:color w:val="000000"/>
                <w:kern w:val="0"/>
                <w:sz w:val="21"/>
                <w:szCs w:val="21"/>
                <w:highlight w:val="none"/>
                <w:lang w:val="en-US" w:eastAsia="zh-CN" w:bidi="ar"/>
              </w:rPr>
              <w:t>不一致：</w:t>
            </w:r>
          </w:p>
          <w:p w14:paraId="36012C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CIDFont" w:hAnsi="CIDFont" w:eastAsia="CIDFont" w:cs="CIDFont"/>
                <w:color w:val="000000"/>
                <w:kern w:val="0"/>
                <w:sz w:val="21"/>
                <w:szCs w:val="21"/>
                <w:highlight w:val="none"/>
                <w:lang w:val="en-US" w:eastAsia="zh-CN" w:bidi="ar"/>
              </w:rPr>
            </w:pPr>
          </w:p>
          <w:p w14:paraId="7354C3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1"/>
                <w:szCs w:val="21"/>
                <w:highlight w:val="none"/>
                <w:lang w:bidi="ar"/>
              </w:rPr>
            </w:pPr>
          </w:p>
        </w:tc>
      </w:tr>
      <w:tr w14:paraId="4195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exact"/>
        </w:trPr>
        <w:tc>
          <w:tcPr>
            <w:tcW w:w="8587" w:type="dxa"/>
            <w:gridSpan w:val="10"/>
            <w:tcBorders>
              <w:tl2br w:val="nil"/>
              <w:tr2bl w:val="nil"/>
            </w:tcBorders>
            <w:shd w:val="clear" w:color="auto" w:fill="auto"/>
            <w:tcMar>
              <w:top w:w="96" w:type="dxa"/>
              <w:left w:w="96" w:type="dxa"/>
              <w:bottom w:w="96" w:type="dxa"/>
              <w:right w:w="96" w:type="dxa"/>
            </w:tcMar>
            <w:vAlign w:val="top"/>
          </w:tcPr>
          <w:p w14:paraId="05BD5470">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b/>
                <w:bCs/>
                <w:kern w:val="0"/>
                <w:sz w:val="21"/>
                <w:szCs w:val="21"/>
                <w:highlight w:val="none"/>
                <w:lang w:val="en-US" w:eastAsia="zh-CN" w:bidi="ar"/>
              </w:rPr>
              <w:t>四</w:t>
            </w:r>
            <w:r>
              <w:rPr>
                <w:rFonts w:hint="default" w:ascii="Times New Roman" w:hAnsi="Times New Roman" w:eastAsia="宋体" w:cs="Times New Roman"/>
                <w:b/>
                <w:bCs/>
                <w:kern w:val="0"/>
                <w:sz w:val="21"/>
                <w:szCs w:val="21"/>
                <w:highlight w:val="none"/>
                <w:lang w:val="en-US" w:eastAsia="zh-CN" w:bidi="ar"/>
              </w:rPr>
              <w:t>、排查</w:t>
            </w:r>
            <w:r>
              <w:rPr>
                <w:rFonts w:hint="eastAsia" w:ascii="Times New Roman" w:hAnsi="Times New Roman" w:eastAsia="宋体" w:cs="Times New Roman"/>
                <w:b/>
                <w:bCs/>
                <w:color w:val="auto"/>
                <w:kern w:val="0"/>
                <w:sz w:val="21"/>
                <w:szCs w:val="21"/>
                <w:highlight w:val="none"/>
                <w:lang w:val="en-US" w:eastAsia="zh-CN" w:bidi="ar"/>
              </w:rPr>
              <w:t>记录</w:t>
            </w:r>
          </w:p>
        </w:tc>
      </w:tr>
      <w:tr w14:paraId="6A8D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3" w:hRule="atLeast"/>
        </w:trPr>
        <w:tc>
          <w:tcPr>
            <w:tcW w:w="1775" w:type="dxa"/>
            <w:tcBorders>
              <w:tl2br w:val="nil"/>
              <w:tr2bl w:val="nil"/>
            </w:tcBorders>
            <w:shd w:val="clear" w:color="auto" w:fill="auto"/>
            <w:tcMar>
              <w:top w:w="96" w:type="dxa"/>
              <w:left w:w="96" w:type="dxa"/>
              <w:bottom w:w="96" w:type="dxa"/>
              <w:right w:w="96" w:type="dxa"/>
            </w:tcMar>
            <w:vAlign w:val="center"/>
          </w:tcPr>
          <w:p w14:paraId="675E5AEB">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排查日期</w:t>
            </w:r>
          </w:p>
        </w:tc>
        <w:tc>
          <w:tcPr>
            <w:tcW w:w="2755" w:type="dxa"/>
            <w:gridSpan w:val="4"/>
            <w:tcBorders>
              <w:tl2br w:val="nil"/>
              <w:tr2bl w:val="nil"/>
            </w:tcBorders>
            <w:shd w:val="clear" w:color="auto" w:fill="auto"/>
            <w:tcMar>
              <w:top w:w="96" w:type="dxa"/>
              <w:left w:w="96" w:type="dxa"/>
              <w:bottom w:w="96" w:type="dxa"/>
              <w:right w:w="96" w:type="dxa"/>
            </w:tcMar>
            <w:vAlign w:val="center"/>
          </w:tcPr>
          <w:p w14:paraId="1B7E43EE">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排查位置</w:t>
            </w:r>
          </w:p>
        </w:tc>
        <w:tc>
          <w:tcPr>
            <w:tcW w:w="4057" w:type="dxa"/>
            <w:gridSpan w:val="5"/>
            <w:tcBorders>
              <w:tl2br w:val="nil"/>
              <w:tr2bl w:val="nil"/>
            </w:tcBorders>
            <w:shd w:val="clear" w:color="auto" w:fill="auto"/>
            <w:tcMar>
              <w:top w:w="96" w:type="dxa"/>
              <w:left w:w="96" w:type="dxa"/>
              <w:bottom w:w="96" w:type="dxa"/>
              <w:right w:w="96" w:type="dxa"/>
            </w:tcMar>
            <w:vAlign w:val="center"/>
          </w:tcPr>
          <w:p w14:paraId="35A21749">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val="en-US" w:bidi="ar"/>
                <w14:textFill>
                  <w14:solidFill>
                    <w14:schemeClr w14:val="tx1"/>
                  </w14:solidFill>
                </w14:textFill>
              </w:rPr>
            </w:pPr>
            <w:r>
              <w:rPr>
                <w:rFonts w:hint="default" w:ascii="Times New Roman" w:hAnsi="Times New Roman" w:eastAsia="宋体"/>
                <w:color w:val="000000" w:themeColor="text1"/>
                <w:kern w:val="0"/>
                <w:sz w:val="21"/>
                <w:szCs w:val="21"/>
                <w:highlight w:val="none"/>
                <w:lang w:bidi="ar"/>
                <w14:textFill>
                  <w14:solidFill>
                    <w14:schemeClr w14:val="tx1"/>
                  </w14:solidFill>
                </w14:textFill>
              </w:rPr>
              <w:t>现场</w:t>
            </w:r>
            <w:r>
              <w:rPr>
                <w:rFonts w:hint="eastAsia" w:ascii="Times New Roman" w:hAnsi="Times New Roman" w:eastAsia="宋体"/>
                <w:color w:val="000000" w:themeColor="text1"/>
                <w:kern w:val="0"/>
                <w:sz w:val="21"/>
                <w:szCs w:val="21"/>
                <w:highlight w:val="none"/>
                <w:lang w:eastAsia="zh-CN" w:bidi="ar"/>
                <w14:textFill>
                  <w14:solidFill>
                    <w14:schemeClr w14:val="tx1"/>
                  </w14:solidFill>
                </w14:textFill>
              </w:rPr>
              <w:t>测试</w:t>
            </w:r>
            <w:r>
              <w:rPr>
                <w:rFonts w:hint="default" w:ascii="Times New Roman" w:hAnsi="Times New Roman" w:eastAsia="宋体"/>
                <w:color w:val="000000" w:themeColor="text1"/>
                <w:kern w:val="0"/>
                <w:sz w:val="21"/>
                <w:szCs w:val="21"/>
                <w:highlight w:val="none"/>
                <w:lang w:bidi="ar"/>
                <w14:textFill>
                  <w14:solidFill>
                    <w14:schemeClr w14:val="tx1"/>
                  </w14:solidFill>
                </w14:textFill>
              </w:rPr>
              <w:t>判定</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的</w:t>
            </w: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燃烧性能</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等级</w:t>
            </w:r>
          </w:p>
        </w:tc>
      </w:tr>
      <w:tr w14:paraId="552B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5" w:hRule="atLeast"/>
        </w:trPr>
        <w:tc>
          <w:tcPr>
            <w:tcW w:w="1775" w:type="dxa"/>
            <w:tcBorders>
              <w:tl2br w:val="nil"/>
              <w:tr2bl w:val="nil"/>
            </w:tcBorders>
            <w:shd w:val="clear" w:color="auto" w:fill="auto"/>
            <w:tcMar>
              <w:top w:w="96" w:type="dxa"/>
              <w:left w:w="96" w:type="dxa"/>
              <w:bottom w:w="96" w:type="dxa"/>
              <w:right w:w="96" w:type="dxa"/>
            </w:tcMar>
            <w:vAlign w:val="center"/>
          </w:tcPr>
          <w:p w14:paraId="77CDBECA">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例：2026年3月16日</w:t>
            </w:r>
          </w:p>
        </w:tc>
        <w:tc>
          <w:tcPr>
            <w:tcW w:w="2755" w:type="dxa"/>
            <w:gridSpan w:val="4"/>
            <w:tcBorders>
              <w:tl2br w:val="nil"/>
              <w:tr2bl w:val="nil"/>
            </w:tcBorders>
            <w:shd w:val="clear" w:color="auto" w:fill="auto"/>
            <w:tcMar>
              <w:top w:w="96" w:type="dxa"/>
              <w:left w:w="96" w:type="dxa"/>
              <w:bottom w:w="96" w:type="dxa"/>
              <w:right w:w="96" w:type="dxa"/>
            </w:tcMar>
            <w:vAlign w:val="center"/>
          </w:tcPr>
          <w:p w14:paraId="7CD29C91">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例：3栋1楼东北方向外墙</w:t>
            </w:r>
          </w:p>
        </w:tc>
        <w:tc>
          <w:tcPr>
            <w:tcW w:w="4057" w:type="dxa"/>
            <w:gridSpan w:val="5"/>
            <w:tcBorders>
              <w:tl2br w:val="nil"/>
              <w:tr2bl w:val="nil"/>
            </w:tcBorders>
            <w:shd w:val="clear" w:color="auto" w:fill="auto"/>
            <w:tcMar>
              <w:top w:w="96" w:type="dxa"/>
              <w:left w:w="96" w:type="dxa"/>
              <w:bottom w:w="96" w:type="dxa"/>
              <w:right w:w="96" w:type="dxa"/>
            </w:tcMar>
            <w:vAlign w:val="center"/>
          </w:tcPr>
          <w:p w14:paraId="30BB429E">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例：</w:t>
            </w:r>
            <w:r>
              <w:rPr>
                <w:rFonts w:hint="default" w:ascii="Times New Roman" w:hAnsi="Times New Roman" w:eastAsia="宋体" w:cs="Times New Roman"/>
                <w:color w:val="auto"/>
                <w:kern w:val="0"/>
                <w:sz w:val="21"/>
                <w:szCs w:val="21"/>
                <w:highlight w:val="none"/>
                <w:lang w:val="en-US" w:eastAsia="zh-CN" w:bidi="ar"/>
              </w:rPr>
              <w:t>保温装饰复合板</w:t>
            </w:r>
            <w:r>
              <w:rPr>
                <w:rFonts w:hint="eastAsia" w:ascii="Times New Roman" w:hAnsi="Times New Roman" w:eastAsia="宋体" w:cs="Times New Roman"/>
                <w:color w:val="auto"/>
                <w:kern w:val="0"/>
                <w:sz w:val="21"/>
                <w:szCs w:val="21"/>
                <w:highlight w:val="none"/>
                <w:lang w:val="en-US" w:eastAsia="zh-CN" w:bidi="ar"/>
              </w:rPr>
              <w:t>，XPS</w:t>
            </w:r>
            <w:r>
              <w:rPr>
                <w:rFonts w:hint="default" w:ascii="Times New Roman" w:hAnsi="Times New Roman" w:eastAsia="宋体" w:cs="Times New Roman"/>
                <w:color w:val="auto"/>
                <w:kern w:val="0"/>
                <w:sz w:val="21"/>
                <w:szCs w:val="21"/>
                <w:highlight w:val="none"/>
                <w:lang w:val="en-US" w:eastAsia="zh-CN" w:bidi="ar"/>
              </w:rPr>
              <w:t>板</w:t>
            </w:r>
            <w:r>
              <w:rPr>
                <w:rFonts w:hint="eastAsia" w:ascii="Times New Roman" w:hAnsi="Times New Roman" w:eastAsia="宋体" w:cs="Times New Roman"/>
                <w:color w:val="auto"/>
                <w:kern w:val="0"/>
                <w:sz w:val="21"/>
                <w:szCs w:val="21"/>
                <w:highlight w:val="none"/>
                <w:lang w:val="en-US" w:eastAsia="zh-CN" w:bidi="ar"/>
              </w:rPr>
              <w:t>，</w:t>
            </w: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B1级（详情见照片1、2、3）</w:t>
            </w:r>
          </w:p>
        </w:tc>
      </w:tr>
      <w:tr w14:paraId="3428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4" w:hRule="atLeast"/>
        </w:trPr>
        <w:tc>
          <w:tcPr>
            <w:tcW w:w="1775" w:type="dxa"/>
            <w:tcBorders>
              <w:tl2br w:val="nil"/>
              <w:tr2bl w:val="nil"/>
            </w:tcBorders>
            <w:shd w:val="clear" w:color="auto" w:fill="auto"/>
            <w:tcMar>
              <w:top w:w="96" w:type="dxa"/>
              <w:left w:w="96" w:type="dxa"/>
              <w:bottom w:w="96" w:type="dxa"/>
              <w:right w:w="96" w:type="dxa"/>
            </w:tcMar>
            <w:vAlign w:val="center"/>
          </w:tcPr>
          <w:p w14:paraId="1CEA1592">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755" w:type="dxa"/>
            <w:gridSpan w:val="4"/>
            <w:tcBorders>
              <w:tl2br w:val="nil"/>
              <w:tr2bl w:val="nil"/>
            </w:tcBorders>
            <w:shd w:val="clear" w:color="auto" w:fill="auto"/>
            <w:tcMar>
              <w:top w:w="96" w:type="dxa"/>
              <w:left w:w="96" w:type="dxa"/>
              <w:bottom w:w="96" w:type="dxa"/>
              <w:right w:w="96" w:type="dxa"/>
            </w:tcMar>
            <w:vAlign w:val="center"/>
          </w:tcPr>
          <w:p w14:paraId="1F3E1E7B">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eastAsia" w:ascii="Times New Roman" w:hAnsi="Times New Roman" w:eastAsia="宋体" w:cs="Times New Roman"/>
                <w:color w:val="000000" w:themeColor="text1"/>
                <w:kern w:val="0"/>
                <w:sz w:val="21"/>
                <w:szCs w:val="21"/>
                <w:highlight w:val="none"/>
                <w:lang w:eastAsia="zh-CN" w:bidi="ar"/>
                <w14:textFill>
                  <w14:solidFill>
                    <w14:schemeClr w14:val="tx1"/>
                  </w14:solidFill>
                </w14:textFill>
              </w:rPr>
            </w:pPr>
          </w:p>
        </w:tc>
        <w:tc>
          <w:tcPr>
            <w:tcW w:w="4057" w:type="dxa"/>
            <w:gridSpan w:val="5"/>
            <w:tcBorders>
              <w:tl2br w:val="nil"/>
              <w:tr2bl w:val="nil"/>
            </w:tcBorders>
            <w:shd w:val="clear" w:color="auto" w:fill="auto"/>
            <w:tcMar>
              <w:top w:w="96" w:type="dxa"/>
              <w:left w:w="96" w:type="dxa"/>
              <w:bottom w:w="96" w:type="dxa"/>
              <w:right w:w="96" w:type="dxa"/>
            </w:tcMar>
            <w:vAlign w:val="center"/>
          </w:tcPr>
          <w:p w14:paraId="5660B409">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r>
      <w:tr w14:paraId="3426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1775" w:type="dxa"/>
            <w:tcBorders>
              <w:tl2br w:val="nil"/>
              <w:tr2bl w:val="nil"/>
            </w:tcBorders>
            <w:shd w:val="clear" w:color="auto" w:fill="auto"/>
            <w:tcMar>
              <w:top w:w="96" w:type="dxa"/>
              <w:left w:w="96" w:type="dxa"/>
              <w:bottom w:w="96" w:type="dxa"/>
              <w:right w:w="96" w:type="dxa"/>
            </w:tcMar>
            <w:vAlign w:val="center"/>
          </w:tcPr>
          <w:p w14:paraId="46865057">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755" w:type="dxa"/>
            <w:gridSpan w:val="4"/>
            <w:tcBorders>
              <w:tl2br w:val="nil"/>
              <w:tr2bl w:val="nil"/>
            </w:tcBorders>
            <w:shd w:val="clear" w:color="auto" w:fill="auto"/>
            <w:tcMar>
              <w:top w:w="96" w:type="dxa"/>
              <w:left w:w="96" w:type="dxa"/>
              <w:bottom w:w="96" w:type="dxa"/>
              <w:right w:w="96" w:type="dxa"/>
            </w:tcMar>
            <w:vAlign w:val="center"/>
          </w:tcPr>
          <w:p w14:paraId="4004A92B">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eastAsia" w:ascii="Times New Roman" w:hAnsi="Times New Roman" w:eastAsia="宋体" w:cs="Times New Roman"/>
                <w:color w:val="000000" w:themeColor="text1"/>
                <w:kern w:val="0"/>
                <w:sz w:val="21"/>
                <w:szCs w:val="21"/>
                <w:highlight w:val="none"/>
                <w:lang w:eastAsia="zh-CN" w:bidi="ar"/>
                <w14:textFill>
                  <w14:solidFill>
                    <w14:schemeClr w14:val="tx1"/>
                  </w14:solidFill>
                </w14:textFill>
              </w:rPr>
            </w:pPr>
          </w:p>
        </w:tc>
        <w:tc>
          <w:tcPr>
            <w:tcW w:w="4057" w:type="dxa"/>
            <w:gridSpan w:val="5"/>
            <w:tcBorders>
              <w:tl2br w:val="nil"/>
              <w:tr2bl w:val="nil"/>
            </w:tcBorders>
            <w:shd w:val="clear" w:color="auto" w:fill="auto"/>
            <w:tcMar>
              <w:top w:w="96" w:type="dxa"/>
              <w:left w:w="96" w:type="dxa"/>
              <w:bottom w:w="96" w:type="dxa"/>
              <w:right w:w="96" w:type="dxa"/>
            </w:tcMar>
            <w:vAlign w:val="center"/>
          </w:tcPr>
          <w:p w14:paraId="3A577ABA">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r>
      <w:tr w14:paraId="7CCE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2" w:hRule="atLeast"/>
        </w:trPr>
        <w:tc>
          <w:tcPr>
            <w:tcW w:w="8587" w:type="dxa"/>
            <w:gridSpan w:val="10"/>
            <w:tcBorders>
              <w:tl2br w:val="nil"/>
              <w:tr2bl w:val="nil"/>
            </w:tcBorders>
            <w:shd w:val="clear" w:color="auto" w:fill="auto"/>
            <w:tcMar>
              <w:top w:w="96" w:type="dxa"/>
              <w:left w:w="96" w:type="dxa"/>
              <w:bottom w:w="96" w:type="dxa"/>
              <w:right w:w="96" w:type="dxa"/>
            </w:tcMar>
            <w:vAlign w:val="top"/>
          </w:tcPr>
          <w:p w14:paraId="5FF72962">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bidi="ar"/>
              </w:rPr>
            </w:pPr>
            <w:r>
              <w:rPr>
                <w:rFonts w:hint="eastAsia" w:ascii="Times New Roman" w:hAnsi="Times New Roman" w:eastAsia="宋体" w:cs="Times New Roman"/>
                <w:b/>
                <w:bCs/>
                <w:kern w:val="0"/>
                <w:sz w:val="21"/>
                <w:szCs w:val="21"/>
                <w:highlight w:val="none"/>
                <w:lang w:val="en-US" w:eastAsia="zh-CN" w:bidi="ar"/>
              </w:rPr>
              <w:t>五、</w:t>
            </w:r>
            <w:r>
              <w:rPr>
                <w:rFonts w:hint="default" w:ascii="Times New Roman" w:hAnsi="Times New Roman" w:eastAsia="宋体" w:cs="Times New Roman"/>
                <w:b/>
                <w:bCs/>
                <w:kern w:val="0"/>
                <w:sz w:val="21"/>
                <w:szCs w:val="21"/>
                <w:highlight w:val="none"/>
                <w:lang w:val="en-US" w:eastAsia="zh-CN" w:bidi="ar"/>
              </w:rPr>
              <w:t>排查结论</w:t>
            </w:r>
          </w:p>
        </w:tc>
      </w:tr>
      <w:tr w14:paraId="2811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2" w:hRule="atLeast"/>
        </w:trPr>
        <w:tc>
          <w:tcPr>
            <w:tcW w:w="8587" w:type="dxa"/>
            <w:gridSpan w:val="10"/>
            <w:tcBorders>
              <w:tl2br w:val="nil"/>
              <w:tr2bl w:val="nil"/>
            </w:tcBorders>
            <w:shd w:val="clear" w:color="auto" w:fill="auto"/>
            <w:tcMar>
              <w:top w:w="96" w:type="dxa"/>
              <w:left w:w="96" w:type="dxa"/>
              <w:bottom w:w="96" w:type="dxa"/>
              <w:right w:w="96" w:type="dxa"/>
            </w:tcMar>
            <w:vAlign w:val="top"/>
          </w:tcPr>
          <w:p w14:paraId="59B448E3">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420" w:firstLineChars="200"/>
              <w:jc w:val="both"/>
              <w:textAlignment w:val="auto"/>
              <w:outlineLvl w:val="9"/>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经排查</w:t>
            </w:r>
            <w:r>
              <w:rPr>
                <w:rFonts w:hint="eastAsia" w:ascii="Times New Roman" w:hAnsi="Times New Roman" w:eastAsia="宋体" w:cs="Times New Roman"/>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该建筑外墙外保温系统</w:t>
            </w:r>
            <w:r>
              <w:rPr>
                <w:rFonts w:hint="eastAsia" w:ascii="Times New Roman" w:hAnsi="Times New Roman" w:eastAsia="宋体" w:cs="Times New Roman"/>
                <w:kern w:val="0"/>
                <w:sz w:val="21"/>
                <w:szCs w:val="21"/>
                <w:highlight w:val="none"/>
                <w:lang w:val="en-US" w:eastAsia="zh-CN" w:bidi="ar"/>
              </w:rPr>
              <w:t>：</w:t>
            </w:r>
          </w:p>
          <w:p w14:paraId="7EFE38C0">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420" w:firstLineChars="200"/>
              <w:jc w:val="both"/>
              <w:textAlignment w:val="auto"/>
              <w:outlineLvl w:val="9"/>
              <w:rPr>
                <w:rFonts w:hint="eastAsia"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1.□信息核查判定，工程资料齐全，工程实物与工程资料相符，且外墙外保温系统无大面积（单面墙面积占比5%以上）开裂、空鼓、脱落等缺陷，</w:t>
            </w:r>
            <w:r>
              <w:rPr>
                <w:rFonts w:hint="default" w:ascii="Times New Roman" w:hAnsi="Times New Roman" w:eastAsia="宋体" w:cs="Times New Roman"/>
                <w:kern w:val="0"/>
                <w:sz w:val="21"/>
                <w:szCs w:val="21"/>
                <w:highlight w:val="none"/>
                <w:lang w:val="en-US" w:eastAsia="zh-CN" w:bidi="ar"/>
              </w:rPr>
              <w:t>未发现</w:t>
            </w:r>
            <w:r>
              <w:rPr>
                <w:rFonts w:hint="eastAsia" w:ascii="Times New Roman" w:hAnsi="Times New Roman" w:eastAsia="宋体" w:cs="Times New Roman"/>
                <w:kern w:val="0"/>
                <w:sz w:val="21"/>
                <w:szCs w:val="21"/>
                <w:highlight w:val="none"/>
                <w:lang w:val="en-US" w:eastAsia="zh-CN" w:bidi="ar"/>
              </w:rPr>
              <w:t>防火</w:t>
            </w:r>
            <w:r>
              <w:rPr>
                <w:rFonts w:hint="default" w:ascii="Times New Roman" w:hAnsi="Times New Roman" w:eastAsia="宋体" w:cs="Times New Roman"/>
                <w:kern w:val="0"/>
                <w:sz w:val="21"/>
                <w:szCs w:val="21"/>
                <w:highlight w:val="none"/>
                <w:lang w:val="en-US" w:eastAsia="zh-CN" w:bidi="ar"/>
              </w:rPr>
              <w:t>安全隐患。</w:t>
            </w:r>
          </w:p>
          <w:p w14:paraId="61B157B1">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420" w:firstLineChars="200"/>
              <w:jc w:val="both"/>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2.□现场测试判定，燃烧等级符合□设计文件□现行设计标准（无设计文件的），□存在大面积开裂、空鼓、脱落等缺陷但测试判定为A级，</w:t>
            </w:r>
            <w:r>
              <w:rPr>
                <w:rFonts w:hint="default" w:ascii="Times New Roman" w:hAnsi="Times New Roman" w:eastAsia="宋体" w:cs="Times New Roman"/>
                <w:kern w:val="0"/>
                <w:sz w:val="21"/>
                <w:szCs w:val="21"/>
                <w:highlight w:val="none"/>
                <w:lang w:val="en-US" w:eastAsia="zh-CN" w:bidi="ar"/>
              </w:rPr>
              <w:t>未发现</w:t>
            </w:r>
            <w:r>
              <w:rPr>
                <w:rFonts w:hint="eastAsia" w:ascii="Times New Roman" w:hAnsi="Times New Roman" w:eastAsia="宋体" w:cs="Times New Roman"/>
                <w:kern w:val="0"/>
                <w:sz w:val="21"/>
                <w:szCs w:val="21"/>
                <w:highlight w:val="none"/>
                <w:lang w:val="en-US" w:eastAsia="zh-CN" w:bidi="ar"/>
              </w:rPr>
              <w:t>防火</w:t>
            </w:r>
            <w:r>
              <w:rPr>
                <w:rFonts w:hint="default" w:ascii="Times New Roman" w:hAnsi="Times New Roman" w:eastAsia="宋体" w:cs="Times New Roman"/>
                <w:kern w:val="0"/>
                <w:sz w:val="21"/>
                <w:szCs w:val="21"/>
                <w:highlight w:val="none"/>
                <w:lang w:val="en-US" w:eastAsia="zh-CN" w:bidi="ar"/>
              </w:rPr>
              <w:t>安全隐患。</w:t>
            </w:r>
          </w:p>
          <w:p w14:paraId="3ED691DA">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420" w:firstLineChars="200"/>
              <w:jc w:val="both"/>
              <w:textAlignment w:val="auto"/>
              <w:outlineLvl w:val="9"/>
              <w:rPr>
                <w:rFonts w:hint="eastAsia"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3.□现场测试判定，燃烧等级不符合□设计文件□现行设计标准（无设计文件的），□非A级且存在大面积开裂、空鼓、脱落等缺陷。可能存在防火安全隐患，需取样检测并进行防火安全评估</w:t>
            </w:r>
            <w:r>
              <w:rPr>
                <w:rFonts w:hint="default" w:ascii="Times New Roman" w:hAnsi="Times New Roman" w:eastAsia="宋体" w:cs="Times New Roman"/>
                <w:kern w:val="0"/>
                <w:sz w:val="21"/>
                <w:szCs w:val="21"/>
                <w:highlight w:val="none"/>
                <w:lang w:val="en-US" w:eastAsia="zh-CN" w:bidi="ar"/>
              </w:rPr>
              <w:t>。</w:t>
            </w:r>
          </w:p>
        </w:tc>
      </w:tr>
      <w:tr w14:paraId="36C5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18" w:hRule="exact"/>
        </w:trPr>
        <w:tc>
          <w:tcPr>
            <w:tcW w:w="2206" w:type="dxa"/>
            <w:gridSpan w:val="2"/>
            <w:tcBorders>
              <w:tl2br w:val="nil"/>
              <w:tr2bl w:val="nil"/>
            </w:tcBorders>
            <w:shd w:val="clear" w:color="auto" w:fill="auto"/>
            <w:tcMar>
              <w:top w:w="96" w:type="dxa"/>
              <w:left w:w="96" w:type="dxa"/>
              <w:bottom w:w="96" w:type="dxa"/>
              <w:right w:w="96" w:type="dxa"/>
            </w:tcMar>
            <w:vAlign w:val="center"/>
          </w:tcPr>
          <w:p w14:paraId="57AEA084">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排查人员</w:t>
            </w:r>
            <w:r>
              <w:rPr>
                <w:rFonts w:hint="default" w:ascii="Times New Roman" w:hAnsi="Times New Roman" w:eastAsia="宋体" w:cs="Times New Roman"/>
                <w:color w:val="auto"/>
                <w:kern w:val="0"/>
                <w:sz w:val="21"/>
                <w:szCs w:val="21"/>
                <w:highlight w:val="none"/>
                <w:lang w:val="en-US" w:eastAsia="zh-CN" w:bidi="ar"/>
              </w:rPr>
              <w:t>签字</w:t>
            </w:r>
          </w:p>
        </w:tc>
        <w:tc>
          <w:tcPr>
            <w:tcW w:w="2240" w:type="dxa"/>
            <w:gridSpan w:val="2"/>
            <w:tcBorders>
              <w:tl2br w:val="nil"/>
              <w:tr2bl w:val="nil"/>
            </w:tcBorders>
            <w:shd w:val="clear" w:color="auto" w:fill="auto"/>
            <w:tcMar>
              <w:top w:w="96" w:type="dxa"/>
              <w:left w:w="96" w:type="dxa"/>
              <w:bottom w:w="96" w:type="dxa"/>
              <w:right w:w="96" w:type="dxa"/>
            </w:tcMar>
            <w:vAlign w:val="center"/>
          </w:tcPr>
          <w:p w14:paraId="34B5B99B">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bidi="ar"/>
              </w:rPr>
            </w:pPr>
          </w:p>
        </w:tc>
        <w:tc>
          <w:tcPr>
            <w:tcW w:w="1719" w:type="dxa"/>
            <w:gridSpan w:val="3"/>
            <w:tcBorders>
              <w:tl2br w:val="nil"/>
              <w:tr2bl w:val="nil"/>
            </w:tcBorders>
            <w:shd w:val="clear" w:color="auto" w:fill="auto"/>
            <w:tcMar>
              <w:top w:w="96" w:type="dxa"/>
              <w:left w:w="96" w:type="dxa"/>
              <w:bottom w:w="96" w:type="dxa"/>
              <w:right w:w="96" w:type="dxa"/>
            </w:tcMar>
            <w:vAlign w:val="center"/>
          </w:tcPr>
          <w:p w14:paraId="52428EEC">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eastAsia" w:ascii="Times New Roman" w:hAnsi="Times New Roman" w:eastAsia="宋体" w:cs="Times New Roman"/>
                <w:kern w:val="0"/>
                <w:sz w:val="21"/>
                <w:szCs w:val="21"/>
                <w:highlight w:val="none"/>
                <w:lang w:eastAsia="zh-CN" w:bidi="ar"/>
              </w:rPr>
            </w:pPr>
            <w:r>
              <w:rPr>
                <w:rFonts w:hint="eastAsia" w:ascii="Times New Roman" w:hAnsi="Times New Roman" w:eastAsia="宋体" w:cs="Times New Roman"/>
                <w:kern w:val="0"/>
                <w:sz w:val="21"/>
                <w:szCs w:val="21"/>
                <w:highlight w:val="none"/>
                <w:lang w:eastAsia="zh-CN" w:bidi="ar"/>
              </w:rPr>
              <w:t>排查机构技术负责人签字</w:t>
            </w:r>
          </w:p>
        </w:tc>
        <w:tc>
          <w:tcPr>
            <w:tcW w:w="2422" w:type="dxa"/>
            <w:gridSpan w:val="3"/>
            <w:tcBorders>
              <w:tl2br w:val="nil"/>
              <w:tr2bl w:val="nil"/>
            </w:tcBorders>
            <w:shd w:val="clear" w:color="auto" w:fill="auto"/>
            <w:tcMar>
              <w:top w:w="96" w:type="dxa"/>
              <w:left w:w="96" w:type="dxa"/>
              <w:bottom w:w="96" w:type="dxa"/>
              <w:right w:w="96" w:type="dxa"/>
            </w:tcMar>
            <w:vAlign w:val="center"/>
          </w:tcPr>
          <w:p w14:paraId="779F8322">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kern w:val="0"/>
                <w:sz w:val="21"/>
                <w:szCs w:val="21"/>
                <w:highlight w:val="none"/>
                <w:lang w:bidi="ar"/>
              </w:rPr>
            </w:pPr>
          </w:p>
        </w:tc>
      </w:tr>
      <w:tr w14:paraId="4EB5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2" w:hRule="atLeast"/>
        </w:trPr>
        <w:tc>
          <w:tcPr>
            <w:tcW w:w="2206" w:type="dxa"/>
            <w:gridSpan w:val="2"/>
            <w:tcBorders>
              <w:tl2br w:val="nil"/>
              <w:tr2bl w:val="nil"/>
            </w:tcBorders>
            <w:shd w:val="clear" w:color="auto" w:fill="auto"/>
            <w:tcMar>
              <w:top w:w="96" w:type="dxa"/>
              <w:left w:w="96" w:type="dxa"/>
              <w:bottom w:w="96" w:type="dxa"/>
              <w:right w:w="96" w:type="dxa"/>
            </w:tcMar>
            <w:vAlign w:val="center"/>
          </w:tcPr>
          <w:p w14:paraId="1EE312F8">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排查机构（公章）</w:t>
            </w:r>
          </w:p>
        </w:tc>
        <w:tc>
          <w:tcPr>
            <w:tcW w:w="6381" w:type="dxa"/>
            <w:gridSpan w:val="8"/>
            <w:tcBorders>
              <w:tl2br w:val="nil"/>
              <w:tr2bl w:val="nil"/>
            </w:tcBorders>
            <w:shd w:val="clear" w:color="auto" w:fill="auto"/>
            <w:tcMar>
              <w:top w:w="96" w:type="dxa"/>
              <w:left w:w="96" w:type="dxa"/>
              <w:bottom w:w="96" w:type="dxa"/>
              <w:right w:w="96" w:type="dxa"/>
            </w:tcMar>
            <w:vAlign w:val="center"/>
          </w:tcPr>
          <w:p w14:paraId="5D170473">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eastAsia" w:ascii="Times New Roman" w:hAnsi="Times New Roman" w:eastAsia="宋体" w:cs="Times New Roman"/>
                <w:kern w:val="0"/>
                <w:sz w:val="21"/>
                <w:szCs w:val="21"/>
                <w:highlight w:val="none"/>
                <w:lang w:val="en-US" w:eastAsia="zh-CN" w:bidi="ar"/>
              </w:rPr>
            </w:pPr>
          </w:p>
          <w:p w14:paraId="5ACF44F7">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eastAsia" w:ascii="Times New Roman" w:hAnsi="Times New Roman" w:eastAsia="宋体" w:cs="Times New Roman"/>
                <w:kern w:val="0"/>
                <w:sz w:val="21"/>
                <w:szCs w:val="21"/>
                <w:highlight w:val="none"/>
                <w:lang w:val="en-US" w:eastAsia="zh-CN" w:bidi="ar"/>
              </w:rPr>
            </w:pPr>
          </w:p>
          <w:p w14:paraId="1B5A4F81">
            <w:pPr>
              <w:keepNext w:val="0"/>
              <w:keepLines w:val="0"/>
              <w:widowControl/>
              <w:suppressLineNumbers w:val="0"/>
              <w:pBdr>
                <w:top w:val="none" w:color="auto" w:sz="0" w:space="0"/>
                <w:left w:val="none" w:color="auto" w:sz="0" w:space="0"/>
                <w:bottom w:val="none" w:color="auto" w:sz="0" w:space="0"/>
                <w:right w:val="none" w:color="auto" w:sz="0" w:space="0"/>
              </w:pBdr>
              <w:adjustRightInd/>
              <w:snapToGrid/>
              <w:spacing w:line="240" w:lineRule="auto"/>
              <w:ind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kern w:val="0"/>
                <w:sz w:val="21"/>
                <w:szCs w:val="21"/>
                <w:highlight w:val="none"/>
                <w:lang w:val="en-US" w:eastAsia="zh-CN" w:bidi="ar"/>
              </w:rPr>
              <w:t xml:space="preserve">                           年     月</w:t>
            </w:r>
          </w:p>
        </w:tc>
      </w:tr>
    </w:tbl>
    <w:p w14:paraId="19C46B1B">
      <w:pPr>
        <w:keepNext w:val="0"/>
        <w:keepLines w:val="0"/>
        <w:pageBreakBefore w:val="0"/>
        <w:widowControl w:val="0"/>
        <w:kinsoku/>
        <w:wordWrap/>
        <w:overflowPunct/>
        <w:topLinePunct w:val="0"/>
        <w:autoSpaceDE/>
        <w:autoSpaceDN/>
        <w:bidi w:val="0"/>
        <w:adjustRightInd/>
        <w:snapToGrid/>
        <w:spacing w:line="520" w:lineRule="exact"/>
        <w:ind w:left="9" w:leftChars="0" w:firstLine="947" w:firstLineChars="296"/>
        <w:jc w:val="both"/>
        <w:textAlignment w:val="auto"/>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说明：</w:t>
      </w:r>
      <w:r>
        <w:rPr>
          <w:rFonts w:hint="eastAsia" w:ascii="仿宋" w:hAnsi="仿宋" w:eastAsia="仿宋" w:cs="仿宋"/>
          <w:sz w:val="32"/>
          <w:szCs w:val="32"/>
          <w:highlight w:val="none"/>
          <w:lang w:val="en-US" w:eastAsia="zh-CN"/>
        </w:rPr>
        <w:t>1.“一楼一牌”设置不齐全的，应立即补充完善。2.排查工作照片等资料附后。3.燃烧性能为A级但存在外墙面开裂、空鼓、脱落等缺陷的，虽然未发现消防安全隐患，但有坠落伤人安全隐患，应及时处理。4.</w:t>
      </w:r>
      <w:r>
        <w:rPr>
          <w:rFonts w:hint="default" w:ascii="仿宋" w:hAnsi="仿宋" w:eastAsia="仿宋" w:cs="仿宋"/>
          <w:sz w:val="32"/>
          <w:szCs w:val="32"/>
          <w:highlight w:val="none"/>
          <w:lang w:val="en-US" w:eastAsia="zh-CN"/>
        </w:rPr>
        <w:t>业主或物业服务企业自行实施排查的，也</w:t>
      </w:r>
      <w:r>
        <w:rPr>
          <w:rFonts w:hint="eastAsia" w:ascii="仿宋" w:hAnsi="仿宋" w:eastAsia="仿宋" w:cs="仿宋"/>
          <w:sz w:val="32"/>
          <w:szCs w:val="32"/>
          <w:highlight w:val="none"/>
          <w:lang w:val="en-US" w:eastAsia="zh-CN"/>
        </w:rPr>
        <w:t>应</w:t>
      </w:r>
      <w:r>
        <w:rPr>
          <w:rFonts w:hint="default" w:ascii="仿宋" w:hAnsi="仿宋" w:eastAsia="仿宋" w:cs="仿宋"/>
          <w:sz w:val="32"/>
          <w:szCs w:val="32"/>
          <w:highlight w:val="none"/>
          <w:lang w:val="en-US" w:eastAsia="zh-CN"/>
        </w:rPr>
        <w:t>填写本表并签章。</w:t>
      </w:r>
    </w:p>
    <w:p w14:paraId="585C285D">
      <w:pPr>
        <w:keepNext w:val="0"/>
        <w:keepLines w:val="0"/>
        <w:widowControl w:val="0"/>
        <w:suppressLineNumbers w:val="0"/>
        <w:autoSpaceDE w:val="0"/>
        <w:autoSpaceDN/>
        <w:adjustRightInd w:val="0"/>
        <w:snapToGrid w:val="0"/>
        <w:spacing w:before="0" w:beforeAutospacing="0" w:after="0" w:afterAutospacing="0" w:line="560" w:lineRule="exact"/>
        <w:ind w:right="0"/>
        <w:jc w:val="left"/>
        <w:rPr>
          <w:rFonts w:hint="eastAsia" w:ascii="仿宋_GB2312" w:hAnsi="仿宋" w:eastAsia="仿宋_GB2312" w:cs="仿宋_GB2312"/>
          <w:snapToGrid/>
          <w:color w:val="auto"/>
          <w:spacing w:val="-6"/>
          <w:kern w:val="2"/>
          <w:sz w:val="32"/>
          <w:szCs w:val="32"/>
          <w:highlight w:val="none"/>
          <w:lang w:val="en-US" w:eastAsia="zh-CN" w:bidi="ar"/>
          <w:woUserID w:val="1"/>
        </w:rPr>
        <w:sectPr>
          <w:pgSz w:w="11905" w:h="16840"/>
          <w:pgMar w:top="2098" w:right="1474" w:bottom="1984" w:left="1587" w:header="720" w:footer="720" w:gutter="0"/>
          <w:pgNumType w:fmt="decimal"/>
          <w:cols w:space="720" w:num="1"/>
        </w:sectPr>
      </w:pPr>
    </w:p>
    <w:p w14:paraId="2529D005">
      <w:pPr>
        <w:keepNext w:val="0"/>
        <w:keepLines w:val="0"/>
        <w:pageBreakBefore w:val="0"/>
        <w:widowControl w:val="0"/>
        <w:kinsoku/>
        <w:wordWrap/>
        <w:overflowPunct/>
        <w:topLinePunct w:val="0"/>
        <w:autoSpaceDE/>
        <w:autoSpaceDN/>
        <w:bidi w:val="0"/>
        <w:adjustRightInd w:val="0"/>
        <w:snapToGrid w:val="0"/>
        <w:spacing w:before="320" w:after="120" w:line="560" w:lineRule="exact"/>
        <w:ind w:left="0" w:firstLine="0" w:firstLineChars="0"/>
        <w:jc w:val="left"/>
        <w:textAlignment w:val="auto"/>
        <w:outlineLvl w:val="1"/>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rPr>
        <w:t>附件</w:t>
      </w:r>
      <w:r>
        <w:rPr>
          <w:rFonts w:hint="eastAsia" w:ascii="黑体" w:hAnsi="黑体" w:eastAsia="黑体" w:cs="黑体"/>
          <w:b/>
          <w:sz w:val="32"/>
          <w:szCs w:val="32"/>
          <w:highlight w:val="none"/>
          <w:lang w:val="en-US" w:eastAsia="zh-CN"/>
        </w:rPr>
        <w:t>2</w:t>
      </w:r>
    </w:p>
    <w:p w14:paraId="2013D5C1">
      <w:pPr>
        <w:keepNext w:val="0"/>
        <w:keepLines w:val="0"/>
        <w:pageBreakBefore w:val="0"/>
        <w:kinsoku/>
        <w:wordWrap/>
        <w:overflowPunct/>
        <w:topLinePunct w:val="0"/>
        <w:autoSpaceDE/>
        <w:autoSpaceDN/>
        <w:bidi w:val="0"/>
        <w:adjustRightInd/>
        <w:snapToGrid/>
        <w:spacing w:before="120" w:after="120" w:line="288" w:lineRule="auto"/>
        <w:jc w:val="center"/>
        <w:rPr>
          <w:rFonts w:hint="eastAsia" w:ascii="宋体" w:hAnsi="宋体" w:eastAsia="宋体" w:cs="宋体"/>
          <w:b/>
          <w:bCs/>
          <w:sz w:val="44"/>
          <w:szCs w:val="44"/>
          <w:highlight w:val="none"/>
          <w:lang w:val="en-US" w:eastAsia="zh-CN"/>
        </w:rPr>
      </w:pPr>
      <w:r>
        <w:rPr>
          <w:rFonts w:hint="default" w:ascii="宋体" w:hAnsi="宋体" w:eastAsia="宋体" w:cs="宋体"/>
          <w:b/>
          <w:bCs/>
          <w:sz w:val="44"/>
          <w:szCs w:val="44"/>
          <w:highlight w:val="none"/>
          <w:lang w:val="en-US" w:eastAsia="zh-CN"/>
        </w:rPr>
        <w:t>保温材料</w:t>
      </w:r>
      <w:r>
        <w:rPr>
          <w:rFonts w:hint="eastAsia" w:ascii="宋体" w:hAnsi="宋体" w:eastAsia="宋体" w:cs="宋体"/>
          <w:b/>
          <w:bCs/>
          <w:sz w:val="44"/>
          <w:szCs w:val="44"/>
          <w:highlight w:val="none"/>
          <w:lang w:val="en-US" w:eastAsia="zh-CN"/>
        </w:rPr>
        <w:t>燃烧性能现场测试流程与判定规则</w:t>
      </w:r>
    </w:p>
    <w:p w14:paraId="236053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p>
    <w:p w14:paraId="5103B7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现场观察</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对建筑外立面开展全面巡查，选取人员操作安全、可及的部位，重点查看空调孔洞、外墙饰面破损处，采用高清摄像设备拍摄留存影像资料，准确记录缺陷位置，并拍摄保温层近景照片归档。</w:t>
      </w:r>
    </w:p>
    <w:p w14:paraId="600181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现场测试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本测试方法参照《建筑材料可燃性试验方法》（GB/T</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8626-2007）制定，仅用于现场简易判定，测试</w:t>
      </w:r>
      <w:r>
        <w:rPr>
          <w:rFonts w:hint="eastAsia" w:ascii="仿宋" w:hAnsi="仿宋" w:eastAsia="仿宋" w:cs="仿宋"/>
          <w:sz w:val="32"/>
          <w:szCs w:val="32"/>
          <w:highlight w:val="none"/>
          <w:lang w:eastAsia="zh-CN"/>
        </w:rPr>
        <w:t>全过</w:t>
      </w:r>
      <w:r>
        <w:rPr>
          <w:rFonts w:hint="eastAsia" w:ascii="仿宋" w:hAnsi="仿宋" w:eastAsia="仿宋" w:cs="仿宋"/>
          <w:sz w:val="32"/>
          <w:szCs w:val="32"/>
          <w:highlight w:val="none"/>
        </w:rPr>
        <w:t>程需严格落实动火安全管控。</w:t>
      </w:r>
    </w:p>
    <w:p w14:paraId="3F3FDB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取样</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从外墙保温层切取4cm×4cm的规整试样。</w:t>
      </w:r>
      <w:r>
        <w:rPr>
          <w:rFonts w:hint="default" w:ascii="仿宋" w:hAnsi="仿宋" w:eastAsia="仿宋" w:cs="仿宋"/>
          <w:sz w:val="32"/>
          <w:szCs w:val="32"/>
          <w:highlight w:val="none"/>
          <w:lang w:val="en-US" w:eastAsia="zh-CN"/>
        </w:rPr>
        <w:t>外</w:t>
      </w:r>
      <w:r>
        <w:rPr>
          <w:rFonts w:hint="eastAsia" w:ascii="仿宋" w:hAnsi="仿宋" w:eastAsia="仿宋" w:cs="仿宋"/>
          <w:sz w:val="32"/>
          <w:szCs w:val="32"/>
          <w:highlight w:val="none"/>
          <w:lang w:val="en-US" w:eastAsia="zh-CN"/>
        </w:rPr>
        <w:t>墙外保温系统及</w:t>
      </w:r>
      <w:r>
        <w:rPr>
          <w:rFonts w:hint="default" w:ascii="仿宋" w:hAnsi="仿宋" w:eastAsia="仿宋" w:cs="仿宋"/>
          <w:sz w:val="32"/>
          <w:szCs w:val="32"/>
          <w:highlight w:val="none"/>
          <w:lang w:val="en-US" w:eastAsia="zh-CN"/>
        </w:rPr>
        <w:t>饰面层类型</w:t>
      </w:r>
      <w:r>
        <w:rPr>
          <w:rFonts w:hint="eastAsia" w:ascii="仿宋" w:hAnsi="仿宋" w:eastAsia="仿宋" w:cs="仿宋"/>
          <w:sz w:val="32"/>
          <w:szCs w:val="32"/>
          <w:highlight w:val="none"/>
          <w:lang w:val="en-US" w:eastAsia="zh-CN"/>
        </w:rPr>
        <w:t>或</w:t>
      </w:r>
      <w:r>
        <w:rPr>
          <w:rFonts w:hint="default" w:ascii="仿宋" w:hAnsi="仿宋" w:eastAsia="仿宋" w:cs="仿宋"/>
          <w:sz w:val="32"/>
          <w:szCs w:val="32"/>
          <w:highlight w:val="none"/>
          <w:lang w:val="en-US" w:eastAsia="zh-CN"/>
        </w:rPr>
        <w:t>保温材料</w:t>
      </w:r>
      <w:r>
        <w:rPr>
          <w:rFonts w:hint="eastAsia" w:ascii="仿宋" w:hAnsi="仿宋" w:eastAsia="仿宋" w:cs="仿宋"/>
          <w:sz w:val="32"/>
          <w:szCs w:val="32"/>
          <w:highlight w:val="none"/>
          <w:lang w:val="en-US" w:eastAsia="zh-CN"/>
        </w:rPr>
        <w:t>种类超过1个的，应分别取样。取样点在现场测试后应及时恢复。</w:t>
      </w:r>
    </w:p>
    <w:p w14:paraId="1398D5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点火</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用镊子夹持试样，在室外空旷无风环境下，使用普通打火机外焰持续灼烧试样底部，火焰高度控制在20mm左右，灼烧时长5s。试样下方5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10cm处铺垫一张白纸，用于观察熔融滴落物情况。点火操作需在</w:t>
      </w:r>
      <w:r>
        <w:rPr>
          <w:rFonts w:hint="eastAsia" w:ascii="仿宋" w:hAnsi="仿宋" w:eastAsia="仿宋" w:cs="仿宋"/>
          <w:sz w:val="32"/>
          <w:szCs w:val="32"/>
          <w:highlight w:val="none"/>
          <w:lang w:eastAsia="zh-CN"/>
        </w:rPr>
        <w:t>铁质</w:t>
      </w:r>
      <w:r>
        <w:rPr>
          <w:rFonts w:hint="eastAsia" w:ascii="仿宋" w:hAnsi="仿宋" w:eastAsia="仿宋" w:cs="仿宋"/>
          <w:sz w:val="32"/>
          <w:szCs w:val="32"/>
          <w:highlight w:val="none"/>
        </w:rPr>
        <w:t>容器内进行，现场配备灭火器等灭火器材，以及水、砂等灭火物资，安排专人落实动火监护，严防火灾事故</w:t>
      </w:r>
      <w:r>
        <w:rPr>
          <w:rFonts w:hint="eastAsia" w:ascii="仿宋" w:hAnsi="仿宋" w:eastAsia="仿宋" w:cs="仿宋"/>
          <w:sz w:val="32"/>
          <w:szCs w:val="32"/>
          <w:highlight w:val="none"/>
          <w:lang w:eastAsia="zh-CN"/>
        </w:rPr>
        <w:t>发生。</w:t>
      </w:r>
    </w:p>
    <w:p w14:paraId="49046F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观察</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移开火源后，持续观察试样的燃烧状态、火焰持续时</w:t>
      </w:r>
      <w:r>
        <w:rPr>
          <w:rFonts w:hint="eastAsia" w:ascii="仿宋" w:hAnsi="仿宋" w:eastAsia="仿宋" w:cs="仿宋"/>
          <w:sz w:val="32"/>
          <w:szCs w:val="32"/>
          <w:highlight w:val="none"/>
          <w:lang w:eastAsia="zh-CN"/>
        </w:rPr>
        <w:t>长</w:t>
      </w:r>
      <w:r>
        <w:rPr>
          <w:rFonts w:hint="eastAsia" w:ascii="仿宋" w:hAnsi="仿宋" w:eastAsia="仿宋" w:cs="仿宋"/>
          <w:sz w:val="32"/>
          <w:szCs w:val="32"/>
          <w:highlight w:val="none"/>
        </w:rPr>
        <w:t>、滴落物情况及燃烧残留物状态。</w:t>
      </w:r>
    </w:p>
    <w:p w14:paraId="7AF564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现场测试</w:t>
      </w:r>
      <w:r>
        <w:rPr>
          <w:rFonts w:hint="eastAsia" w:ascii="仿宋" w:hAnsi="仿宋" w:eastAsia="仿宋" w:cs="仿宋"/>
          <w:sz w:val="32"/>
          <w:szCs w:val="32"/>
          <w:highlight w:val="none"/>
        </w:rPr>
        <w:t>判定</w:t>
      </w:r>
      <w:r>
        <w:rPr>
          <w:rFonts w:hint="eastAsia" w:ascii="仿宋" w:hAnsi="仿宋" w:eastAsia="仿宋" w:cs="仿宋"/>
          <w:sz w:val="32"/>
          <w:szCs w:val="32"/>
          <w:highlight w:val="none"/>
          <w:lang w:eastAsia="zh-CN"/>
        </w:rPr>
        <w:t>方法。</w:t>
      </w:r>
      <w:r>
        <w:rPr>
          <w:rFonts w:hint="eastAsia" w:ascii="仿宋" w:hAnsi="仿宋" w:eastAsia="仿宋" w:cs="仿宋"/>
          <w:sz w:val="32"/>
          <w:szCs w:val="32"/>
          <w:highlight w:val="none"/>
        </w:rPr>
        <w:t>对照《</w:t>
      </w:r>
      <w:r>
        <w:rPr>
          <w:rFonts w:hint="default" w:ascii="仿宋" w:hAnsi="仿宋" w:eastAsia="仿宋" w:cs="仿宋"/>
          <w:sz w:val="32"/>
          <w:szCs w:val="32"/>
          <w:highlight w:val="none"/>
          <w:lang w:val="en-US" w:eastAsia="zh-CN"/>
        </w:rPr>
        <w:t>保温材料</w:t>
      </w:r>
      <w:r>
        <w:rPr>
          <w:rFonts w:hint="eastAsia" w:ascii="仿宋" w:hAnsi="仿宋" w:eastAsia="仿宋" w:cs="仿宋"/>
          <w:sz w:val="32"/>
          <w:szCs w:val="32"/>
          <w:highlight w:val="none"/>
          <w:lang w:val="en-US" w:eastAsia="zh-CN"/>
        </w:rPr>
        <w:t>燃烧性能现场测试判定表</w:t>
      </w:r>
      <w:r>
        <w:rPr>
          <w:rFonts w:hint="eastAsia" w:ascii="仿宋" w:hAnsi="仿宋" w:eastAsia="仿宋" w:cs="仿宋"/>
          <w:sz w:val="32"/>
          <w:szCs w:val="32"/>
          <w:highlight w:val="none"/>
        </w:rPr>
        <w:t>》，对保温材料燃烧性能等级进行现场简易判定。</w:t>
      </w:r>
    </w:p>
    <w:p w14:paraId="21647332">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宋体" w:hAnsi="宋体" w:eastAsia="宋体" w:cs="宋体"/>
          <w:b/>
          <w:bCs/>
          <w:sz w:val="44"/>
          <w:szCs w:val="44"/>
          <w:highlight w:val="none"/>
          <w:lang w:val="en-US" w:eastAsia="zh-CN"/>
        </w:rPr>
      </w:pPr>
      <w:r>
        <w:rPr>
          <w:rFonts w:hint="eastAsia" w:ascii="仿宋" w:hAnsi="仿宋" w:eastAsia="仿宋" w:cs="仿宋"/>
          <w:sz w:val="32"/>
          <w:szCs w:val="32"/>
          <w:highlight w:val="none"/>
        </w:rPr>
        <w:drawing>
          <wp:anchor distT="0" distB="0" distL="114300" distR="114300" simplePos="0" relativeHeight="251661312" behindDoc="0" locked="0" layoutInCell="1" allowOverlap="1">
            <wp:simplePos x="0" y="0"/>
            <wp:positionH relativeFrom="column">
              <wp:posOffset>3037840</wp:posOffset>
            </wp:positionH>
            <wp:positionV relativeFrom="paragraph">
              <wp:posOffset>59690</wp:posOffset>
            </wp:positionV>
            <wp:extent cx="2565400" cy="2312670"/>
            <wp:effectExtent l="0" t="0" r="6350" b="11430"/>
            <wp:wrapTopAndBottom/>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5"/>
                    <a:stretch>
                      <a:fillRect/>
                    </a:stretch>
                  </pic:blipFill>
                  <pic:spPr>
                    <a:xfrm>
                      <a:off x="0" y="0"/>
                      <a:ext cx="2565400" cy="2312670"/>
                    </a:xfrm>
                    <a:prstGeom prst="rect">
                      <a:avLst/>
                    </a:prstGeom>
                    <a:noFill/>
                    <a:ln w="9525">
                      <a:noFill/>
                    </a:ln>
                  </pic:spPr>
                </pic:pic>
              </a:graphicData>
            </a:graphic>
          </wp:anchor>
        </w:drawing>
      </w:r>
      <w:r>
        <w:rPr>
          <w:rFonts w:hint="eastAsia" w:ascii="仿宋_GB2312" w:hAnsi="仿宋_GB2312" w:eastAsia="仿宋_GB2312" w:cs="仿宋_GB2312"/>
          <w:sz w:val="32"/>
          <w:szCs w:val="32"/>
          <w:highlight w:val="none"/>
          <w:lang w:val="en-US" w:eastAsia="zh-CN"/>
        </w:rPr>
        <w:t>图1：点火                图2：移开火源，观察状态</w:t>
      </w:r>
      <w:r>
        <w:rPr>
          <w:rFonts w:hint="eastAsia" w:ascii="仿宋" w:hAnsi="仿宋" w:eastAsia="仿宋" w:cs="仿宋"/>
          <w:sz w:val="32"/>
          <w:szCs w:val="32"/>
          <w:highlight w:val="none"/>
        </w:rPr>
        <w:drawing>
          <wp:anchor distT="0" distB="0" distL="114300" distR="114300" simplePos="0" relativeHeight="251659264" behindDoc="0" locked="0" layoutInCell="1" allowOverlap="1">
            <wp:simplePos x="0" y="0"/>
            <wp:positionH relativeFrom="column">
              <wp:posOffset>83820</wp:posOffset>
            </wp:positionH>
            <wp:positionV relativeFrom="paragraph">
              <wp:posOffset>11430</wp:posOffset>
            </wp:positionV>
            <wp:extent cx="2683510" cy="2334895"/>
            <wp:effectExtent l="0" t="0" r="2540" b="8255"/>
            <wp:wrapTopAndBottom/>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6"/>
                    <a:stretch>
                      <a:fillRect/>
                    </a:stretch>
                  </pic:blipFill>
                  <pic:spPr>
                    <a:xfrm>
                      <a:off x="0" y="0"/>
                      <a:ext cx="2683510" cy="2334895"/>
                    </a:xfrm>
                    <a:prstGeom prst="rect">
                      <a:avLst/>
                    </a:prstGeom>
                    <a:noFill/>
                    <a:ln w="9525">
                      <a:noFill/>
                    </a:ln>
                  </pic:spPr>
                </pic:pic>
              </a:graphicData>
            </a:graphic>
          </wp:anchor>
        </w:drawing>
      </w:r>
    </w:p>
    <w:p w14:paraId="7389BF66">
      <w:pPr>
        <w:keepNext w:val="0"/>
        <w:keepLines w:val="0"/>
        <w:pageBreakBefore w:val="0"/>
        <w:widowControl w:val="0"/>
        <w:kinsoku/>
        <w:wordWrap/>
        <w:overflowPunct/>
        <w:topLinePunct w:val="0"/>
        <w:autoSpaceDE/>
        <w:autoSpaceDN/>
        <w:bidi w:val="0"/>
        <w:adjustRightInd/>
        <w:snapToGrid/>
        <w:spacing w:line="520" w:lineRule="exact"/>
        <w:ind w:left="9" w:leftChars="0" w:hanging="9" w:firstLineChars="0"/>
        <w:jc w:val="center"/>
        <w:textAlignment w:val="auto"/>
        <w:rPr>
          <w:rFonts w:hint="eastAsia" w:ascii="宋体" w:hAnsi="宋体" w:eastAsia="宋体" w:cs="宋体"/>
          <w:b w:val="0"/>
          <w:bCs w:val="0"/>
          <w:sz w:val="32"/>
          <w:szCs w:val="32"/>
          <w:highlight w:val="none"/>
          <w:lang w:val="en-US" w:eastAsia="zh-CN"/>
        </w:rPr>
      </w:pPr>
      <w:r>
        <w:rPr>
          <w:rFonts w:hint="default" w:ascii="宋体" w:hAnsi="宋体" w:eastAsia="宋体" w:cs="宋体"/>
          <w:b w:val="0"/>
          <w:bCs w:val="0"/>
          <w:sz w:val="32"/>
          <w:szCs w:val="32"/>
          <w:highlight w:val="none"/>
          <w:lang w:val="en-US" w:eastAsia="zh-CN"/>
        </w:rPr>
        <w:t>保温材料</w:t>
      </w:r>
      <w:r>
        <w:rPr>
          <w:rFonts w:hint="eastAsia" w:ascii="宋体" w:hAnsi="宋体" w:eastAsia="宋体" w:cs="宋体"/>
          <w:b w:val="0"/>
          <w:bCs w:val="0"/>
          <w:sz w:val="32"/>
          <w:szCs w:val="32"/>
          <w:highlight w:val="none"/>
          <w:lang w:val="en-US" w:eastAsia="zh-CN"/>
        </w:rPr>
        <w:t>燃烧性能现场测试判定表</w:t>
      </w:r>
    </w:p>
    <w:tbl>
      <w:tblPr>
        <w:tblStyle w:val="4"/>
        <w:tblpPr w:leftFromText="180" w:rightFromText="180" w:vertAnchor="text" w:horzAnchor="page" w:tblpX="1489" w:tblpY="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586"/>
        <w:gridCol w:w="1993"/>
        <w:gridCol w:w="2078"/>
        <w:gridCol w:w="2080"/>
      </w:tblGrid>
      <w:tr w14:paraId="3F43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323" w:type="dxa"/>
            <w:vAlign w:val="center"/>
          </w:tcPr>
          <w:p w14:paraId="2A8EDC27">
            <w:pPr>
              <w:keepNext w:val="0"/>
              <w:keepLines w:val="0"/>
              <w:pageBreakBefore w:val="0"/>
              <w:widowControl w:val="0"/>
              <w:tabs>
                <w:tab w:val="left" w:pos="1050"/>
              </w:tabs>
              <w:kinsoku/>
              <w:wordWrap/>
              <w:overflowPunct/>
              <w:topLinePunct w:val="0"/>
              <w:autoSpaceDE/>
              <w:autoSpaceDN/>
              <w:bidi w:val="0"/>
              <w:adjustRightInd w:val="0"/>
              <w:snapToGrid w:val="0"/>
              <w:spacing w:before="0" w:after="0" w:line="500" w:lineRule="exact"/>
              <w:ind w:firstLine="0" w:firstLineChars="0"/>
              <w:jc w:val="center"/>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lang w:val="en-US" w:eastAsia="zh-CN"/>
              </w:rPr>
              <w:t>简易</w:t>
            </w:r>
            <w:r>
              <w:rPr>
                <w:rFonts w:hint="eastAsia" w:ascii="仿宋_GB2312" w:hAnsi="仿宋_GB2312" w:eastAsia="仿宋_GB2312" w:cs="仿宋_GB2312"/>
                <w:b/>
                <w:bCs/>
                <w:sz w:val="24"/>
                <w:szCs w:val="24"/>
                <w:highlight w:val="none"/>
              </w:rPr>
              <w:t>判定指标</w:t>
            </w:r>
          </w:p>
        </w:tc>
        <w:tc>
          <w:tcPr>
            <w:tcW w:w="1586" w:type="dxa"/>
            <w:vAlign w:val="center"/>
          </w:tcPr>
          <w:p w14:paraId="79CDDAEE">
            <w:pPr>
              <w:keepNext w:val="0"/>
              <w:keepLines w:val="0"/>
              <w:pageBreakBefore w:val="0"/>
              <w:widowControl w:val="0"/>
              <w:kinsoku/>
              <w:wordWrap/>
              <w:overflowPunct/>
              <w:topLinePunct w:val="0"/>
              <w:autoSpaceDE/>
              <w:autoSpaceDN/>
              <w:bidi w:val="0"/>
              <w:adjustRightInd w:val="0"/>
              <w:snapToGrid w:val="0"/>
              <w:spacing w:before="0" w:after="0" w:line="500" w:lineRule="exact"/>
              <w:jc w:val="center"/>
              <w:textAlignment w:val="auto"/>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A级（不燃）</w:t>
            </w:r>
          </w:p>
        </w:tc>
        <w:tc>
          <w:tcPr>
            <w:tcW w:w="1993" w:type="dxa"/>
            <w:vAlign w:val="center"/>
          </w:tcPr>
          <w:p w14:paraId="4483BAF3">
            <w:pPr>
              <w:keepNext w:val="0"/>
              <w:keepLines w:val="0"/>
              <w:pageBreakBefore w:val="0"/>
              <w:widowControl w:val="0"/>
              <w:kinsoku/>
              <w:wordWrap/>
              <w:overflowPunct/>
              <w:topLinePunct w:val="0"/>
              <w:autoSpaceDE/>
              <w:autoSpaceDN/>
              <w:bidi w:val="0"/>
              <w:adjustRightInd w:val="0"/>
              <w:snapToGrid w:val="0"/>
              <w:spacing w:before="0" w:after="0" w:line="500" w:lineRule="exact"/>
              <w:jc w:val="center"/>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rPr>
              <w:t>B</w:t>
            </w:r>
            <w:r>
              <w:rPr>
                <w:rFonts w:hint="eastAsia" w:ascii="仿宋_GB2312" w:hAnsi="仿宋_GB2312" w:eastAsia="仿宋_GB2312" w:cs="仿宋_GB2312"/>
                <w:b/>
                <w:bCs/>
                <w:sz w:val="24"/>
                <w:szCs w:val="24"/>
                <w:highlight w:val="none"/>
                <w:vertAlign w:val="subscript"/>
              </w:rPr>
              <w:t>1</w:t>
            </w:r>
            <w:r>
              <w:rPr>
                <w:rFonts w:hint="eastAsia" w:ascii="仿宋_GB2312" w:hAnsi="仿宋_GB2312" w:eastAsia="仿宋_GB2312" w:cs="仿宋_GB2312"/>
                <w:b/>
                <w:bCs/>
                <w:sz w:val="24"/>
                <w:szCs w:val="24"/>
                <w:highlight w:val="none"/>
              </w:rPr>
              <w:t>级（难燃）</w:t>
            </w:r>
          </w:p>
        </w:tc>
        <w:tc>
          <w:tcPr>
            <w:tcW w:w="2078" w:type="dxa"/>
            <w:vAlign w:val="center"/>
          </w:tcPr>
          <w:p w14:paraId="479ECC02">
            <w:pPr>
              <w:keepNext w:val="0"/>
              <w:keepLines w:val="0"/>
              <w:pageBreakBefore w:val="0"/>
              <w:widowControl w:val="0"/>
              <w:kinsoku/>
              <w:wordWrap/>
              <w:overflowPunct/>
              <w:topLinePunct w:val="0"/>
              <w:autoSpaceDE/>
              <w:autoSpaceDN/>
              <w:bidi w:val="0"/>
              <w:adjustRightInd w:val="0"/>
              <w:snapToGrid w:val="0"/>
              <w:spacing w:before="0" w:after="0" w:line="500" w:lineRule="exact"/>
              <w:jc w:val="center"/>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rPr>
              <w:t>B</w:t>
            </w:r>
            <w:r>
              <w:rPr>
                <w:rFonts w:hint="eastAsia" w:ascii="仿宋_GB2312" w:hAnsi="仿宋_GB2312" w:eastAsia="仿宋_GB2312" w:cs="仿宋_GB2312"/>
                <w:b/>
                <w:bCs/>
                <w:sz w:val="24"/>
                <w:szCs w:val="24"/>
                <w:highlight w:val="none"/>
                <w:vertAlign w:val="subscript"/>
              </w:rPr>
              <w:t>2</w:t>
            </w:r>
            <w:r>
              <w:rPr>
                <w:rFonts w:hint="eastAsia" w:ascii="仿宋_GB2312" w:hAnsi="仿宋_GB2312" w:eastAsia="仿宋_GB2312" w:cs="仿宋_GB2312"/>
                <w:b/>
                <w:bCs/>
                <w:sz w:val="24"/>
                <w:szCs w:val="24"/>
                <w:highlight w:val="none"/>
              </w:rPr>
              <w:t>级（可燃）</w:t>
            </w:r>
          </w:p>
        </w:tc>
        <w:tc>
          <w:tcPr>
            <w:tcW w:w="2080" w:type="dxa"/>
            <w:vAlign w:val="center"/>
          </w:tcPr>
          <w:p w14:paraId="0CFEE99B">
            <w:pPr>
              <w:keepNext w:val="0"/>
              <w:keepLines w:val="0"/>
              <w:pageBreakBefore w:val="0"/>
              <w:widowControl w:val="0"/>
              <w:kinsoku/>
              <w:wordWrap/>
              <w:overflowPunct/>
              <w:topLinePunct w:val="0"/>
              <w:autoSpaceDE/>
              <w:autoSpaceDN/>
              <w:bidi w:val="0"/>
              <w:adjustRightInd w:val="0"/>
              <w:snapToGrid w:val="0"/>
              <w:spacing w:before="0" w:after="0" w:line="500" w:lineRule="exact"/>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B</w:t>
            </w:r>
            <w:r>
              <w:rPr>
                <w:rFonts w:hint="eastAsia" w:ascii="仿宋_GB2312" w:hAnsi="仿宋_GB2312" w:eastAsia="仿宋_GB2312" w:cs="仿宋_GB2312"/>
                <w:b/>
                <w:bCs/>
                <w:sz w:val="24"/>
                <w:szCs w:val="24"/>
                <w:highlight w:val="none"/>
                <w:vertAlign w:val="subscript"/>
                <w:lang w:val="en-US" w:eastAsia="zh-CN"/>
              </w:rPr>
              <w:t>3</w:t>
            </w:r>
            <w:r>
              <w:rPr>
                <w:rFonts w:hint="eastAsia" w:ascii="仿宋_GB2312" w:hAnsi="仿宋_GB2312" w:eastAsia="仿宋_GB2312" w:cs="仿宋_GB2312"/>
                <w:b/>
                <w:bCs/>
                <w:sz w:val="24"/>
                <w:szCs w:val="24"/>
                <w:highlight w:val="none"/>
              </w:rPr>
              <w:t>级（</w:t>
            </w:r>
            <w:r>
              <w:rPr>
                <w:rFonts w:hint="eastAsia" w:ascii="仿宋_GB2312" w:hAnsi="仿宋_GB2312" w:eastAsia="仿宋_GB2312" w:cs="仿宋_GB2312"/>
                <w:b/>
                <w:bCs/>
                <w:sz w:val="24"/>
                <w:szCs w:val="24"/>
                <w:highlight w:val="none"/>
                <w:lang w:val="en-US" w:eastAsia="zh-CN"/>
              </w:rPr>
              <w:t>易</w:t>
            </w:r>
            <w:r>
              <w:rPr>
                <w:rFonts w:hint="eastAsia" w:ascii="仿宋_GB2312" w:hAnsi="仿宋_GB2312" w:eastAsia="仿宋_GB2312" w:cs="仿宋_GB2312"/>
                <w:b/>
                <w:bCs/>
                <w:sz w:val="24"/>
                <w:szCs w:val="24"/>
                <w:highlight w:val="none"/>
              </w:rPr>
              <w:t>燃）</w:t>
            </w:r>
          </w:p>
        </w:tc>
      </w:tr>
      <w:tr w14:paraId="6A09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323" w:type="dxa"/>
            <w:vAlign w:val="center"/>
          </w:tcPr>
          <w:p w14:paraId="3E532201">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移火后燃烧状态</w:t>
            </w:r>
          </w:p>
        </w:tc>
        <w:tc>
          <w:tcPr>
            <w:tcW w:w="1586" w:type="dxa"/>
            <w:vAlign w:val="center"/>
          </w:tcPr>
          <w:p w14:paraId="4E2C82AE">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不能被点燃</w:t>
            </w:r>
          </w:p>
        </w:tc>
        <w:tc>
          <w:tcPr>
            <w:tcW w:w="1993" w:type="dxa"/>
            <w:vAlign w:val="center"/>
          </w:tcPr>
          <w:p w14:paraId="2F3C46F7">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火焰迅速减弱或熄灭，无明火持续燃烧，仅出现阴燃</w:t>
            </w:r>
          </w:p>
        </w:tc>
        <w:tc>
          <w:tcPr>
            <w:tcW w:w="2078" w:type="dxa"/>
            <w:vAlign w:val="center"/>
          </w:tcPr>
          <w:p w14:paraId="3229E06E">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火焰继续燃烧，火势有蔓延趋势，明火持续时间长</w:t>
            </w:r>
          </w:p>
        </w:tc>
        <w:tc>
          <w:tcPr>
            <w:tcW w:w="2080" w:type="dxa"/>
            <w:vAlign w:val="center"/>
          </w:tcPr>
          <w:p w14:paraId="36C67607">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火焰继续燃烧，火焰迅速向四周扩散</w:t>
            </w:r>
          </w:p>
        </w:tc>
      </w:tr>
      <w:tr w14:paraId="7F5F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323" w:type="dxa"/>
            <w:vAlign w:val="center"/>
          </w:tcPr>
          <w:p w14:paraId="26E00519">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火焰持续时间</w:t>
            </w:r>
          </w:p>
        </w:tc>
        <w:tc>
          <w:tcPr>
            <w:tcW w:w="1586" w:type="dxa"/>
            <w:vAlign w:val="center"/>
          </w:tcPr>
          <w:p w14:paraId="32B0FC94">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w:t>
            </w:r>
            <w:r>
              <w:rPr>
                <w:rFonts w:hint="eastAsia" w:ascii="仿宋_GB2312" w:hAnsi="仿宋_GB2312" w:eastAsia="仿宋_GB2312" w:cs="仿宋_GB2312"/>
                <w:sz w:val="24"/>
                <w:szCs w:val="24"/>
                <w:highlight w:val="none"/>
              </w:rPr>
              <w:t>明火燃烧</w:t>
            </w:r>
            <w:r>
              <w:rPr>
                <w:rFonts w:hint="eastAsia" w:ascii="仿宋_GB2312" w:hAnsi="仿宋_GB2312" w:eastAsia="仿宋_GB2312" w:cs="仿宋_GB2312"/>
                <w:sz w:val="24"/>
                <w:szCs w:val="24"/>
                <w:highlight w:val="none"/>
                <w:lang w:val="en-US" w:eastAsia="zh-CN"/>
              </w:rPr>
              <w:t>与</w:t>
            </w:r>
            <w:r>
              <w:rPr>
                <w:rFonts w:hint="eastAsia" w:ascii="仿宋_GB2312" w:hAnsi="仿宋_GB2312" w:eastAsia="仿宋_GB2312" w:cs="仿宋_GB2312"/>
                <w:sz w:val="24"/>
                <w:szCs w:val="24"/>
                <w:highlight w:val="none"/>
              </w:rPr>
              <w:t>阴燃</w:t>
            </w:r>
          </w:p>
        </w:tc>
        <w:tc>
          <w:tcPr>
            <w:tcW w:w="1993" w:type="dxa"/>
            <w:vAlign w:val="center"/>
          </w:tcPr>
          <w:p w14:paraId="1CE1922F">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明火燃烧时间≤3s，阴燃也会在短时间内停止</w:t>
            </w:r>
          </w:p>
        </w:tc>
        <w:tc>
          <w:tcPr>
            <w:tcW w:w="2078" w:type="dxa"/>
            <w:vAlign w:val="center"/>
          </w:tcPr>
          <w:p w14:paraId="750F3358">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明火燃烧时间＞3s，甚至会持续燃烧至样品殆尽</w:t>
            </w:r>
          </w:p>
        </w:tc>
        <w:tc>
          <w:tcPr>
            <w:tcW w:w="2080" w:type="dxa"/>
            <w:vAlign w:val="center"/>
          </w:tcPr>
          <w:p w14:paraId="1A3A8CA0">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燃烧强度大、放热剧烈</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不会自行熄灭。</w:t>
            </w:r>
          </w:p>
        </w:tc>
      </w:tr>
      <w:tr w14:paraId="3BF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323" w:type="dxa"/>
            <w:vAlign w:val="center"/>
          </w:tcPr>
          <w:p w14:paraId="767157D6">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滴落物与蔓延</w:t>
            </w:r>
          </w:p>
        </w:tc>
        <w:tc>
          <w:tcPr>
            <w:tcW w:w="1586" w:type="dxa"/>
            <w:vAlign w:val="center"/>
          </w:tcPr>
          <w:p w14:paraId="0EEF66FF">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无熔融滴落物</w:t>
            </w:r>
          </w:p>
        </w:tc>
        <w:tc>
          <w:tcPr>
            <w:tcW w:w="1993" w:type="dxa"/>
            <w:vAlign w:val="center"/>
          </w:tcPr>
          <w:p w14:paraId="74D0E771">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无熔融滴落物，不会引燃下方铺垫的</w:t>
            </w:r>
            <w:r>
              <w:rPr>
                <w:rFonts w:hint="eastAsia" w:ascii="仿宋_GB2312" w:hAnsi="仿宋_GB2312" w:eastAsia="仿宋_GB2312" w:cs="仿宋_GB2312"/>
                <w:sz w:val="24"/>
                <w:szCs w:val="24"/>
                <w:highlight w:val="none"/>
                <w:lang w:val="en-US" w:eastAsia="zh-CN"/>
              </w:rPr>
              <w:t>白</w:t>
            </w:r>
            <w:r>
              <w:rPr>
                <w:rFonts w:hint="eastAsia" w:ascii="仿宋_GB2312" w:hAnsi="仿宋_GB2312" w:eastAsia="仿宋_GB2312" w:cs="仿宋_GB2312"/>
                <w:sz w:val="24"/>
                <w:szCs w:val="24"/>
                <w:highlight w:val="none"/>
              </w:rPr>
              <w:t>纸</w:t>
            </w:r>
          </w:p>
        </w:tc>
        <w:tc>
          <w:tcPr>
            <w:tcW w:w="2078" w:type="dxa"/>
            <w:vAlign w:val="center"/>
          </w:tcPr>
          <w:p w14:paraId="0B0EE4D9">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产生熔融滴落物，滴落物能引燃下方铺垫的</w:t>
            </w:r>
            <w:r>
              <w:rPr>
                <w:rFonts w:hint="eastAsia" w:ascii="仿宋_GB2312" w:hAnsi="仿宋_GB2312" w:eastAsia="仿宋_GB2312" w:cs="仿宋_GB2312"/>
                <w:sz w:val="24"/>
                <w:szCs w:val="24"/>
                <w:highlight w:val="none"/>
                <w:lang w:val="en-US" w:eastAsia="zh-CN"/>
              </w:rPr>
              <w:t>白</w:t>
            </w:r>
            <w:r>
              <w:rPr>
                <w:rFonts w:hint="eastAsia" w:ascii="仿宋_GB2312" w:hAnsi="仿宋_GB2312" w:eastAsia="仿宋_GB2312" w:cs="仿宋_GB2312"/>
                <w:sz w:val="24"/>
                <w:szCs w:val="24"/>
                <w:highlight w:val="none"/>
              </w:rPr>
              <w:t>纸</w:t>
            </w:r>
          </w:p>
        </w:tc>
        <w:tc>
          <w:tcPr>
            <w:tcW w:w="2080" w:type="dxa"/>
            <w:vAlign w:val="center"/>
          </w:tcPr>
          <w:p w14:paraId="7C5C6932">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滴落物携带火焰、持续燃烧，引燃下方可燃物</w:t>
            </w:r>
          </w:p>
        </w:tc>
      </w:tr>
      <w:tr w14:paraId="076D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323" w:type="dxa"/>
            <w:vAlign w:val="center"/>
          </w:tcPr>
          <w:p w14:paraId="686DA1DC">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残留物状态</w:t>
            </w:r>
          </w:p>
        </w:tc>
        <w:tc>
          <w:tcPr>
            <w:tcW w:w="1586" w:type="dxa"/>
            <w:vAlign w:val="center"/>
          </w:tcPr>
          <w:p w14:paraId="0B1CD2B1">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仅表面轻微碳化，保留完整结构，残炭稳定，无松散残渣</w:t>
            </w:r>
          </w:p>
        </w:tc>
        <w:tc>
          <w:tcPr>
            <w:tcW w:w="1993" w:type="dxa"/>
            <w:vAlign w:val="center"/>
          </w:tcPr>
          <w:p w14:paraId="41B647DD">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有较多残炭，可形成稳定炭层，残留结构较完整，不易碎</w:t>
            </w:r>
          </w:p>
        </w:tc>
        <w:tc>
          <w:tcPr>
            <w:tcW w:w="2078" w:type="dxa"/>
            <w:vAlign w:val="center"/>
          </w:tcPr>
          <w:p w14:paraId="55BA3F61">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残炭量中等，残留结构不完整，有熔融硬块，部分可捏碎</w:t>
            </w:r>
          </w:p>
        </w:tc>
        <w:tc>
          <w:tcPr>
            <w:tcW w:w="2080" w:type="dxa"/>
            <w:vAlign w:val="center"/>
          </w:tcPr>
          <w:p w14:paraId="1B2FDA9A">
            <w:pPr>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几乎无完整结构残留，残炭量极少，仅存少量松散炭渣或熔融硬块，无强度、一捏就碎</w:t>
            </w:r>
          </w:p>
        </w:tc>
      </w:tr>
      <w:tr w14:paraId="74D6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60" w:type="dxa"/>
            <w:gridSpan w:val="5"/>
            <w:vAlign w:val="center"/>
          </w:tcPr>
          <w:p w14:paraId="52CE9483">
            <w:pPr>
              <w:keepNext w:val="0"/>
              <w:keepLines w:val="0"/>
              <w:pageBreakBefore w:val="0"/>
              <w:widowControl w:val="0"/>
              <w:kinsoku/>
              <w:wordWrap/>
              <w:overflowPunct/>
              <w:topLinePunct w:val="0"/>
              <w:autoSpaceDE/>
              <w:autoSpaceDN/>
              <w:bidi w:val="0"/>
              <w:adjustRightInd w:val="0"/>
              <w:snapToGrid w:val="0"/>
              <w:spacing w:before="0" w:after="0" w:line="560" w:lineRule="exact"/>
              <w:ind w:firstLine="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4"/>
                <w:szCs w:val="24"/>
                <w:highlight w:val="none"/>
                <w:lang w:val="en-US" w:eastAsia="zh-CN"/>
              </w:rPr>
              <w:t>注：观察现象难以界定的，判定为下一等级。</w:t>
            </w:r>
          </w:p>
        </w:tc>
      </w:tr>
    </w:tbl>
    <w:p w14:paraId="717D3F0B">
      <w:pPr>
        <w:keepNext w:val="0"/>
        <w:keepLines w:val="0"/>
        <w:pageBreakBefore w:val="0"/>
        <w:widowControl w:val="0"/>
        <w:kinsoku/>
        <w:wordWrap/>
        <w:overflowPunct/>
        <w:topLinePunct w:val="0"/>
        <w:autoSpaceDE/>
        <w:autoSpaceDN/>
        <w:bidi w:val="0"/>
        <w:adjustRightInd w:val="0"/>
        <w:snapToGrid w:val="0"/>
        <w:spacing w:before="320" w:after="120" w:line="560" w:lineRule="exact"/>
        <w:ind w:left="0" w:firstLine="0" w:firstLineChars="0"/>
        <w:jc w:val="left"/>
        <w:textAlignment w:val="auto"/>
        <w:outlineLvl w:val="1"/>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rPr>
        <w:t>附件</w:t>
      </w:r>
      <w:r>
        <w:rPr>
          <w:rFonts w:hint="eastAsia" w:ascii="黑体" w:hAnsi="黑体" w:eastAsia="黑体" w:cs="黑体"/>
          <w:b/>
          <w:sz w:val="32"/>
          <w:szCs w:val="32"/>
          <w:highlight w:val="none"/>
          <w:lang w:val="en-US" w:eastAsia="zh-CN"/>
        </w:rPr>
        <w:t>3</w:t>
      </w:r>
    </w:p>
    <w:p w14:paraId="6CF94B80">
      <w:pPr>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0" w:firstLineChars="0"/>
        <w:jc w:val="center"/>
        <w:textAlignment w:val="auto"/>
        <w:outlineLvl w:val="1"/>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现行外墙外保温系统防火设计技术要点</w:t>
      </w:r>
    </w:p>
    <w:p w14:paraId="10F67695">
      <w:pPr>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0" w:firstLineChars="0"/>
        <w:jc w:val="center"/>
        <w:textAlignment w:val="auto"/>
        <w:outlineLvl w:val="1"/>
        <w:rPr>
          <w:rFonts w:hint="eastAsia" w:ascii="宋体" w:hAnsi="宋体" w:eastAsia="宋体" w:cs="宋体"/>
          <w:b/>
          <w:bCs/>
          <w:sz w:val="44"/>
          <w:szCs w:val="44"/>
          <w:highlight w:val="none"/>
          <w:lang w:val="en-US" w:eastAsia="zh-CN"/>
        </w:rPr>
      </w:pPr>
    </w:p>
    <w:tbl>
      <w:tblPr>
        <w:tblStyle w:val="3"/>
        <w:tblW w:w="4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94"/>
        <w:gridCol w:w="1953"/>
        <w:gridCol w:w="1792"/>
        <w:gridCol w:w="2138"/>
      </w:tblGrid>
      <w:tr w14:paraId="6600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8" w:hRule="atLeast"/>
          <w:jc w:val="center"/>
        </w:trPr>
        <w:tc>
          <w:tcPr>
            <w:tcW w:w="1570" w:type="pct"/>
            <w:tcMar>
              <w:top w:w="60" w:type="dxa"/>
              <w:left w:w="120" w:type="dxa"/>
              <w:bottom w:w="30" w:type="dxa"/>
              <w:right w:w="120" w:type="dxa"/>
            </w:tcMar>
            <w:vAlign w:val="center"/>
          </w:tcPr>
          <w:p w14:paraId="097B6B87">
            <w:pPr>
              <w:adjustRightInd w:val="0"/>
              <w:snapToGrid w:val="0"/>
              <w:spacing w:before="0" w:after="0" w:line="240" w:lineRule="auto"/>
              <w:ind w:left="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建筑类型</w:t>
            </w:r>
          </w:p>
        </w:tc>
        <w:tc>
          <w:tcPr>
            <w:tcW w:w="1138" w:type="pct"/>
            <w:tcMar>
              <w:top w:w="60" w:type="dxa"/>
              <w:left w:w="120" w:type="dxa"/>
              <w:bottom w:w="30" w:type="dxa"/>
              <w:right w:w="120" w:type="dxa"/>
            </w:tcMar>
            <w:vAlign w:val="center"/>
          </w:tcPr>
          <w:p w14:paraId="5F4EA4A2">
            <w:pPr>
              <w:adjustRightInd w:val="0"/>
              <w:snapToGrid w:val="0"/>
              <w:spacing w:before="0" w:after="0" w:line="240" w:lineRule="auto"/>
              <w:ind w:left="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外墙保温</w:t>
            </w:r>
            <w:r>
              <w:rPr>
                <w:rFonts w:hint="eastAsia" w:ascii="仿宋" w:hAnsi="仿宋" w:eastAsia="仿宋" w:cs="仿宋"/>
                <w:b/>
                <w:bCs/>
                <w:color w:val="auto"/>
                <w:sz w:val="24"/>
                <w:szCs w:val="24"/>
                <w:highlight w:val="none"/>
              </w:rPr>
              <w:t>系统类型</w:t>
            </w:r>
          </w:p>
        </w:tc>
        <w:tc>
          <w:tcPr>
            <w:tcW w:w="1044" w:type="pct"/>
            <w:tcMar>
              <w:top w:w="60" w:type="dxa"/>
              <w:left w:w="120" w:type="dxa"/>
              <w:bottom w:w="30" w:type="dxa"/>
              <w:right w:w="120" w:type="dxa"/>
            </w:tcMar>
            <w:vAlign w:val="center"/>
          </w:tcPr>
          <w:p w14:paraId="4D8745D5">
            <w:pPr>
              <w:adjustRightInd w:val="0"/>
              <w:snapToGrid w:val="0"/>
              <w:spacing w:before="0" w:after="0" w:line="240" w:lineRule="auto"/>
              <w:ind w:left="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高度/极限要求</w:t>
            </w:r>
          </w:p>
        </w:tc>
        <w:tc>
          <w:tcPr>
            <w:tcW w:w="1246" w:type="pct"/>
            <w:tcMar>
              <w:top w:w="60" w:type="dxa"/>
              <w:left w:w="120" w:type="dxa"/>
              <w:bottom w:w="30" w:type="dxa"/>
              <w:right w:w="120" w:type="dxa"/>
            </w:tcMar>
            <w:vAlign w:val="center"/>
          </w:tcPr>
          <w:p w14:paraId="7F48A086">
            <w:pPr>
              <w:adjustRightInd w:val="0"/>
              <w:snapToGrid w:val="0"/>
              <w:spacing w:before="0" w:after="0" w:line="240" w:lineRule="auto"/>
              <w:ind w:left="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保温材料</w:t>
            </w:r>
            <w:r>
              <w:rPr>
                <w:rFonts w:hint="eastAsia" w:ascii="仿宋" w:hAnsi="仿宋" w:eastAsia="仿宋" w:cs="仿宋"/>
                <w:b/>
                <w:bCs/>
                <w:color w:val="auto"/>
                <w:sz w:val="24"/>
                <w:szCs w:val="24"/>
                <w:highlight w:val="none"/>
                <w:lang w:val="en-US" w:eastAsia="zh-CN"/>
              </w:rPr>
              <w:t>或制品</w:t>
            </w:r>
            <w:r>
              <w:rPr>
                <w:rFonts w:hint="eastAsia" w:ascii="仿宋" w:hAnsi="仿宋" w:eastAsia="仿宋" w:cs="仿宋"/>
                <w:b/>
                <w:bCs/>
                <w:color w:val="auto"/>
                <w:sz w:val="24"/>
                <w:szCs w:val="24"/>
                <w:highlight w:val="none"/>
              </w:rPr>
              <w:t>燃烧性能要求</w:t>
            </w:r>
          </w:p>
        </w:tc>
      </w:tr>
      <w:tr w14:paraId="0A9D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center"/>
        </w:trPr>
        <w:tc>
          <w:tcPr>
            <w:tcW w:w="1570" w:type="pct"/>
            <w:vMerge w:val="restart"/>
            <w:tcMar>
              <w:top w:w="60" w:type="dxa"/>
              <w:left w:w="120" w:type="dxa"/>
              <w:bottom w:w="30" w:type="dxa"/>
              <w:right w:w="120" w:type="dxa"/>
            </w:tcMar>
            <w:vAlign w:val="center"/>
          </w:tcPr>
          <w:p w14:paraId="2E638B16">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住宅建筑</w:t>
            </w:r>
          </w:p>
        </w:tc>
        <w:tc>
          <w:tcPr>
            <w:tcW w:w="1138" w:type="pct"/>
            <w:vMerge w:val="restart"/>
            <w:tcMar>
              <w:top w:w="60" w:type="dxa"/>
              <w:left w:w="120" w:type="dxa"/>
              <w:bottom w:w="30" w:type="dxa"/>
              <w:right w:w="120" w:type="dxa"/>
            </w:tcMar>
            <w:vAlign w:val="center"/>
          </w:tcPr>
          <w:p w14:paraId="4E3A9B28">
            <w:pPr>
              <w:adjustRightInd w:val="0"/>
              <w:snapToGrid w:val="0"/>
              <w:spacing w:before="0" w:after="0" w:line="240" w:lineRule="auto"/>
              <w:ind w:left="0" w:firstLine="0" w:firstLineChars="0"/>
              <w:jc w:val="center"/>
              <w:rPr>
                <w:rFonts w:hint="default" w:ascii="仿宋" w:hAnsi="仿宋" w:eastAsia="仿宋" w:cs="仿宋"/>
                <w:strike/>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外墙外保温系统</w:t>
            </w:r>
            <w:r>
              <w:rPr>
                <w:rFonts w:hint="eastAsia" w:ascii="仿宋" w:hAnsi="仿宋" w:eastAsia="仿宋" w:cs="仿宋"/>
                <w:strike w:val="0"/>
                <w:dstrike w:val="0"/>
                <w:color w:val="auto"/>
                <w:sz w:val="24"/>
                <w:szCs w:val="24"/>
                <w:highlight w:val="none"/>
                <w:lang w:val="en-US" w:eastAsia="zh-CN"/>
              </w:rPr>
              <w:t>与基层墙体、装饰层之间无空腔</w:t>
            </w:r>
          </w:p>
        </w:tc>
        <w:tc>
          <w:tcPr>
            <w:tcW w:w="1044" w:type="pct"/>
            <w:tcMar>
              <w:top w:w="60" w:type="dxa"/>
              <w:left w:w="120" w:type="dxa"/>
              <w:bottom w:w="30" w:type="dxa"/>
              <w:right w:w="120" w:type="dxa"/>
            </w:tcMar>
            <w:vAlign w:val="center"/>
          </w:tcPr>
          <w:p w14:paraId="572A024C">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w:t>
            </w:r>
            <w:r>
              <w:rPr>
                <w:rFonts w:hint="eastAsia" w:ascii="仿宋" w:hAnsi="仿宋" w:eastAsia="仿宋" w:cs="仿宋"/>
                <w:strike w:val="0"/>
                <w:dstrike w:val="0"/>
                <w:color w:val="auto"/>
                <w:sz w:val="24"/>
                <w:szCs w:val="24"/>
                <w:highlight w:val="none"/>
              </w:rPr>
              <w:t>100m</w:t>
            </w:r>
          </w:p>
        </w:tc>
        <w:tc>
          <w:tcPr>
            <w:tcW w:w="1246" w:type="pct"/>
            <w:tcMar>
              <w:top w:w="60" w:type="dxa"/>
              <w:left w:w="120" w:type="dxa"/>
              <w:bottom w:w="30" w:type="dxa"/>
              <w:right w:w="120" w:type="dxa"/>
            </w:tcMar>
            <w:vAlign w:val="center"/>
          </w:tcPr>
          <w:p w14:paraId="0673A917">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强制A级</w:t>
            </w:r>
          </w:p>
        </w:tc>
      </w:tr>
      <w:tr w14:paraId="362B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center"/>
        </w:trPr>
        <w:tc>
          <w:tcPr>
            <w:tcW w:w="1570" w:type="pct"/>
            <w:vMerge w:val="continue"/>
            <w:tcMar>
              <w:top w:w="60" w:type="dxa"/>
              <w:left w:w="120" w:type="dxa"/>
              <w:bottom w:w="30" w:type="dxa"/>
              <w:right w:w="120" w:type="dxa"/>
            </w:tcMar>
            <w:vAlign w:val="center"/>
          </w:tcPr>
          <w:p w14:paraId="6CE205A2">
            <w:pPr>
              <w:adjustRightInd w:val="0"/>
              <w:snapToGrid w:val="0"/>
              <w:spacing w:before="0" w:after="0" w:line="240" w:lineRule="auto"/>
              <w:ind w:left="0" w:firstLine="0" w:firstLineChars="0"/>
              <w:jc w:val="center"/>
              <w:rPr>
                <w:rFonts w:hint="eastAsia" w:ascii="仿宋" w:hAnsi="仿宋" w:eastAsia="仿宋" w:cs="仿宋"/>
                <w:strike/>
                <w:dstrike w:val="0"/>
                <w:color w:val="auto"/>
                <w:sz w:val="24"/>
                <w:szCs w:val="24"/>
                <w:highlight w:val="none"/>
              </w:rPr>
            </w:pPr>
          </w:p>
        </w:tc>
        <w:tc>
          <w:tcPr>
            <w:tcW w:w="1138" w:type="pct"/>
            <w:vMerge w:val="continue"/>
            <w:tcMar>
              <w:top w:w="60" w:type="dxa"/>
              <w:left w:w="120" w:type="dxa"/>
              <w:bottom w:w="30" w:type="dxa"/>
              <w:right w:w="120" w:type="dxa"/>
            </w:tcMar>
            <w:vAlign w:val="center"/>
          </w:tcPr>
          <w:p w14:paraId="794FB02A">
            <w:pPr>
              <w:adjustRightInd w:val="0"/>
              <w:snapToGrid w:val="0"/>
              <w:spacing w:before="0" w:after="0" w:line="240" w:lineRule="auto"/>
              <w:ind w:left="0" w:firstLine="0" w:firstLineChars="0"/>
              <w:jc w:val="center"/>
              <w:rPr>
                <w:rFonts w:hint="eastAsia" w:ascii="仿宋" w:hAnsi="仿宋" w:eastAsia="仿宋" w:cs="仿宋"/>
                <w:strike/>
                <w:dstrike w:val="0"/>
                <w:color w:val="auto"/>
                <w:sz w:val="24"/>
                <w:szCs w:val="24"/>
                <w:highlight w:val="none"/>
              </w:rPr>
            </w:pPr>
          </w:p>
        </w:tc>
        <w:tc>
          <w:tcPr>
            <w:tcW w:w="1044" w:type="pct"/>
            <w:tcMar>
              <w:top w:w="60" w:type="dxa"/>
              <w:left w:w="120" w:type="dxa"/>
              <w:bottom w:w="30" w:type="dxa"/>
              <w:right w:w="120" w:type="dxa"/>
            </w:tcMar>
            <w:vAlign w:val="center"/>
          </w:tcPr>
          <w:p w14:paraId="67F21051">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27m＜h≤100m</w:t>
            </w:r>
          </w:p>
        </w:tc>
        <w:tc>
          <w:tcPr>
            <w:tcW w:w="1246" w:type="pct"/>
            <w:tcMar>
              <w:top w:w="60" w:type="dxa"/>
              <w:left w:w="120" w:type="dxa"/>
              <w:bottom w:w="30" w:type="dxa"/>
              <w:right w:w="120" w:type="dxa"/>
            </w:tcMar>
            <w:vAlign w:val="center"/>
          </w:tcPr>
          <w:p w14:paraId="7A8B6BB5">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不低于B</w:t>
            </w:r>
            <w:r>
              <w:rPr>
                <w:rFonts w:hint="eastAsia" w:ascii="仿宋" w:hAnsi="仿宋" w:eastAsia="仿宋" w:cs="仿宋"/>
                <w:strike w:val="0"/>
                <w:dstrike w:val="0"/>
                <w:color w:val="auto"/>
                <w:sz w:val="24"/>
                <w:szCs w:val="24"/>
                <w:highlight w:val="none"/>
                <w:vertAlign w:val="subscript"/>
              </w:rPr>
              <w:t>1</w:t>
            </w:r>
            <w:r>
              <w:rPr>
                <w:rFonts w:hint="eastAsia" w:ascii="仿宋" w:hAnsi="仿宋" w:eastAsia="仿宋" w:cs="仿宋"/>
                <w:strike w:val="0"/>
                <w:dstrike w:val="0"/>
                <w:color w:val="auto"/>
                <w:sz w:val="24"/>
                <w:szCs w:val="24"/>
                <w:highlight w:val="none"/>
              </w:rPr>
              <w:t>级</w:t>
            </w:r>
          </w:p>
        </w:tc>
      </w:tr>
      <w:tr w14:paraId="5DB0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center"/>
        </w:trPr>
        <w:tc>
          <w:tcPr>
            <w:tcW w:w="1570" w:type="pct"/>
            <w:vMerge w:val="restart"/>
            <w:tcMar>
              <w:top w:w="60" w:type="dxa"/>
              <w:left w:w="120" w:type="dxa"/>
              <w:bottom w:w="30" w:type="dxa"/>
              <w:right w:w="120" w:type="dxa"/>
            </w:tcMar>
            <w:vAlign w:val="center"/>
          </w:tcPr>
          <w:p w14:paraId="25CF90FB">
            <w:pPr>
              <w:adjustRightInd w:val="0"/>
              <w:snapToGrid w:val="0"/>
              <w:spacing w:before="0" w:after="0" w:line="240" w:lineRule="auto"/>
              <w:ind w:left="0" w:firstLine="0" w:firstLineChars="0"/>
              <w:jc w:val="center"/>
              <w:rPr>
                <w:rFonts w:hint="eastAsia" w:ascii="仿宋" w:hAnsi="仿宋" w:eastAsia="仿宋" w:cs="仿宋"/>
                <w:strike/>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其他建筑（除</w:t>
            </w:r>
            <w:r>
              <w:rPr>
                <w:rFonts w:hint="eastAsia" w:ascii="仿宋" w:hAnsi="仿宋" w:eastAsia="仿宋" w:cs="仿宋"/>
                <w:strike w:val="0"/>
                <w:dstrike w:val="0"/>
                <w:color w:val="auto"/>
                <w:sz w:val="24"/>
                <w:szCs w:val="24"/>
                <w:highlight w:val="none"/>
              </w:rPr>
              <w:t>住宅建筑</w:t>
            </w:r>
            <w:r>
              <w:rPr>
                <w:rFonts w:hint="eastAsia" w:ascii="仿宋" w:hAnsi="仿宋" w:eastAsia="仿宋" w:cs="仿宋"/>
                <w:strike w:val="0"/>
                <w:dstrike w:val="0"/>
                <w:color w:val="auto"/>
                <w:sz w:val="24"/>
                <w:szCs w:val="24"/>
                <w:highlight w:val="none"/>
                <w:lang w:val="en-US" w:eastAsia="zh-CN"/>
              </w:rPr>
              <w:t>以外）</w:t>
            </w:r>
          </w:p>
        </w:tc>
        <w:tc>
          <w:tcPr>
            <w:tcW w:w="1138" w:type="pct"/>
            <w:vMerge w:val="continue"/>
            <w:tcMar>
              <w:top w:w="60" w:type="dxa"/>
              <w:left w:w="120" w:type="dxa"/>
              <w:bottom w:w="30" w:type="dxa"/>
              <w:right w:w="120" w:type="dxa"/>
            </w:tcMar>
            <w:vAlign w:val="center"/>
          </w:tcPr>
          <w:p w14:paraId="1F150F8E">
            <w:pPr>
              <w:adjustRightInd w:val="0"/>
              <w:snapToGrid w:val="0"/>
              <w:spacing w:before="0" w:after="0" w:line="240" w:lineRule="auto"/>
              <w:ind w:left="0" w:firstLine="0" w:firstLineChars="0"/>
              <w:jc w:val="center"/>
              <w:rPr>
                <w:rFonts w:hint="eastAsia" w:ascii="仿宋" w:hAnsi="仿宋" w:eastAsia="仿宋" w:cs="仿宋"/>
                <w:strike/>
                <w:dstrike w:val="0"/>
                <w:color w:val="auto"/>
                <w:sz w:val="24"/>
                <w:szCs w:val="24"/>
                <w:highlight w:val="none"/>
              </w:rPr>
            </w:pPr>
          </w:p>
        </w:tc>
        <w:tc>
          <w:tcPr>
            <w:tcW w:w="1044" w:type="pct"/>
            <w:tcMar>
              <w:top w:w="60" w:type="dxa"/>
              <w:left w:w="120" w:type="dxa"/>
              <w:bottom w:w="30" w:type="dxa"/>
              <w:right w:w="120" w:type="dxa"/>
            </w:tcMar>
            <w:vAlign w:val="center"/>
          </w:tcPr>
          <w:p w14:paraId="76DA0F41">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w:t>
            </w:r>
            <w:r>
              <w:rPr>
                <w:rFonts w:hint="eastAsia" w:ascii="仿宋" w:hAnsi="仿宋" w:eastAsia="仿宋" w:cs="仿宋"/>
                <w:strike w:val="0"/>
                <w:dstrike w:val="0"/>
                <w:color w:val="auto"/>
                <w:sz w:val="24"/>
                <w:szCs w:val="24"/>
                <w:highlight w:val="none"/>
              </w:rPr>
              <w:t>50m</w:t>
            </w:r>
          </w:p>
        </w:tc>
        <w:tc>
          <w:tcPr>
            <w:tcW w:w="1246" w:type="pct"/>
            <w:tcMar>
              <w:top w:w="60" w:type="dxa"/>
              <w:left w:w="120" w:type="dxa"/>
              <w:bottom w:w="30" w:type="dxa"/>
              <w:right w:w="120" w:type="dxa"/>
            </w:tcMar>
            <w:vAlign w:val="center"/>
          </w:tcPr>
          <w:p w14:paraId="797E44FC">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强制A级</w:t>
            </w:r>
          </w:p>
        </w:tc>
      </w:tr>
      <w:tr w14:paraId="7FDD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center"/>
        </w:trPr>
        <w:tc>
          <w:tcPr>
            <w:tcW w:w="1570" w:type="pct"/>
            <w:vMerge w:val="continue"/>
            <w:tcMar>
              <w:top w:w="60" w:type="dxa"/>
              <w:left w:w="120" w:type="dxa"/>
              <w:bottom w:w="30" w:type="dxa"/>
              <w:right w:w="120" w:type="dxa"/>
            </w:tcMar>
            <w:vAlign w:val="center"/>
          </w:tcPr>
          <w:p w14:paraId="5F377E32">
            <w:pPr>
              <w:adjustRightInd w:val="0"/>
              <w:snapToGrid w:val="0"/>
              <w:spacing w:before="0" w:after="0" w:line="240" w:lineRule="auto"/>
              <w:ind w:left="0" w:firstLine="0" w:firstLineChars="0"/>
              <w:jc w:val="center"/>
              <w:rPr>
                <w:rFonts w:hint="eastAsia" w:ascii="仿宋" w:hAnsi="仿宋" w:eastAsia="仿宋" w:cs="仿宋"/>
                <w:strike/>
                <w:dstrike w:val="0"/>
                <w:color w:val="auto"/>
                <w:sz w:val="24"/>
                <w:szCs w:val="24"/>
                <w:highlight w:val="none"/>
              </w:rPr>
            </w:pPr>
          </w:p>
        </w:tc>
        <w:tc>
          <w:tcPr>
            <w:tcW w:w="1138" w:type="pct"/>
            <w:vMerge w:val="continue"/>
            <w:tcMar>
              <w:top w:w="60" w:type="dxa"/>
              <w:left w:w="120" w:type="dxa"/>
              <w:bottom w:w="30" w:type="dxa"/>
              <w:right w:w="120" w:type="dxa"/>
            </w:tcMar>
            <w:vAlign w:val="center"/>
          </w:tcPr>
          <w:p w14:paraId="00FB6D11">
            <w:pPr>
              <w:adjustRightInd w:val="0"/>
              <w:snapToGrid w:val="0"/>
              <w:spacing w:before="0" w:after="0" w:line="240" w:lineRule="auto"/>
              <w:ind w:left="0" w:firstLine="0" w:firstLineChars="0"/>
              <w:jc w:val="center"/>
              <w:rPr>
                <w:rFonts w:hint="eastAsia" w:ascii="仿宋" w:hAnsi="仿宋" w:eastAsia="仿宋" w:cs="仿宋"/>
                <w:strike/>
                <w:dstrike w:val="0"/>
                <w:color w:val="auto"/>
                <w:sz w:val="24"/>
                <w:szCs w:val="24"/>
                <w:highlight w:val="none"/>
              </w:rPr>
            </w:pPr>
          </w:p>
        </w:tc>
        <w:tc>
          <w:tcPr>
            <w:tcW w:w="1044" w:type="pct"/>
            <w:tcMar>
              <w:top w:w="60" w:type="dxa"/>
              <w:left w:w="120" w:type="dxa"/>
              <w:bottom w:w="30" w:type="dxa"/>
              <w:right w:w="120" w:type="dxa"/>
            </w:tcMar>
            <w:vAlign w:val="center"/>
          </w:tcPr>
          <w:p w14:paraId="3E9C8A97">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24m＜h≤50m</w:t>
            </w:r>
          </w:p>
        </w:tc>
        <w:tc>
          <w:tcPr>
            <w:tcW w:w="1246" w:type="pct"/>
            <w:tcMar>
              <w:top w:w="60" w:type="dxa"/>
              <w:left w:w="120" w:type="dxa"/>
              <w:bottom w:w="30" w:type="dxa"/>
              <w:right w:w="120" w:type="dxa"/>
            </w:tcMar>
            <w:vAlign w:val="center"/>
          </w:tcPr>
          <w:p w14:paraId="556C3CF1">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不低于B</w:t>
            </w:r>
            <w:r>
              <w:rPr>
                <w:rFonts w:hint="eastAsia" w:ascii="仿宋" w:hAnsi="仿宋" w:eastAsia="仿宋" w:cs="仿宋"/>
                <w:strike w:val="0"/>
                <w:dstrike w:val="0"/>
                <w:color w:val="auto"/>
                <w:sz w:val="24"/>
                <w:szCs w:val="24"/>
                <w:highlight w:val="none"/>
                <w:vertAlign w:val="subscript"/>
              </w:rPr>
              <w:t>1</w:t>
            </w:r>
            <w:r>
              <w:rPr>
                <w:rFonts w:hint="eastAsia" w:ascii="仿宋" w:hAnsi="仿宋" w:eastAsia="仿宋" w:cs="仿宋"/>
                <w:strike w:val="0"/>
                <w:dstrike w:val="0"/>
                <w:color w:val="auto"/>
                <w:sz w:val="24"/>
                <w:szCs w:val="24"/>
                <w:highlight w:val="none"/>
              </w:rPr>
              <w:t>级</w:t>
            </w:r>
          </w:p>
        </w:tc>
      </w:tr>
      <w:tr w14:paraId="4D51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center"/>
        </w:trPr>
        <w:tc>
          <w:tcPr>
            <w:tcW w:w="1570" w:type="pct"/>
            <w:vMerge w:val="restart"/>
            <w:tcMar>
              <w:top w:w="60" w:type="dxa"/>
              <w:left w:w="120" w:type="dxa"/>
              <w:bottom w:w="30" w:type="dxa"/>
              <w:right w:w="120" w:type="dxa"/>
            </w:tcMar>
            <w:vAlign w:val="center"/>
          </w:tcPr>
          <w:p w14:paraId="587686FD">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住宅建筑</w:t>
            </w:r>
            <w:r>
              <w:rPr>
                <w:rFonts w:hint="eastAsia" w:ascii="仿宋" w:hAnsi="仿宋" w:eastAsia="仿宋" w:cs="仿宋"/>
                <w:strike w:val="0"/>
                <w:dstrike w:val="0"/>
                <w:color w:val="auto"/>
                <w:sz w:val="24"/>
                <w:szCs w:val="24"/>
                <w:highlight w:val="none"/>
                <w:lang w:val="en-US" w:eastAsia="zh-CN"/>
              </w:rPr>
              <w:t>与</w:t>
            </w:r>
          </w:p>
          <w:p w14:paraId="086F94E5">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其他建筑</w:t>
            </w:r>
          </w:p>
        </w:tc>
        <w:tc>
          <w:tcPr>
            <w:tcW w:w="1138" w:type="pct"/>
            <w:vMerge w:val="restart"/>
            <w:tcMar>
              <w:top w:w="60" w:type="dxa"/>
              <w:left w:w="120" w:type="dxa"/>
              <w:bottom w:w="30" w:type="dxa"/>
              <w:right w:w="120" w:type="dxa"/>
            </w:tcMar>
            <w:vAlign w:val="center"/>
          </w:tcPr>
          <w:p w14:paraId="3E3BE604">
            <w:pPr>
              <w:adjustRightInd w:val="0"/>
              <w:snapToGrid w:val="0"/>
              <w:spacing w:before="0" w:after="0" w:line="240" w:lineRule="auto"/>
              <w:ind w:left="0" w:firstLine="0" w:firstLineChars="0"/>
              <w:jc w:val="center"/>
              <w:rPr>
                <w:rFonts w:hint="eastAsia" w:ascii="仿宋" w:hAnsi="仿宋" w:eastAsia="仿宋" w:cs="仿宋"/>
                <w:strike/>
                <w:dstrike w:val="0"/>
                <w:color w:val="auto"/>
                <w:sz w:val="24"/>
                <w:szCs w:val="24"/>
                <w:highlight w:val="none"/>
              </w:rPr>
            </w:pPr>
            <w:r>
              <w:rPr>
                <w:rFonts w:hint="eastAsia" w:ascii="仿宋" w:hAnsi="仿宋" w:eastAsia="仿宋" w:cs="仿宋"/>
                <w:strike w:val="0"/>
                <w:dstrike w:val="0"/>
                <w:color w:val="auto"/>
                <w:sz w:val="24"/>
                <w:szCs w:val="24"/>
                <w:highlight w:val="none"/>
              </w:rPr>
              <w:t>外墙外保温系统</w:t>
            </w:r>
            <w:r>
              <w:rPr>
                <w:rFonts w:hint="eastAsia" w:ascii="仿宋" w:hAnsi="仿宋" w:eastAsia="仿宋" w:cs="仿宋"/>
                <w:strike w:val="0"/>
                <w:dstrike w:val="0"/>
                <w:color w:val="auto"/>
                <w:sz w:val="24"/>
                <w:szCs w:val="24"/>
                <w:highlight w:val="none"/>
                <w:lang w:val="en-US" w:eastAsia="zh-CN"/>
              </w:rPr>
              <w:t>与基层墙体、装饰层之间有空腔</w:t>
            </w:r>
          </w:p>
        </w:tc>
        <w:tc>
          <w:tcPr>
            <w:tcW w:w="1044" w:type="pct"/>
            <w:tcMar>
              <w:top w:w="60" w:type="dxa"/>
              <w:left w:w="120" w:type="dxa"/>
              <w:bottom w:w="30" w:type="dxa"/>
              <w:right w:w="120" w:type="dxa"/>
            </w:tcMar>
            <w:vAlign w:val="center"/>
          </w:tcPr>
          <w:p w14:paraId="020DCE87">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w:t>
            </w:r>
            <w:r>
              <w:rPr>
                <w:rFonts w:hint="eastAsia" w:ascii="仿宋" w:hAnsi="仿宋" w:eastAsia="仿宋" w:cs="仿宋"/>
                <w:strike w:val="0"/>
                <w:dstrike w:val="0"/>
                <w:color w:val="auto"/>
                <w:sz w:val="24"/>
                <w:szCs w:val="24"/>
                <w:highlight w:val="none"/>
              </w:rPr>
              <w:t>24m</w:t>
            </w:r>
          </w:p>
        </w:tc>
        <w:tc>
          <w:tcPr>
            <w:tcW w:w="1246" w:type="pct"/>
            <w:tcMar>
              <w:top w:w="60" w:type="dxa"/>
              <w:left w:w="120" w:type="dxa"/>
              <w:bottom w:w="30" w:type="dxa"/>
              <w:right w:w="120" w:type="dxa"/>
            </w:tcMar>
            <w:vAlign w:val="center"/>
          </w:tcPr>
          <w:p w14:paraId="7DE135D3">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强制A级</w:t>
            </w:r>
          </w:p>
        </w:tc>
      </w:tr>
      <w:tr w14:paraId="0AEE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5" w:hRule="atLeast"/>
          <w:jc w:val="center"/>
        </w:trPr>
        <w:tc>
          <w:tcPr>
            <w:tcW w:w="1570" w:type="pct"/>
            <w:vMerge w:val="continue"/>
            <w:tcMar>
              <w:top w:w="60" w:type="dxa"/>
              <w:left w:w="120" w:type="dxa"/>
              <w:bottom w:w="30" w:type="dxa"/>
              <w:right w:w="120" w:type="dxa"/>
            </w:tcMar>
            <w:vAlign w:val="center"/>
          </w:tcPr>
          <w:p w14:paraId="1DABE8DE">
            <w:pPr>
              <w:adjustRightInd w:val="0"/>
              <w:snapToGrid w:val="0"/>
              <w:spacing w:before="0" w:after="0" w:line="240" w:lineRule="auto"/>
              <w:ind w:left="0" w:firstLine="0" w:firstLineChars="0"/>
              <w:jc w:val="center"/>
              <w:rPr>
                <w:rFonts w:hint="eastAsia" w:ascii="仿宋" w:hAnsi="仿宋" w:eastAsia="仿宋" w:cs="仿宋"/>
                <w:strike/>
                <w:dstrike w:val="0"/>
                <w:color w:val="auto"/>
                <w:sz w:val="24"/>
                <w:szCs w:val="24"/>
                <w:highlight w:val="none"/>
              </w:rPr>
            </w:pPr>
          </w:p>
        </w:tc>
        <w:tc>
          <w:tcPr>
            <w:tcW w:w="1138" w:type="pct"/>
            <w:vMerge w:val="continue"/>
            <w:tcMar>
              <w:top w:w="60" w:type="dxa"/>
              <w:left w:w="120" w:type="dxa"/>
              <w:bottom w:w="30" w:type="dxa"/>
              <w:right w:w="120" w:type="dxa"/>
            </w:tcMar>
            <w:vAlign w:val="center"/>
          </w:tcPr>
          <w:p w14:paraId="1BE15188">
            <w:pPr>
              <w:adjustRightInd w:val="0"/>
              <w:snapToGrid w:val="0"/>
              <w:spacing w:before="0" w:after="0" w:line="240" w:lineRule="auto"/>
              <w:ind w:left="0" w:firstLine="0" w:firstLineChars="0"/>
              <w:jc w:val="center"/>
              <w:rPr>
                <w:rFonts w:hint="eastAsia" w:ascii="仿宋" w:hAnsi="仿宋" w:eastAsia="仿宋" w:cs="仿宋"/>
                <w:strike/>
                <w:dstrike w:val="0"/>
                <w:color w:val="auto"/>
                <w:sz w:val="24"/>
                <w:szCs w:val="24"/>
                <w:highlight w:val="none"/>
              </w:rPr>
            </w:pPr>
          </w:p>
        </w:tc>
        <w:tc>
          <w:tcPr>
            <w:tcW w:w="1044" w:type="pct"/>
            <w:tcMar>
              <w:top w:w="60" w:type="dxa"/>
              <w:left w:w="120" w:type="dxa"/>
              <w:bottom w:w="30" w:type="dxa"/>
              <w:right w:w="120" w:type="dxa"/>
            </w:tcMar>
            <w:vAlign w:val="center"/>
          </w:tcPr>
          <w:p w14:paraId="643327ED">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≤24m</w:t>
            </w:r>
          </w:p>
        </w:tc>
        <w:tc>
          <w:tcPr>
            <w:tcW w:w="1246" w:type="pct"/>
            <w:tcMar>
              <w:top w:w="60" w:type="dxa"/>
              <w:left w:w="120" w:type="dxa"/>
              <w:bottom w:w="30" w:type="dxa"/>
              <w:right w:w="120" w:type="dxa"/>
            </w:tcMar>
            <w:vAlign w:val="center"/>
          </w:tcPr>
          <w:p w14:paraId="1556E8CE">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不低于B</w:t>
            </w:r>
            <w:r>
              <w:rPr>
                <w:rFonts w:hint="eastAsia" w:ascii="仿宋" w:hAnsi="仿宋" w:eastAsia="仿宋" w:cs="仿宋"/>
                <w:strike w:val="0"/>
                <w:dstrike w:val="0"/>
                <w:color w:val="auto"/>
                <w:sz w:val="24"/>
                <w:szCs w:val="24"/>
                <w:highlight w:val="none"/>
                <w:vertAlign w:val="subscript"/>
              </w:rPr>
              <w:t>1</w:t>
            </w:r>
            <w:r>
              <w:rPr>
                <w:rFonts w:hint="eastAsia" w:ascii="仿宋" w:hAnsi="仿宋" w:eastAsia="仿宋" w:cs="仿宋"/>
                <w:strike w:val="0"/>
                <w:dstrike w:val="0"/>
                <w:color w:val="auto"/>
                <w:sz w:val="24"/>
                <w:szCs w:val="24"/>
                <w:highlight w:val="none"/>
              </w:rPr>
              <w:t>级</w:t>
            </w:r>
          </w:p>
        </w:tc>
      </w:tr>
      <w:tr w14:paraId="7621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1" w:hRule="atLeast"/>
          <w:jc w:val="center"/>
        </w:trPr>
        <w:tc>
          <w:tcPr>
            <w:tcW w:w="1570" w:type="pct"/>
            <w:tcMar>
              <w:top w:w="60" w:type="dxa"/>
              <w:left w:w="120" w:type="dxa"/>
              <w:bottom w:w="30" w:type="dxa"/>
              <w:right w:w="120" w:type="dxa"/>
            </w:tcMar>
            <w:vAlign w:val="center"/>
          </w:tcPr>
          <w:p w14:paraId="69B52CA0">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特殊场所（独立建造</w:t>
            </w:r>
            <w:r>
              <w:rPr>
                <w:rFonts w:hint="eastAsia" w:ascii="仿宋" w:hAnsi="仿宋" w:eastAsia="仿宋" w:cs="仿宋"/>
                <w:strike w:val="0"/>
                <w:dstrike w:val="0"/>
                <w:color w:val="auto"/>
                <w:sz w:val="24"/>
                <w:szCs w:val="24"/>
                <w:highlight w:val="none"/>
                <w:lang w:val="en-US" w:eastAsia="zh-CN"/>
              </w:rPr>
              <w:t>的</w:t>
            </w:r>
            <w:r>
              <w:rPr>
                <w:rFonts w:hint="eastAsia" w:ascii="仿宋" w:hAnsi="仿宋" w:eastAsia="仿宋" w:cs="仿宋"/>
                <w:strike w:val="0"/>
                <w:dstrike w:val="0"/>
                <w:color w:val="auto"/>
                <w:sz w:val="24"/>
                <w:szCs w:val="24"/>
                <w:highlight w:val="none"/>
              </w:rPr>
              <w:t>老年人照料设施</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与其他建筑组合建造且</w:t>
            </w:r>
            <w:r>
              <w:rPr>
                <w:rFonts w:hint="eastAsia" w:ascii="仿宋" w:hAnsi="仿宋" w:eastAsia="仿宋" w:cs="仿宋"/>
                <w:strike w:val="0"/>
                <w:dstrike w:val="0"/>
                <w:color w:val="auto"/>
                <w:sz w:val="24"/>
                <w:szCs w:val="24"/>
                <w:highlight w:val="none"/>
                <w:lang w:val="en-US" w:eastAsia="zh-CN"/>
              </w:rPr>
              <w:t>老年人照料设施部分的总</w:t>
            </w:r>
            <w:r>
              <w:rPr>
                <w:rFonts w:hint="eastAsia" w:ascii="仿宋" w:hAnsi="仿宋" w:eastAsia="仿宋" w:cs="仿宋"/>
                <w:strike w:val="0"/>
                <w:dstrike w:val="0"/>
                <w:color w:val="auto"/>
                <w:sz w:val="24"/>
                <w:szCs w:val="24"/>
                <w:highlight w:val="none"/>
              </w:rPr>
              <w:t>面积＞500㎡）</w:t>
            </w:r>
          </w:p>
        </w:tc>
        <w:tc>
          <w:tcPr>
            <w:tcW w:w="1138" w:type="pct"/>
            <w:tcMar>
              <w:top w:w="60" w:type="dxa"/>
              <w:left w:w="120" w:type="dxa"/>
              <w:bottom w:w="30" w:type="dxa"/>
              <w:right w:w="120" w:type="dxa"/>
            </w:tcMar>
            <w:vAlign w:val="center"/>
          </w:tcPr>
          <w:p w14:paraId="32B313AB">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w:t>
            </w:r>
          </w:p>
        </w:tc>
        <w:tc>
          <w:tcPr>
            <w:tcW w:w="1044" w:type="pct"/>
            <w:tcMar>
              <w:top w:w="60" w:type="dxa"/>
              <w:left w:w="120" w:type="dxa"/>
              <w:bottom w:w="30" w:type="dxa"/>
              <w:right w:w="120" w:type="dxa"/>
            </w:tcMar>
            <w:vAlign w:val="center"/>
          </w:tcPr>
          <w:p w14:paraId="27AD57DE">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无高度限制</w:t>
            </w:r>
          </w:p>
        </w:tc>
        <w:tc>
          <w:tcPr>
            <w:tcW w:w="1246" w:type="pct"/>
            <w:tcMar>
              <w:top w:w="60" w:type="dxa"/>
              <w:left w:w="120" w:type="dxa"/>
              <w:bottom w:w="30" w:type="dxa"/>
              <w:right w:w="120" w:type="dxa"/>
            </w:tcMar>
            <w:vAlign w:val="center"/>
          </w:tcPr>
          <w:p w14:paraId="39C25EB5">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老年人照料设施部分的</w:t>
            </w:r>
            <w:r>
              <w:rPr>
                <w:rFonts w:hint="eastAsia" w:ascii="仿宋" w:hAnsi="仿宋" w:eastAsia="仿宋" w:cs="仿宋"/>
                <w:strike w:val="0"/>
                <w:dstrike w:val="0"/>
                <w:color w:val="auto"/>
                <w:sz w:val="24"/>
                <w:szCs w:val="24"/>
                <w:highlight w:val="none"/>
              </w:rPr>
              <w:t>内/外</w:t>
            </w:r>
            <w:r>
              <w:rPr>
                <w:rFonts w:hint="eastAsia" w:ascii="仿宋" w:hAnsi="仿宋" w:eastAsia="仿宋" w:cs="仿宋"/>
                <w:strike w:val="0"/>
                <w:dstrike w:val="0"/>
                <w:color w:val="auto"/>
                <w:sz w:val="24"/>
                <w:szCs w:val="24"/>
                <w:highlight w:val="none"/>
                <w:lang w:val="en-US" w:eastAsia="zh-CN"/>
              </w:rPr>
              <w:t>保温系统和屋面保温系统</w:t>
            </w:r>
            <w:r>
              <w:rPr>
                <w:rFonts w:hint="eastAsia" w:ascii="仿宋" w:hAnsi="仿宋" w:eastAsia="仿宋" w:cs="仿宋"/>
                <w:strike w:val="0"/>
                <w:dstrike w:val="0"/>
                <w:color w:val="auto"/>
                <w:sz w:val="24"/>
                <w:szCs w:val="24"/>
                <w:highlight w:val="none"/>
              </w:rPr>
              <w:t>均强制A级</w:t>
            </w:r>
          </w:p>
        </w:tc>
      </w:tr>
      <w:tr w14:paraId="37CE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9" w:hRule="atLeast"/>
          <w:jc w:val="center"/>
        </w:trPr>
        <w:tc>
          <w:tcPr>
            <w:tcW w:w="1570" w:type="pct"/>
            <w:tcMar>
              <w:top w:w="60" w:type="dxa"/>
              <w:left w:w="120" w:type="dxa"/>
              <w:bottom w:w="30" w:type="dxa"/>
              <w:right w:w="120" w:type="dxa"/>
            </w:tcMar>
            <w:vAlign w:val="center"/>
          </w:tcPr>
          <w:p w14:paraId="4549F8B0">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人员密集场所、设置人员密集场所的建筑</w:t>
            </w:r>
          </w:p>
        </w:tc>
        <w:tc>
          <w:tcPr>
            <w:tcW w:w="1138" w:type="pct"/>
            <w:tcMar>
              <w:top w:w="60" w:type="dxa"/>
              <w:left w:w="120" w:type="dxa"/>
              <w:bottom w:w="30" w:type="dxa"/>
              <w:right w:w="120" w:type="dxa"/>
            </w:tcMar>
            <w:vAlign w:val="center"/>
          </w:tcPr>
          <w:p w14:paraId="2CC61896">
            <w:pPr>
              <w:adjustRightInd w:val="0"/>
              <w:snapToGrid w:val="0"/>
              <w:spacing w:before="0" w:after="0" w:line="240" w:lineRule="auto"/>
              <w:ind w:left="0" w:firstLine="0" w:firstLineChars="0"/>
              <w:jc w:val="center"/>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w:t>
            </w:r>
          </w:p>
        </w:tc>
        <w:tc>
          <w:tcPr>
            <w:tcW w:w="1044" w:type="pct"/>
            <w:tcMar>
              <w:top w:w="60" w:type="dxa"/>
              <w:left w:w="120" w:type="dxa"/>
              <w:bottom w:w="30" w:type="dxa"/>
              <w:right w:w="120" w:type="dxa"/>
            </w:tcMar>
            <w:vAlign w:val="center"/>
          </w:tcPr>
          <w:p w14:paraId="1629B1A3">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无高度限制</w:t>
            </w:r>
          </w:p>
        </w:tc>
        <w:tc>
          <w:tcPr>
            <w:tcW w:w="1246" w:type="pct"/>
            <w:tcMar>
              <w:top w:w="60" w:type="dxa"/>
              <w:left w:w="120" w:type="dxa"/>
              <w:bottom w:w="30" w:type="dxa"/>
              <w:right w:w="120" w:type="dxa"/>
            </w:tcMar>
            <w:vAlign w:val="center"/>
          </w:tcPr>
          <w:p w14:paraId="025E0BD6">
            <w:pPr>
              <w:adjustRightInd w:val="0"/>
              <w:snapToGrid w:val="0"/>
              <w:spacing w:before="0" w:after="0" w:line="240" w:lineRule="auto"/>
              <w:ind w:left="0" w:firstLine="0" w:firstLineChars="0"/>
              <w:jc w:val="cente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强制A级</w:t>
            </w:r>
          </w:p>
        </w:tc>
      </w:tr>
    </w:tbl>
    <w:p w14:paraId="651EE7E4">
      <w:pPr>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480" w:firstLineChars="200"/>
        <w:jc w:val="left"/>
        <w:textAlignment w:val="auto"/>
        <w:rPr>
          <w:rFonts w:hint="eastAsia" w:ascii="宋体" w:hAnsi="宋体" w:cs="宋体"/>
          <w:b w:val="0"/>
          <w:sz w:val="24"/>
          <w:szCs w:val="24"/>
          <w:highlight w:val="none"/>
          <w:lang w:val="en-US" w:eastAsia="zh-CN"/>
        </w:rPr>
      </w:pPr>
      <w:r>
        <w:rPr>
          <w:rFonts w:hint="eastAsia" w:ascii="宋体" w:hAnsi="宋体" w:cs="宋体"/>
          <w:b w:val="0"/>
          <w:sz w:val="24"/>
          <w:szCs w:val="24"/>
          <w:highlight w:val="none"/>
          <w:lang w:val="en-US" w:eastAsia="zh-CN"/>
        </w:rPr>
        <w:t>注：1.技术要点摘引自《建筑防火通用规范》GB 55037-2022</w:t>
      </w:r>
      <w:r>
        <w:rPr>
          <w:rFonts w:hint="default" w:ascii="宋体" w:hAnsi="宋体" w:cs="宋体"/>
          <w:b w:val="0"/>
          <w:sz w:val="24"/>
          <w:szCs w:val="24"/>
          <w:highlight w:val="none"/>
          <w:lang w:eastAsia="zh-CN"/>
          <w:woUserID w:val="1"/>
        </w:rPr>
        <w:t>、《建筑设计防火规范》GB</w:t>
      </w:r>
      <w:r>
        <w:rPr>
          <w:rFonts w:hint="eastAsia" w:ascii="宋体" w:hAnsi="宋体" w:cs="宋体"/>
          <w:b w:val="0"/>
          <w:sz w:val="24"/>
          <w:szCs w:val="24"/>
          <w:highlight w:val="none"/>
          <w:lang w:val="en-US" w:eastAsia="zh-CN"/>
          <w:woUserID w:val="1"/>
        </w:rPr>
        <w:t xml:space="preserve"> </w:t>
      </w:r>
      <w:r>
        <w:rPr>
          <w:rFonts w:hint="default" w:ascii="宋体" w:hAnsi="宋体" w:cs="宋体"/>
          <w:b w:val="0"/>
          <w:sz w:val="24"/>
          <w:szCs w:val="24"/>
          <w:highlight w:val="none"/>
          <w:lang w:eastAsia="zh-CN"/>
          <w:woUserID w:val="1"/>
        </w:rPr>
        <w:t>50016-2014(2018年版)</w:t>
      </w:r>
      <w:r>
        <w:rPr>
          <w:rFonts w:hint="eastAsia" w:ascii="宋体" w:hAnsi="宋体" w:cs="宋体"/>
          <w:b w:val="0"/>
          <w:sz w:val="24"/>
          <w:szCs w:val="24"/>
          <w:highlight w:val="none"/>
          <w:lang w:val="en-US" w:eastAsia="zh-CN"/>
        </w:rPr>
        <w:t>等标准规范，实际工作中应考虑不同时期国家设计标准的更迭要求。</w:t>
      </w:r>
    </w:p>
    <w:p w14:paraId="42138EFD">
      <w:pPr>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960" w:firstLineChars="400"/>
        <w:jc w:val="left"/>
        <w:textAlignment w:val="auto"/>
        <w:rPr>
          <w:rFonts w:hint="eastAsia" w:ascii="宋体" w:hAnsi="宋体" w:cs="宋体"/>
          <w:b w:val="0"/>
          <w:color w:val="auto"/>
          <w:sz w:val="24"/>
          <w:szCs w:val="24"/>
          <w:highlight w:val="none"/>
          <w:lang w:val="en-US" w:eastAsia="zh-CN"/>
        </w:rPr>
        <w:sectPr>
          <w:pgSz w:w="11905" w:h="16840"/>
          <w:pgMar w:top="2098" w:right="1474" w:bottom="1984" w:left="1587" w:header="720" w:footer="720" w:gutter="0"/>
          <w:pgNumType w:fmt="decimal"/>
          <w:cols w:space="720" w:num="1"/>
        </w:sectPr>
      </w:pPr>
      <w:r>
        <w:rPr>
          <w:rFonts w:hint="eastAsia" w:ascii="宋体" w:hAnsi="宋体" w:cs="宋体"/>
          <w:b w:val="0"/>
          <w:color w:val="auto"/>
          <w:sz w:val="24"/>
          <w:szCs w:val="24"/>
          <w:highlight w:val="none"/>
          <w:lang w:val="en-US" w:eastAsia="zh-CN"/>
        </w:rPr>
        <w:t>2.本表格将非高层民用建筑相关技术参数一并列入，便于工作查询。</w:t>
      </w:r>
    </w:p>
    <w:p w14:paraId="026E09F6">
      <w:pPr>
        <w:keepNext w:val="0"/>
        <w:keepLines w:val="0"/>
        <w:pageBreakBefore w:val="0"/>
        <w:widowControl w:val="0"/>
        <w:kinsoku/>
        <w:wordWrap/>
        <w:overflowPunct/>
        <w:topLinePunct w:val="0"/>
        <w:autoSpaceDE/>
        <w:autoSpaceDN/>
        <w:bidi w:val="0"/>
        <w:adjustRightInd w:val="0"/>
        <w:snapToGrid w:val="0"/>
        <w:spacing w:before="320" w:after="120" w:line="560" w:lineRule="exact"/>
        <w:ind w:left="0" w:firstLine="0" w:firstLineChars="0"/>
        <w:jc w:val="left"/>
        <w:textAlignment w:val="auto"/>
        <w:outlineLvl w:val="1"/>
        <w:rPr>
          <w:rFonts w:hint="default" w:ascii="黑体" w:hAnsi="黑体" w:eastAsia="黑体" w:cs="黑体"/>
          <w:b/>
          <w:sz w:val="32"/>
          <w:szCs w:val="32"/>
          <w:highlight w:val="none"/>
          <w:lang w:val="en-US" w:eastAsia="zh-CN"/>
        </w:rPr>
      </w:pPr>
      <w:r>
        <w:rPr>
          <w:rFonts w:hint="eastAsia" w:ascii="黑体" w:hAnsi="黑体" w:eastAsia="黑体" w:cs="黑体"/>
          <w:b/>
          <w:sz w:val="32"/>
          <w:szCs w:val="32"/>
          <w:highlight w:val="none"/>
        </w:rPr>
        <w:t>附件</w:t>
      </w:r>
      <w:r>
        <w:rPr>
          <w:rFonts w:hint="eastAsia" w:ascii="黑体" w:hAnsi="黑体" w:eastAsia="黑体" w:cs="黑体"/>
          <w:b/>
          <w:sz w:val="32"/>
          <w:szCs w:val="32"/>
          <w:highlight w:val="none"/>
          <w:lang w:val="en-US" w:eastAsia="zh-CN"/>
        </w:rPr>
        <w:t>4</w:t>
      </w:r>
    </w:p>
    <w:p w14:paraId="083F7E47">
      <w:pPr>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0" w:firstLineChars="0"/>
        <w:jc w:val="center"/>
        <w:textAlignment w:val="auto"/>
        <w:outlineLvl w:val="1"/>
        <w:rPr>
          <w:rFonts w:hint="eastAsia" w:ascii="宋体" w:hAnsi="宋体" w:eastAsia="宋体" w:cs="宋体"/>
          <w:b/>
          <w:bCs/>
          <w:sz w:val="44"/>
          <w:szCs w:val="44"/>
          <w:highlight w:val="none"/>
          <w:lang w:val="en-US" w:eastAsia="zh-CN"/>
        </w:rPr>
      </w:pPr>
    </w:p>
    <w:p w14:paraId="6E23520C">
      <w:pPr>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0" w:firstLineChars="0"/>
        <w:jc w:val="center"/>
        <w:textAlignment w:val="auto"/>
        <w:outlineLvl w:val="1"/>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既有高层民用建筑外墙外保温系统</w:t>
      </w:r>
    </w:p>
    <w:p w14:paraId="075B8663">
      <w:pPr>
        <w:keepNext w:val="0"/>
        <w:keepLines w:val="0"/>
        <w:widowControl w:val="0"/>
        <w:suppressLineNumbers w:val="0"/>
        <w:autoSpaceDE w:val="0"/>
        <w:autoSpaceDN/>
        <w:adjustRightInd w:val="0"/>
        <w:snapToGrid w:val="0"/>
        <w:spacing w:before="0" w:beforeAutospacing="0" w:after="0" w:afterAutospacing="0" w:line="560" w:lineRule="exact"/>
        <w:ind w:right="0"/>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防火性能安全评估报告</w:t>
      </w:r>
    </w:p>
    <w:p w14:paraId="78EF310D">
      <w:pPr>
        <w:keepNext w:val="0"/>
        <w:keepLines w:val="0"/>
        <w:widowControl w:val="0"/>
        <w:suppressLineNumbers w:val="0"/>
        <w:autoSpaceDE w:val="0"/>
        <w:autoSpaceDN/>
        <w:adjustRightInd w:val="0"/>
        <w:snapToGrid w:val="0"/>
        <w:spacing w:before="0" w:beforeAutospacing="0" w:after="0" w:afterAutospacing="0" w:line="560" w:lineRule="exact"/>
        <w:ind w:right="0"/>
        <w:jc w:val="center"/>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（参考模板）</w:t>
      </w:r>
    </w:p>
    <w:p w14:paraId="4D85D62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right="0" w:firstLine="643" w:firstLineChars="200"/>
        <w:jc w:val="center"/>
        <w:textAlignment w:val="auto"/>
        <w:rPr>
          <w:rFonts w:hint="eastAsia" w:ascii="楷体" w:hAnsi="楷体" w:eastAsia="楷体" w:cs="楷体"/>
          <w:b/>
          <w:bCs/>
          <w:color w:val="auto"/>
          <w:sz w:val="32"/>
          <w:szCs w:val="32"/>
          <w:highlight w:val="none"/>
          <w:lang w:val="en-US" w:eastAsia="zh-CN"/>
        </w:rPr>
      </w:pPr>
    </w:p>
    <w:p w14:paraId="546EA3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第一段，房屋基本情况和“一楼一牌”设置情况</w:t>
      </w:r>
    </w:p>
    <w:p w14:paraId="7F71ED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第二段，外墙外保温系统工程资料情况</w:t>
      </w:r>
    </w:p>
    <w:p w14:paraId="353727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第三段，外墙外保温系统实物核对情况</w:t>
      </w:r>
    </w:p>
    <w:p w14:paraId="53EBB1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第四段，现场点火测试情况</w:t>
      </w:r>
    </w:p>
    <w:p w14:paraId="624D32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第五段，取样检测燃烧性能等级情况</w:t>
      </w:r>
    </w:p>
    <w:p w14:paraId="04B350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第六段，检查发现的具体安全隐患区域、严重程度描述</w:t>
      </w:r>
    </w:p>
    <w:p w14:paraId="6FFD4C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七段，防火性能安全评估结论和建议（评估结论可分为：1.存在严重安全隐患（燃烧性能等级低于设计文件或设计标准等级的，或非A级且单面墙面积占比5%以上的开裂、空鼓、脱落等）；2.存在一定安全隐患；3.未发现安全隐患）。</w:t>
      </w:r>
    </w:p>
    <w:p w14:paraId="7B0192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14:paraId="096825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附件：现场工作照片、工程资料、抽样检测报告等</w:t>
      </w:r>
    </w:p>
    <w:p w14:paraId="36B5AE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lang w:val="en-US" w:eastAsia="zh-CN"/>
        </w:rPr>
      </w:pPr>
    </w:p>
    <w:p w14:paraId="009F05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机构技术负责人签字：</w:t>
      </w:r>
    </w:p>
    <w:p w14:paraId="443F3E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highlight w:val="none"/>
        </w:rPr>
      </w:pPr>
    </w:p>
    <w:p w14:paraId="1A206C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20" w:firstLineChars="1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评估机构（公章）</w:t>
      </w:r>
    </w:p>
    <w:p w14:paraId="2E3BB67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6FDC432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440" w:firstLineChars="1700"/>
        <w:jc w:val="both"/>
        <w:textAlignment w:val="auto"/>
        <w:rPr>
          <w:rFonts w:hint="default" w:ascii="仿宋" w:hAnsi="仿宋" w:eastAsia="仿宋" w:cs="仿宋"/>
          <w:sz w:val="32"/>
          <w:szCs w:val="32"/>
          <w:highlight w:val="none"/>
          <w:lang w:val="en-US" w:eastAsia="zh-CN"/>
        </w:rPr>
      </w:pPr>
    </w:p>
    <w:p w14:paraId="02719F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IDFont">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C6C2">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9CCF4">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A9CCF4">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w:t>
                    </w:r>
                    <w:r>
                      <w:fldChar w:fldCharType="end"/>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3B09E"/>
    <w:multiLevelType w:val="singleLevel"/>
    <w:tmpl w:val="C4E3B09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83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2026-03-19T03:06:40Z</dcterms:created>
  <dc:creator>Administrator</dc:creator>
  <cp:lastModifiedBy>pengteng</cp:lastModifiedBy>
  <dcterms:modified xsi:type="dcterms:W3CDTF">2026-03-19T03:07:17Z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eyJoZGlkIjoiODlkY2NlNTYzZTJlYmFiMDczZDA4YzBlYzJjMDUyNTgiLCJ1c2VySWQiOiIyODk0NzA2MDYifQ==</vt:lpwstr>
  </property>
  <property fmtid="{D5CDD505-2E9C-101B-9397-08002B2CF9AE}" pid="4" name="ICV">
    <vt:lpwstr>5D2DC455838F4EF0ADA4A857FA5ED120_12</vt:lpwstr>
  </property>
</Properties>
</file>