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313" w:afterLines="100" w:line="500" w:lineRule="exact"/>
        <w:ind w:firstLine="0" w:firstLineChars="0"/>
        <w:rPr>
          <w:rFonts w:hint="default" w:ascii="方正小标宋简体" w:hAnsi="方正小标宋简体" w:eastAsia="方正小标宋简体" w:cs="方正小标宋简体"/>
          <w:sz w:val="42"/>
          <w:szCs w:val="4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《宜昌市配售型保障性住房配售方案》</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起草说明</w:t>
      </w:r>
    </w:p>
    <w:p>
      <w:pPr>
        <w:pStyle w:val="2"/>
        <w:spacing w:line="600" w:lineRule="exact"/>
        <w:jc w:val="left"/>
        <w:rPr>
          <w:rFonts w:hint="eastAsia" w:ascii="方正楷体_GBK" w:hAnsi="方正楷体_GBK" w:eastAsia="方正楷体_GBK" w:cs="方正楷体_GBK"/>
          <w:color w:val="auto"/>
          <w:sz w:val="32"/>
          <w:szCs w:val="32"/>
          <w:lang w:eastAsia="zh-CN"/>
        </w:rPr>
      </w:pPr>
    </w:p>
    <w:p>
      <w:pPr>
        <w:pStyle w:val="2"/>
        <w:spacing w:afterLines="0" w:line="560" w:lineRule="exact"/>
        <w:ind w:firstLine="640" w:firstLineChars="200"/>
        <w:jc w:val="left"/>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一、起草背景及依据</w:t>
      </w:r>
    </w:p>
    <w:p>
      <w:pPr>
        <w:pStyle w:val="2"/>
        <w:spacing w:afterLines="0" w:line="560" w:lineRule="exact"/>
        <w:ind w:firstLine="640" w:firstLineChars="200"/>
        <w:jc w:val="left"/>
        <w:rPr>
          <w:rFonts w:hint="default" w:ascii="Calibri" w:hAnsi="Calibri" w:eastAsia="小标宋" w:cs="Times New Roman"/>
          <w:sz w:val="44"/>
          <w:szCs w:val="44"/>
          <w:lang w:eastAsia="zh-CN"/>
        </w:rPr>
      </w:pPr>
      <w:r>
        <w:rPr>
          <w:rFonts w:hint="eastAsia" w:ascii="仿宋_GB2312" w:hAnsi="仿宋_GB2312" w:eastAsia="仿宋_GB2312" w:cs="仿宋_GB2312"/>
          <w:sz w:val="32"/>
          <w:szCs w:val="32"/>
          <w:lang w:eastAsia="zh-CN"/>
        </w:rPr>
        <w:t>根据《宜昌市配售型保障性住房管理办法》（宜府办发〔2025〕19号）“县市区住房保障部门会同筹集主体根据房源和轮候情况，制定配售方案，配售方案包括项目基本情况、房源数量、户型面积、配售价格、选房时间、认购方式、签订合同时间等内容，配售方案应在县市区人民政府政务公开网站上向社会公布”要求。结合我市实际，市住新局牵头起草了《宜昌市配售型保障性住房配售方案（征求意见稿）》。</w:t>
      </w:r>
    </w:p>
    <w:p>
      <w:pPr>
        <w:pStyle w:val="2"/>
        <w:keepNext/>
        <w:keepLines/>
        <w:pageBreakBefore w:val="0"/>
        <w:widowControl w:val="0"/>
        <w:numPr>
          <w:ilvl w:val="0"/>
          <w:numId w:val="1"/>
        </w:numPr>
        <w:kinsoku/>
        <w:wordWrap/>
        <w:overflowPunct/>
        <w:topLinePunct w:val="0"/>
        <w:autoSpaceDE/>
        <w:autoSpaceDN/>
        <w:bidi w:val="0"/>
        <w:adjustRightInd/>
        <w:snapToGrid/>
        <w:spacing w:before="0" w:afterLines="0" w:line="560" w:lineRule="exact"/>
        <w:ind w:left="640" w:firstLine="0" w:firstLineChars="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主要内容及需要重点说明的事项</w:t>
      </w:r>
    </w:p>
    <w:p>
      <w:pPr>
        <w:pStyle w:val="2"/>
        <w:keepNext/>
        <w:keepLines/>
        <w:pageBreakBefore w:val="0"/>
        <w:widowControl w:val="0"/>
        <w:numPr>
          <w:ilvl w:val="0"/>
          <w:numId w:val="2"/>
        </w:numPr>
        <w:kinsoku/>
        <w:wordWrap/>
        <w:overflowPunct/>
        <w:topLinePunct w:val="0"/>
        <w:autoSpaceDE/>
        <w:autoSpaceDN/>
        <w:bidi w:val="0"/>
        <w:adjustRightInd/>
        <w:snapToGrid/>
        <w:spacing w:before="0" w:afterLines="0" w:line="560" w:lineRule="exact"/>
        <w:ind w:left="0" w:firstLine="640" w:firstLineChars="200"/>
        <w:jc w:val="lef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主要内容</w:t>
      </w:r>
    </w:p>
    <w:p>
      <w:pPr>
        <w:pStyle w:val="3"/>
        <w:numPr>
          <w:ilvl w:val="0"/>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了项目基本情况。包括项目名称、地址，筹集主体名称，规划建设套数，配售工作负责单位、联系电话、地址，小区配套服务设施，周边配套公共服务等。《配售方案》附件“房源明细表”明确了住房的楼栋号、不动产单元号、房号、所在层、建筑面积、毛坯单价、装饰装修单价、合同总价等。</w:t>
      </w:r>
    </w:p>
    <w:p>
      <w:pPr>
        <w:pStyle w:val="3"/>
        <w:numPr>
          <w:ilvl w:val="0"/>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2.明确了配售价格。包括配售均价、确定该配售均价的流程、单套最高销售价格、单套最低销售价格，资金专户名称、账号、银行等。</w:t>
      </w:r>
    </w:p>
    <w:p>
      <w:pPr>
        <w:pStyle w:val="3"/>
        <w:numPr>
          <w:ilvl w:val="0"/>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3.明确了申购条件。与《宜昌市配售型保障性住房管理办法》资格准入要求一致。</w:t>
      </w:r>
    </w:p>
    <w:p>
      <w:pPr>
        <w:pStyle w:val="3"/>
        <w:numPr>
          <w:ilvl w:val="0"/>
          <w:numId w:val="0"/>
        </w:numPr>
        <w:ind w:lef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4.明确了申购配售程序。包括资格复核、组织选房、签订合同、产权办理、交付入住共5个环节。</w:t>
      </w:r>
    </w:p>
    <w:p>
      <w:pPr>
        <w:pStyle w:val="3"/>
        <w:numPr>
          <w:ilvl w:val="0"/>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5.明确了其他需要说明的事项。包括《宜昌市配售型保障性住房管理办法》明确的配售型保障性住房实施封闭管理等</w:t>
      </w:r>
      <w:bookmarkStart w:id="1" w:name="_GoBack"/>
      <w:bookmarkEnd w:id="1"/>
      <w:r>
        <w:rPr>
          <w:rFonts w:hint="eastAsia" w:ascii="仿宋_GB2312" w:hAnsi="仿宋_GB2312" w:eastAsia="仿宋_GB2312" w:cs="仿宋_GB2312"/>
          <w:sz w:val="32"/>
          <w:szCs w:val="32"/>
          <w:lang w:val="en-US" w:eastAsia="zh-CN"/>
        </w:rPr>
        <w:t>禁止性条款，以及安排时间参加选房、筹措首付款、付款方式选择等提醒事项等。</w:t>
      </w:r>
    </w:p>
    <w:p>
      <w:pPr>
        <w:pStyle w:val="3"/>
        <w:numPr>
          <w:ilvl w:val="0"/>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6.明确了补充说明事项。项目所在的县市区住房保障部门、项目筹集主体还需说明的其他事项。</w:t>
      </w:r>
    </w:p>
    <w:p>
      <w:pPr>
        <w:pStyle w:val="2"/>
        <w:keepNext/>
        <w:keepLines/>
        <w:pageBreakBefore w:val="0"/>
        <w:widowControl w:val="0"/>
        <w:numPr>
          <w:ilvl w:val="0"/>
          <w:numId w:val="2"/>
        </w:numPr>
        <w:kinsoku/>
        <w:wordWrap/>
        <w:overflowPunct/>
        <w:topLinePunct w:val="0"/>
        <w:autoSpaceDE/>
        <w:autoSpaceDN/>
        <w:bidi w:val="0"/>
        <w:adjustRightInd/>
        <w:snapToGrid/>
        <w:spacing w:before="0" w:afterLines="0" w:line="560" w:lineRule="exact"/>
        <w:ind w:left="0" w:firstLine="640" w:firstLineChars="200"/>
        <w:jc w:val="lef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其他需要重点说明的事项。</w:t>
      </w:r>
      <w:r>
        <w:rPr>
          <w:rFonts w:hint="eastAsia" w:ascii="仿宋_GB2312" w:hAnsi="仿宋_GB2312" w:eastAsia="仿宋_GB2312" w:cs="仿宋_GB2312"/>
          <w:sz w:val="32"/>
          <w:szCs w:val="32"/>
          <w:lang w:eastAsia="zh-CN"/>
        </w:rPr>
        <w:t>根据《宜昌市配售型保障性住房管理办法》（宜府办发〔2025〕19号），配售方案为县市区住房保障部门会同筹集主体制定，因此对外发布配售方案时，落款单位应包括县市区住房保障部门和项目筹集主体。</w:t>
      </w:r>
    </w:p>
    <w:p>
      <w:pPr>
        <w:pStyle w:val="3"/>
        <w:numPr>
          <w:ilvl w:val="0"/>
          <w:numId w:val="0"/>
        </w:numPr>
        <w:ind w:left="0" w:firstLine="640" w:firstLineChars="200"/>
        <w:rPr>
          <w:rFonts w:hint="eastAsia" w:ascii="仿宋_GB2312" w:hAnsi="仿宋_GB2312" w:eastAsia="仿宋_GB2312" w:cs="仿宋_GB2312"/>
          <w:sz w:val="32"/>
          <w:szCs w:val="32"/>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黑体" w:hAnsi="黑体" w:eastAsia="黑体" w:cs="黑体"/>
          <w:b w:val="0"/>
          <w:bCs w:val="0"/>
          <w:lang w:val="en-US"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2"/>
          <w:szCs w:val="42"/>
          <w:lang w:val="en-US" w:eastAsia="zh-CN"/>
        </w:rPr>
      </w:pPr>
      <w:r>
        <w:rPr>
          <w:rFonts w:hint="eastAsia" w:ascii="方正小标宋简体" w:hAnsi="方正小标宋简体" w:eastAsia="方正小标宋简体" w:cs="方正小标宋简体"/>
          <w:b w:val="0"/>
          <w:bCs w:val="0"/>
          <w:sz w:val="42"/>
          <w:szCs w:val="42"/>
          <w:lang w:val="en-US" w:eastAsia="zh-CN"/>
        </w:rPr>
        <w:br w:type="page"/>
      </w:r>
      <w:r>
        <w:rPr>
          <w:rFonts w:hint="eastAsia" w:ascii="方正小标宋简体" w:hAnsi="方正小标宋简体" w:eastAsia="方正小标宋简体" w:cs="方正小标宋简体"/>
          <w:b w:val="0"/>
          <w:bCs w:val="0"/>
          <w:sz w:val="42"/>
          <w:szCs w:val="42"/>
          <w:lang w:val="en-US" w:eastAsia="zh-CN"/>
        </w:rPr>
        <w:t>宜昌市配售型保障性住房配售方案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根据《宜昌市配售型保障性住房管理办法》（以下简称《办法》）有关规定，为切实做好</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配售型保障性住房项目配售工作，制定本方案：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项目位于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lang w:eastAsia="zh-CN"/>
        </w:rPr>
        <w:t>由</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筹集</w:t>
      </w:r>
      <w:r>
        <w:rPr>
          <w:rFonts w:hint="eastAsia" w:ascii="仿宋_GB2312" w:hAnsi="仿宋_GB2312" w:eastAsia="仿宋_GB2312" w:cs="仿宋_GB2312"/>
          <w:b w:val="0"/>
          <w:bCs w:val="0"/>
          <w:sz w:val="32"/>
          <w:szCs w:val="32"/>
          <w:u w:val="none"/>
          <w:lang w:val="en-US" w:eastAsia="zh-CN"/>
        </w:rPr>
        <w:t>。项目规划建设配售型保障性住房</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套，其中本批次配售住房</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套（见附件），</w:t>
      </w:r>
      <w:r>
        <w:rPr>
          <w:rFonts w:hint="eastAsia" w:ascii="仿宋_GB2312" w:hAnsi="仿宋_GB2312" w:eastAsia="仿宋_GB2312" w:cs="仿宋_GB2312"/>
          <w:b w:val="0"/>
          <w:bCs w:val="0"/>
          <w:sz w:val="32"/>
          <w:szCs w:val="32"/>
          <w:lang w:eastAsia="zh-CN"/>
        </w:rPr>
        <w:t>已于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日完成房屋现售备案</w:t>
      </w:r>
      <w:r>
        <w:rPr>
          <w:rFonts w:hint="eastAsia" w:ascii="仿宋_GB2312" w:hAnsi="仿宋_GB2312" w:eastAsia="仿宋_GB2312" w:cs="仿宋_GB2312"/>
          <w:b w:val="0"/>
          <w:bCs w:val="0"/>
          <w:sz w:val="32"/>
          <w:szCs w:val="32"/>
          <w:lang w:eastAsia="zh-CN"/>
        </w:rPr>
        <w:t>，现售备案证号为</w:t>
      </w:r>
      <w:r>
        <w:rPr>
          <w:rFonts w:hint="eastAsia" w:ascii="仿宋_GB2312" w:hAnsi="仿宋_GB2312" w:eastAsia="仿宋_GB2312" w:cs="仿宋_GB2312"/>
          <w:b w:val="0"/>
          <w:bCs w:val="0"/>
          <w:sz w:val="32"/>
          <w:szCs w:val="32"/>
          <w:u w:val="single"/>
          <w:lang w:val="en-US" w:eastAsia="zh-CN"/>
        </w:rPr>
        <w:t xml:space="preserve">        </w:t>
      </w:r>
      <w:r>
        <w:rPr>
          <w:rFonts w:hint="eastAsia" w:ascii="汉仪中秀体简" w:hAnsi="汉仪中秀体简" w:eastAsia="仿宋_GB2312" w:cs="汉仪中秀体简"/>
          <w:b w:val="0"/>
          <w:bCs w:val="0"/>
          <w:sz w:val="32"/>
          <w:szCs w:val="32"/>
          <w:u w:val="none"/>
          <w:lang w:val="en-US" w:eastAsia="zh-CN"/>
        </w:rPr>
        <w:t>。</w:t>
      </w:r>
      <w:r>
        <w:rPr>
          <w:rFonts w:hint="eastAsia" w:ascii="仿宋_GB2312" w:hAnsi="仿宋_GB2312" w:eastAsia="仿宋_GB2312" w:cs="仿宋_GB2312"/>
          <w:b w:val="0"/>
          <w:bCs w:val="0"/>
          <w:sz w:val="32"/>
          <w:szCs w:val="32"/>
          <w:lang w:eastAsia="zh-CN"/>
        </w:rPr>
        <w:t>本次配售工作由</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eastAsia="zh-CN"/>
        </w:rPr>
        <w:t>具体</w:t>
      </w:r>
      <w:r>
        <w:rPr>
          <w:rFonts w:hint="eastAsia" w:ascii="仿宋_GB2312" w:hAnsi="仿宋_GB2312" w:eastAsia="仿宋_GB2312" w:cs="仿宋_GB2312"/>
          <w:b w:val="0"/>
          <w:bCs w:val="0"/>
          <w:sz w:val="32"/>
          <w:szCs w:val="32"/>
          <w:u w:val="none"/>
          <w:lang w:val="en-US" w:eastAsia="zh-CN"/>
        </w:rPr>
        <w:t>负责，联系电话：</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，地址：</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小区配套服务设施：</w:t>
      </w:r>
      <w:r>
        <w:rPr>
          <w:rFonts w:hint="eastAsia" w:ascii="仿宋_GB2312" w:hAnsi="仿宋_GB2312" w:eastAsia="仿宋_GB2312" w:cs="仿宋_GB2312"/>
          <w:b w:val="0"/>
          <w:bCs w:val="0"/>
          <w:sz w:val="32"/>
          <w:szCs w:val="32"/>
          <w:u w:val="single"/>
          <w:lang w:eastAsia="zh-CN"/>
        </w:rPr>
        <w:t>　　　　　　</w:t>
      </w:r>
      <w:r>
        <w:rPr>
          <w:rFonts w:hint="eastAsia" w:ascii="仿宋_GB2312" w:hAnsi="仿宋_GB2312" w:eastAsia="仿宋_GB2312" w:cs="仿宋_GB2312"/>
          <w:b w:val="0"/>
          <w:bCs w:val="0"/>
          <w:sz w:val="32"/>
          <w:szCs w:val="32"/>
          <w:u w:val="none"/>
          <w:lang w:eastAsia="zh-CN"/>
        </w:rPr>
        <w:t>。</w:t>
      </w:r>
      <w:r>
        <w:rPr>
          <w:rFonts w:hint="eastAsia" w:ascii="楷体" w:hAnsi="楷体" w:eastAsia="楷体" w:cs="楷体"/>
          <w:b w:val="0"/>
          <w:bCs w:val="0"/>
          <w:sz w:val="24"/>
          <w:szCs w:val="24"/>
          <w:u w:val="none"/>
          <w:lang w:eastAsia="zh-CN"/>
        </w:rPr>
        <w:t>（</w:t>
      </w:r>
      <w:r>
        <w:rPr>
          <w:rFonts w:hint="eastAsia" w:ascii="楷体" w:hAnsi="楷体" w:eastAsia="楷体" w:cs="楷体"/>
          <w:b w:val="0"/>
          <w:bCs w:val="0"/>
          <w:sz w:val="24"/>
          <w:szCs w:val="24"/>
          <w:lang w:eastAsia="zh-CN"/>
        </w:rPr>
        <w:t>包括但不限于教育、医疗、养老、托幼、休闲、娱乐、健身、购物等配套服务介绍</w:t>
      </w:r>
      <w:r>
        <w:rPr>
          <w:rFonts w:hint="eastAsia" w:ascii="楷体" w:hAnsi="楷体" w:eastAsia="楷体" w:cs="楷体"/>
          <w:b w:val="0"/>
          <w:bCs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周边配套公共服务：</w:t>
      </w:r>
      <w:r>
        <w:rPr>
          <w:rFonts w:hint="eastAsia" w:ascii="仿宋_GB2312" w:hAnsi="仿宋_GB2312" w:eastAsia="仿宋_GB2312" w:cs="仿宋_GB2312"/>
          <w:b w:val="0"/>
          <w:bCs w:val="0"/>
          <w:sz w:val="32"/>
          <w:szCs w:val="32"/>
          <w:u w:val="single"/>
          <w:lang w:eastAsia="zh-CN"/>
        </w:rPr>
        <w:t>　　　　　　</w:t>
      </w:r>
      <w:r>
        <w:rPr>
          <w:rFonts w:hint="eastAsia" w:ascii="仿宋_GB2312" w:hAnsi="仿宋_GB2312" w:eastAsia="仿宋_GB2312" w:cs="仿宋_GB2312"/>
          <w:b w:val="0"/>
          <w:bCs w:val="0"/>
          <w:sz w:val="32"/>
          <w:szCs w:val="32"/>
          <w:u w:val="none"/>
          <w:lang w:eastAsia="zh-CN"/>
        </w:rPr>
        <w:t>。</w:t>
      </w:r>
      <w:r>
        <w:rPr>
          <w:rFonts w:hint="eastAsia" w:ascii="楷体" w:hAnsi="楷体" w:eastAsia="楷体" w:cs="楷体"/>
          <w:b w:val="0"/>
          <w:bCs w:val="0"/>
          <w:sz w:val="24"/>
          <w:szCs w:val="24"/>
          <w:u w:val="none"/>
          <w:lang w:eastAsia="zh-CN"/>
        </w:rPr>
        <w:t>（</w:t>
      </w:r>
      <w:r>
        <w:rPr>
          <w:rFonts w:hint="eastAsia" w:ascii="楷体" w:hAnsi="楷体" w:eastAsia="楷体" w:cs="楷体"/>
          <w:b w:val="0"/>
          <w:bCs w:val="0"/>
          <w:sz w:val="24"/>
          <w:szCs w:val="24"/>
          <w:lang w:eastAsia="zh-CN"/>
        </w:rPr>
        <w:t>包括但不限于教育、医疗、养老、托幼、休闲、娱乐、健身、购物等配套服务介绍</w:t>
      </w:r>
      <w:r>
        <w:rPr>
          <w:rFonts w:hint="eastAsia" w:ascii="楷体" w:hAnsi="楷体" w:eastAsia="楷体" w:cs="楷体"/>
          <w:b w:val="0"/>
          <w:bCs w:val="0"/>
          <w:sz w:val="24"/>
          <w:szCs w:val="24"/>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配售价格</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根据《办法》规定，本项目配售均价为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w:t>
      </w:r>
      <w:r>
        <w:rPr>
          <w:rFonts w:hint="eastAsia" w:ascii="仿宋_GB2312" w:hAnsi="仿宋_GB2312" w:eastAsia="仿宋_GB2312" w:cs="仿宋_GB2312"/>
          <w:b w:val="0"/>
          <w:bCs w:val="0"/>
          <w:sz w:val="32"/>
          <w:szCs w:val="32"/>
          <w:lang w:val="en-US" w:eastAsia="zh-CN"/>
        </w:rPr>
        <w:t>，该价格由筹集主体</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委托房地产评估机构</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进行核价，已经</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市</w:t>
      </w:r>
      <w:r>
        <w:rPr>
          <w:rFonts w:hint="eastAsia" w:ascii="仿宋_GB2312" w:hAnsi="仿宋_GB2312" w:eastAsia="仿宋_GB2312" w:cs="仿宋_GB2312"/>
          <w:b w:val="0"/>
          <w:bCs w:val="0"/>
          <w:sz w:val="32"/>
          <w:szCs w:val="32"/>
          <w:lang w:val="en-US" w:eastAsia="zh-CN"/>
        </w:rPr>
        <w:t>住房保障部门会商本级发改、财政、自然资源等部门确定。结合楼栋、楼层、朝向、户型等因素，单套最高销售价格为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元/㎡，单套最低销售价格为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元/㎡，单套最高与最低销售价格已控制在配售均价±10%以内。。</w:t>
      </w:r>
    </w:p>
    <w:p>
      <w:pPr>
        <w:pStyle w:val="2"/>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配售型保障性住房已建立资金专户，实行专款专用、封闭运行。中央专项补助资金、开发贷款、定金、首付款、分期付款、一次性付款、银行按揭贷款、住房公积金贷款等建设资金和销售资金均应全部进入资金专户。</w:t>
      </w:r>
      <w:r>
        <w:rPr>
          <w:rFonts w:hint="eastAsia" w:ascii="仿宋_GB2312" w:hAnsi="仿宋_GB2312" w:eastAsia="仿宋_GB2312" w:cs="仿宋_GB2312"/>
          <w:b w:val="0"/>
          <w:bCs w:val="0"/>
          <w:color w:val="auto"/>
          <w:sz w:val="32"/>
          <w:szCs w:val="32"/>
          <w:highlight w:val="none"/>
          <w:lang w:eastAsia="zh-CN"/>
        </w:rPr>
        <w:t>同一批次现售范围内的楼栋对应唯一资金专户。</w:t>
      </w:r>
    </w:p>
    <w:p>
      <w:pPr>
        <w:pStyle w:val="2"/>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ascii="宋体" w:hAnsi="宋体" w:eastAsia="宋体"/>
          <w:color w:val="auto"/>
          <w:sz w:val="28"/>
          <w:szCs w:val="28"/>
          <w:highlight w:val="none"/>
          <w:lang w:eastAsia="zh-CN"/>
        </w:rPr>
      </w:pPr>
      <w:r>
        <w:rPr>
          <w:rFonts w:hint="eastAsia" w:ascii="仿宋_GB2312" w:hAnsi="仿宋_GB2312" w:eastAsia="仿宋_GB2312" w:cs="仿宋_GB2312"/>
          <w:color w:val="auto"/>
          <w:sz w:val="32"/>
          <w:szCs w:val="32"/>
          <w:highlight w:val="none"/>
          <w:lang w:eastAsia="zh-CN"/>
        </w:rPr>
        <w:t>资金专户名称：</w:t>
      </w:r>
      <w:r>
        <w:rPr>
          <w:rFonts w:hint="eastAsia" w:hAnsi="宋体" w:eastAsia="宋体" w:cs="宋体"/>
          <w:color w:val="auto"/>
          <w:sz w:val="28"/>
          <w:szCs w:val="28"/>
          <w:highlight w:val="none"/>
          <w:u w:val="single"/>
          <w:lang w:val="en-US" w:eastAsia="zh-CN"/>
        </w:rPr>
        <w:t>*</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p>
    <w:p>
      <w:pPr>
        <w:pStyle w:val="2"/>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ascii="宋体" w:hAnsi="宋体" w:eastAsia="宋体"/>
          <w:color w:val="auto"/>
          <w:sz w:val="28"/>
          <w:szCs w:val="28"/>
          <w:highlight w:val="none"/>
          <w:lang w:eastAsia="zh-CN"/>
        </w:rPr>
      </w:pPr>
      <w:r>
        <w:rPr>
          <w:rFonts w:hint="eastAsia" w:ascii="仿宋_GB2312" w:hAnsi="仿宋_GB2312" w:eastAsia="仿宋_GB2312" w:cs="仿宋_GB2312"/>
          <w:color w:val="auto"/>
          <w:sz w:val="32"/>
          <w:szCs w:val="32"/>
          <w:highlight w:val="none"/>
          <w:lang w:eastAsia="zh-CN"/>
        </w:rPr>
        <w:t>资金专户账号：</w:t>
      </w:r>
      <w:r>
        <w:rPr>
          <w:rFonts w:hint="eastAsia" w:hAnsi="宋体" w:eastAsia="宋体" w:cs="宋体"/>
          <w:color w:val="auto"/>
          <w:sz w:val="28"/>
          <w:szCs w:val="28"/>
          <w:highlight w:val="none"/>
          <w:u w:val="single"/>
          <w:lang w:val="en-US" w:eastAsia="zh-CN"/>
        </w:rPr>
        <w:t>*</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p>
    <w:p>
      <w:pPr>
        <w:pStyle w:val="2"/>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eastAsia="zh-CN"/>
        </w:rPr>
        <w:t>资金专户银行：</w:t>
      </w:r>
      <w:r>
        <w:rPr>
          <w:rFonts w:hint="eastAsia" w:hAnsi="宋体" w:eastAsia="宋体" w:cs="宋体"/>
          <w:color w:val="auto"/>
          <w:sz w:val="28"/>
          <w:szCs w:val="28"/>
          <w:highlight w:val="none"/>
          <w:u w:val="single"/>
          <w:lang w:val="en-US" w:eastAsia="zh-CN"/>
        </w:rPr>
        <w:t>*</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申购条件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购买配售型保障性住房以家庭为单位提出申请，主申请人应当年满18周岁且具有完全民事行为能力。主申请人有配偶或未成年子女的，其配偶或未成年子女应当作为共同申请人。申请家庭购买配售型保障性住房应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（一）申请家庭的主申请人为宜昌辖区范围内的常住人口；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（二）申请家庭的主申请人及其配偶、未成年子女在宜昌城区/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县/</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市无自有产权住房；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（三）申请家庭的主申请人在宜昌城区/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县/</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市缴纳职工社会保险/居民社会保险/住房公积金且属于参保缴费状态。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户家庭只能申请购买一套配售型保障性住房。已承租公共租赁住房、保障性租赁住房的，应如实申报并按规定腾退后申请购买；正在享受公共租赁住房租赁补贴、职工住房货币化补贴的，应在申请停发补贴后购买。被人民法院列入失信被执行人的，不得申请购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申购配售程序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eastAsia="zh-CN"/>
        </w:rPr>
        <w:t>一</w:t>
      </w:r>
      <w:r>
        <w:rPr>
          <w:rFonts w:hint="default"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eastAsia="zh-CN"/>
        </w:rPr>
        <w:t>资格复</w:t>
      </w:r>
      <w:bookmarkStart w:id="0" w:name="OLE_LINK12"/>
      <w:r>
        <w:rPr>
          <w:rFonts w:hint="default" w:ascii="楷体_GB2312" w:hAnsi="楷体_GB2312" w:eastAsia="楷体_GB2312" w:cs="楷体_GB2312"/>
          <w:color w:val="auto"/>
          <w:sz w:val="32"/>
          <w:szCs w:val="32"/>
          <w:lang w:eastAsia="zh-CN"/>
        </w:rPr>
        <w:t>核</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年</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日至</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日</w:t>
      </w:r>
      <w:r>
        <w:rPr>
          <w:rFonts w:hint="eastAsia" w:ascii="楷体_GB2312" w:hAnsi="楷体_GB2312" w:eastAsia="楷体_GB2312" w:cs="楷体_GB2312"/>
          <w:color w:val="auto"/>
          <w:sz w:val="32"/>
          <w:szCs w:val="32"/>
          <w:lang w:eastAsia="zh-CN"/>
        </w:rPr>
        <w:t>）</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市住房保障部门基于公安、</w:t>
      </w:r>
      <w:r>
        <w:rPr>
          <w:rFonts w:hint="default" w:ascii="Times New Roman" w:hAnsi="Times New Roman" w:eastAsia="仿宋_GB2312" w:cs="Times New Roman"/>
          <w:color w:val="auto"/>
          <w:sz w:val="32"/>
          <w:szCs w:val="32"/>
          <w:highlight w:val="none"/>
          <w:lang w:eastAsia="zh-CN"/>
        </w:rPr>
        <w:t>城运、民政、</w:t>
      </w:r>
      <w:r>
        <w:rPr>
          <w:rFonts w:hint="default" w:ascii="Times New Roman" w:hAnsi="Times New Roman" w:eastAsia="仿宋_GB2312" w:cs="Times New Roman"/>
          <w:color w:val="auto"/>
          <w:sz w:val="32"/>
          <w:szCs w:val="32"/>
          <w:lang w:eastAsia="zh-CN"/>
        </w:rPr>
        <w:t>人社、公积金、</w:t>
      </w:r>
      <w:r>
        <w:rPr>
          <w:rFonts w:hint="default" w:ascii="Times New Roman" w:hAnsi="Times New Roman" w:eastAsia="仿宋_GB2312" w:cs="Times New Roman"/>
          <w:color w:val="auto"/>
          <w:sz w:val="32"/>
          <w:szCs w:val="32"/>
          <w:lang w:val="en-US" w:eastAsia="zh-CN"/>
        </w:rPr>
        <w:t>不动产等部门共享的数据，</w:t>
      </w:r>
      <w:r>
        <w:rPr>
          <w:rFonts w:hint="default" w:ascii="Times New Roman" w:hAnsi="Times New Roman" w:eastAsia="仿宋_GB2312" w:cs="Times New Roman"/>
          <w:color w:val="auto"/>
          <w:spacing w:val="-6"/>
          <w:sz w:val="32"/>
          <w:szCs w:val="32"/>
          <w:lang w:eastAsia="zh-CN"/>
        </w:rPr>
        <w:t>对进入轮候库的申请家庭进行资格复核</w:t>
      </w:r>
      <w:r>
        <w:rPr>
          <w:rFonts w:hint="eastAsia" w:ascii="Times New Roman" w:hAnsi="Times New Roman" w:eastAsia="仿宋_GB2312" w:cs="Times New Roman"/>
          <w:color w:val="auto"/>
          <w:spacing w:val="-6"/>
          <w:sz w:val="32"/>
          <w:szCs w:val="32"/>
          <w:lang w:val="en-US" w:eastAsia="zh-CN"/>
        </w:rPr>
        <w:t>，复核结果在</w:t>
      </w:r>
      <w:r>
        <w:rPr>
          <w:rFonts w:hint="eastAsia" w:ascii="Times New Roman" w:hAnsi="Times New Roman" w:eastAsia="仿宋_GB2312" w:cs="Times New Roman"/>
          <w:color w:val="auto"/>
          <w:sz w:val="32"/>
          <w:szCs w:val="32"/>
          <w:u w:val="none"/>
          <w:lang w:eastAsia="zh-CN"/>
        </w:rPr>
        <w:t>属地</w:t>
      </w:r>
      <w:r>
        <w:rPr>
          <w:rFonts w:hint="eastAsia" w:ascii="Times New Roman" w:hAnsi="Times New Roman" w:eastAsia="仿宋_GB2312" w:cs="Times New Roman"/>
          <w:color w:val="auto"/>
          <w:sz w:val="32"/>
          <w:szCs w:val="32"/>
          <w:lang w:eastAsia="zh-CN"/>
        </w:rPr>
        <w:t>人民政府政务公开网站上向社会公示。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申请家庭、其他组织和个人对公示情况有异议的，应在公示期间内向</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lang w:eastAsia="zh-CN"/>
        </w:rPr>
        <w:t>住房保障部门书面申请异议复核，并提交相关佐证材料。</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lang w:eastAsia="zh-CN"/>
        </w:rPr>
        <w:t>住房保障部门自收到异议复核申请之日起调查核实，出具异议复核处理结果。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公示及异议复核完成后，</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lang w:eastAsia="zh-CN"/>
        </w:rPr>
        <w:t>住房保障部门在属地人民政府政务公开网站上网站公布资格审核结果及选房人员顺序。筹集主体将资格复核结果公布网站、查询方式、选房时间、选房地点等信息以短信方式告知申请家庭。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（二）组织选房</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年</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日至</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u w:val="single"/>
          <w:lang w:val="en-US" w:eastAsia="zh-CN"/>
        </w:rPr>
        <w:t xml:space="preserve">  </w:t>
      </w:r>
      <w:r>
        <w:rPr>
          <w:rFonts w:hint="eastAsia" w:ascii="楷体_GB2312" w:hAnsi="楷体_GB2312" w:eastAsia="楷体_GB2312" w:cs="楷体_GB2312"/>
          <w:color w:val="auto"/>
          <w:sz w:val="32"/>
          <w:szCs w:val="32"/>
          <w:lang w:val="en-US" w:eastAsia="zh-CN"/>
        </w:rPr>
        <w:t>日</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本次选房拟定于</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时开始，为期</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天，选房地点为</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选房顺序为申请家庭与筹集主体签订意向配售协议的时间顺序</w:t>
      </w:r>
      <w:r>
        <w:rPr>
          <w:rFonts w:hint="eastAsia" w:ascii="Times New Roman" w:hAnsi="Times New Roman" w:eastAsia="仿宋_GB2312" w:cs="Times New Roman"/>
          <w:color w:val="auto"/>
          <w:sz w:val="32"/>
          <w:szCs w:val="32"/>
          <w:lang w:val="en-US" w:eastAsia="zh-CN"/>
        </w:rPr>
        <w:t>，每天将安排</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人选房；当天未参与选房或未选定房源的的，若仍有购买意愿，可在全部人员选房完毕后再次组织选房，再次选房顺序仍为签订意向配售协议时间顺序；再次选房后，仍未参与选房或选定房源的，视为放弃购买本项目配售型保障性住房，申请家庭若有购买其他项目配售型保障性住房意愿的，可根据其他项目发布的意向登记公告，签订意向配售协议，再根据配售方案参与选房、购房</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w:t>
      </w:r>
      <w:r>
        <w:rPr>
          <w:rFonts w:hint="default" w:ascii="楷体_GB2312" w:hAnsi="楷体_GB2312" w:eastAsia="楷体_GB2312" w:cs="楷体_GB2312"/>
          <w:color w:val="auto"/>
          <w:sz w:val="32"/>
          <w:szCs w:val="32"/>
          <w:lang w:eastAsia="zh-CN"/>
        </w:rPr>
        <w:t>签订合同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选定本项目房源的申请家庭，请在7个工作日内与</w:t>
      </w:r>
      <w:r>
        <w:rPr>
          <w:rFonts w:hint="eastAsia" w:ascii="Times New Roman" w:hAnsi="Times New Roman" w:eastAsia="仿宋_GB2312" w:cs="Times New Roman"/>
          <w:color w:val="auto"/>
          <w:sz w:val="32"/>
          <w:szCs w:val="32"/>
          <w:u w:val="single"/>
          <w:lang w:val="en-US" w:eastAsia="zh-CN"/>
        </w:rPr>
        <w:t xml:space="preserve"> </w:t>
      </w:r>
      <w:r>
        <w:rPr>
          <w:rFonts w:hint="eastAsia" w:ascii="楷体_GB2312" w:hAnsi="楷体_GB2312" w:eastAsia="楷体_GB2312" w:cs="楷体_GB2312"/>
          <w:color w:val="auto"/>
          <w:sz w:val="18"/>
          <w:szCs w:val="18"/>
          <w:u w:val="single"/>
          <w:lang w:val="en-US" w:eastAsia="zh-CN"/>
        </w:rPr>
        <w:t>项目筹集主体</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签订</w:t>
      </w:r>
      <w:r>
        <w:rPr>
          <w:rFonts w:hint="eastAsia" w:ascii="Times New Roman" w:hAnsi="Times New Roman" w:eastAsia="仿宋_GB2312" w:cs="Times New Roman"/>
          <w:color w:val="auto"/>
          <w:sz w:val="32"/>
          <w:szCs w:val="32"/>
          <w:lang w:eastAsia="zh-CN"/>
        </w:rPr>
        <w:t>《宜昌市配售型保障性住房买卖合同》（以下简称《买卖合同》</w:t>
      </w:r>
      <w:r>
        <w:rPr>
          <w:rFonts w:hint="default" w:ascii="Times New Roman" w:hAnsi="Times New Roman" w:eastAsia="仿宋_GB2312" w:cs="Times New Roman"/>
          <w:color w:val="auto"/>
          <w:sz w:val="32"/>
          <w:szCs w:val="32"/>
          <w:lang w:eastAsia="zh-CN"/>
        </w:rPr>
        <w:t>。未在规定时间内签订</w:t>
      </w:r>
      <w:r>
        <w:rPr>
          <w:rFonts w:hint="eastAsia" w:ascii="Times New Roman" w:hAnsi="Times New Roman" w:eastAsia="仿宋_GB2312" w:cs="Times New Roman"/>
          <w:color w:val="auto"/>
          <w:sz w:val="32"/>
          <w:szCs w:val="32"/>
          <w:lang w:eastAsia="zh-CN"/>
        </w:rPr>
        <w:t>《买卖合同》</w:t>
      </w:r>
      <w:r>
        <w:rPr>
          <w:rFonts w:hint="default" w:ascii="Times New Roman" w:hAnsi="Times New Roman" w:eastAsia="仿宋_GB2312" w:cs="Times New Roman"/>
          <w:color w:val="auto"/>
          <w:sz w:val="32"/>
          <w:szCs w:val="32"/>
          <w:lang w:eastAsia="zh-CN"/>
        </w:rPr>
        <w:t>、缴纳购房款的，视为放弃本次购房资格</w:t>
      </w:r>
      <w:r>
        <w:rPr>
          <w:rFonts w:hint="eastAsia" w:ascii="Times New Roman" w:hAnsi="Times New Roman" w:eastAsia="仿宋_GB2312" w:cs="Times New Roman"/>
          <w:color w:val="auto"/>
          <w:sz w:val="32"/>
          <w:szCs w:val="32"/>
          <w:lang w:eastAsia="zh-CN"/>
        </w:rPr>
        <w:t>，项目筹集主体有权单方面取消申请家庭本项目优先购房资格</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本项目的《买卖合同》范本、现售备案证明、一房一价表等在销售现场公示。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本项目每套房屋住宅专项维修资金=认购房屋建筑面积×</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val="0"/>
          <w:bCs w:val="0"/>
          <w:sz w:val="32"/>
          <w:szCs w:val="32"/>
          <w:u w:val="none"/>
          <w:lang w:val="en-US" w:eastAsia="zh-CN"/>
        </w:rPr>
        <w:t>（四）产权办理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申请家庭分别与</w:t>
      </w:r>
      <w:r>
        <w:rPr>
          <w:rFonts w:hint="eastAsia" w:ascii="Times New Roman" w:hAnsi="Times New Roman" w:eastAsia="仿宋_GB2312" w:cs="Times New Roman"/>
          <w:color w:val="auto"/>
          <w:sz w:val="32"/>
          <w:szCs w:val="32"/>
          <w:u w:val="single"/>
          <w:lang w:val="en-US" w:eastAsia="zh-CN"/>
        </w:rPr>
        <w:t xml:space="preserve"> </w:t>
      </w:r>
      <w:r>
        <w:rPr>
          <w:rFonts w:hint="eastAsia" w:ascii="楷体_GB2312" w:hAnsi="楷体_GB2312" w:eastAsia="楷体_GB2312" w:cs="楷体_GB2312"/>
          <w:color w:val="auto"/>
          <w:sz w:val="18"/>
          <w:szCs w:val="18"/>
          <w:u w:val="single"/>
          <w:lang w:val="en-US" w:eastAsia="zh-CN"/>
        </w:rPr>
        <w:t xml:space="preserve">项目筹集主体  </w:t>
      </w:r>
      <w:r>
        <w:rPr>
          <w:rFonts w:hint="eastAsia" w:ascii="仿宋_GB2312" w:hAnsi="仿宋_GB2312" w:eastAsia="仿宋_GB2312" w:cs="仿宋_GB2312"/>
          <w:b w:val="0"/>
          <w:bCs w:val="0"/>
          <w:sz w:val="32"/>
          <w:szCs w:val="32"/>
          <w:u w:val="none"/>
          <w:lang w:val="en-US" w:eastAsia="zh-CN"/>
        </w:rPr>
        <w:t>按照《买卖合同》约定办理不动产权转移手续。不动产权证书将载明房屋性质为“配售型保障性住房”，附记注明“该房屋属于配售型保障性住房，并实施严格的封闭管理，严禁以任何方式变更为商品住房流入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val="0"/>
          <w:bCs w:val="0"/>
          <w:sz w:val="32"/>
          <w:szCs w:val="32"/>
          <w:u w:val="none"/>
          <w:lang w:val="en-US" w:eastAsia="zh-CN"/>
        </w:rPr>
        <w:t>（五）交付入住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本项目为现房，具体的交付使用时间以《买卖合同》约定的时间为准。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其他需要说明的事项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（一）本项目的资格复核结果公告、选房、合同签订等工作时间安排，请申请家庭实时关注并提前做好准备（如提前准备补正补齐资料、安排时间参加选房、筹措首付款等）。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（二）申请家庭可以自主选择一次性付款、住房公积金贷款、住房商业贷款或住房组合贷款等付款方式。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（三）本项目的基本信息（含前期物业服务费、停车费收费标准等）、项目周边影响因素情况说明、红线内不利因素情况说明等由</w:t>
      </w:r>
      <w:r>
        <w:rPr>
          <w:rFonts w:hint="eastAsia" w:ascii="Times New Roman" w:hAnsi="Times New Roman" w:eastAsia="仿宋_GB2312" w:cs="Times New Roman"/>
          <w:color w:val="auto"/>
          <w:sz w:val="32"/>
          <w:szCs w:val="32"/>
          <w:u w:val="single"/>
          <w:lang w:val="en-US" w:eastAsia="zh-CN"/>
        </w:rPr>
        <w:t xml:space="preserve"> </w:t>
      </w:r>
      <w:r>
        <w:rPr>
          <w:rFonts w:hint="eastAsia" w:ascii="楷体_GB2312" w:hAnsi="楷体_GB2312" w:eastAsia="楷体_GB2312" w:cs="楷体_GB2312"/>
          <w:color w:val="auto"/>
          <w:sz w:val="18"/>
          <w:szCs w:val="18"/>
          <w:u w:val="single"/>
          <w:lang w:val="en-US" w:eastAsia="zh-CN"/>
        </w:rPr>
        <w:t xml:space="preserve">项目筹集主体 </w:t>
      </w:r>
      <w:r>
        <w:rPr>
          <w:rFonts w:hint="eastAsia" w:ascii="仿宋_GB2312" w:hAnsi="仿宋_GB2312" w:eastAsia="仿宋_GB2312" w:cs="仿宋_GB2312"/>
          <w:b w:val="0"/>
          <w:bCs w:val="0"/>
          <w:sz w:val="32"/>
          <w:szCs w:val="32"/>
          <w:u w:val="none"/>
          <w:lang w:val="en-US" w:eastAsia="zh-CN"/>
        </w:rPr>
        <w:t>在销售现场公示并负责解释。申请家庭如发现项目销售现场违反《办法》相关规定的，可向</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u w:val="single"/>
          <w:lang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lang w:eastAsia="zh-CN"/>
        </w:rPr>
        <w:t>住房保障部门</w:t>
      </w:r>
      <w:r>
        <w:rPr>
          <w:rFonts w:hint="eastAsia" w:ascii="仿宋_GB2312" w:hAnsi="仿宋_GB2312" w:eastAsia="仿宋_GB2312" w:cs="仿宋_GB2312"/>
          <w:b w:val="0"/>
          <w:bCs w:val="0"/>
          <w:sz w:val="32"/>
          <w:szCs w:val="32"/>
          <w:u w:val="none"/>
          <w:lang w:val="en-US" w:eastAsia="zh-CN"/>
        </w:rPr>
        <w:t>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本项目为配售型保障性住房，严禁以任何方式变更为商品住房流入市场。若买受人想退出配售型保障性住房，可按照《宜昌市配售型保障性住房管理办法》关于“售后回购和转让”的要求，在符合条件的情况下申请回购或转让。已申请回购和转让的家庭5年内不得再次申请购买配售型保障性住房。已购买配售型保障性住房的家庭，因继承、遗赠、离婚析产等方式取得其他配售型保障性住房的，只能保留一套，其余回购。配售型保障性住房不得用于生产经营。</w:t>
      </w:r>
    </w:p>
    <w:p>
      <w:pPr>
        <w:pStyle w:val="2"/>
        <w:pageBreakBefore w:val="0"/>
        <w:widowControl w:val="0"/>
        <w:kinsoku/>
        <w:wordWrap/>
        <w:overflowPunct/>
        <w:topLinePunct w:val="0"/>
        <w:autoSpaceDE/>
        <w:autoSpaceDN/>
        <w:bidi w:val="0"/>
        <w:snapToGrid/>
        <w:spacing w:line="560" w:lineRule="exact"/>
        <w:textAlignment w:val="auto"/>
        <w:rPr>
          <w:rFonts w:hint="default"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五）一户家庭职能申请购买一套配售型保障性住房。已承租公共租赁住房、保障性租赁住房的，应如实申报并按规定腾退后申请购买；正在享受公共租赁住房租赁补贴、职工住房货币化补贴的，应在申请停发补贴后购买。被人民法院列入失信被执行人的，不得申请购买。未成年人不得单独申请购买配售型保障性住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六、补充说明事项</w:t>
      </w:r>
    </w:p>
    <w:p>
      <w:pPr>
        <w:pStyle w:val="7"/>
        <w:keepNext/>
        <w:keepLines/>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附件：</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配售型保障性住房房源明细表</w:t>
      </w:r>
    </w:p>
    <w:p>
      <w:pPr>
        <w:pStyle w:val="9"/>
        <w:pageBreakBefore w:val="0"/>
        <w:widowControl w:val="0"/>
        <w:kinsoku/>
        <w:wordWrap/>
        <w:overflowPunct/>
        <w:topLinePunct w:val="0"/>
        <w:autoSpaceDE/>
        <w:autoSpaceDN/>
        <w:bidi w:val="0"/>
        <w:snapToGrid/>
        <w:spacing w:line="560" w:lineRule="exact"/>
        <w:ind w:firstLine="0" w:firstLineChars="0"/>
        <w:textAlignment w:val="auto"/>
        <w:rPr>
          <w:rFonts w:hint="eastAsia" w:ascii="仿宋_GB2312" w:hAnsi="仿宋_GB2312" w:eastAsia="仿宋_GB2312" w:cs="仿宋_GB2312"/>
          <w:b w:val="0"/>
          <w:bCs w:val="0"/>
          <w:sz w:val="32"/>
          <w:szCs w:val="32"/>
          <w:u w:val="none"/>
          <w:lang w:val="en-US" w:eastAsia="zh-CN"/>
        </w:rPr>
      </w:pPr>
    </w:p>
    <w:p>
      <w:pPr>
        <w:pStyle w:val="9"/>
        <w:pageBreakBefore w:val="0"/>
        <w:widowControl w:val="0"/>
        <w:kinsoku/>
        <w:wordWrap/>
        <w:overflowPunct/>
        <w:topLinePunct w:val="0"/>
        <w:autoSpaceDE/>
        <w:autoSpaceDN/>
        <w:bidi w:val="0"/>
        <w:snapToGrid/>
        <w:spacing w:line="560" w:lineRule="exact"/>
        <w:ind w:firstLine="0" w:firstLineChars="0"/>
        <w:textAlignment w:val="auto"/>
        <w:rPr>
          <w:rFonts w:hint="eastAsia" w:ascii="仿宋_GB2312" w:hAnsi="仿宋_GB2312" w:eastAsia="仿宋_GB2312" w:cs="仿宋_GB2312"/>
          <w:b w:val="0"/>
          <w:bCs w:val="0"/>
          <w:sz w:val="32"/>
          <w:szCs w:val="32"/>
          <w:u w:val="none"/>
          <w:lang w:val="en-US" w:eastAsia="zh-CN"/>
        </w:rPr>
      </w:pPr>
    </w:p>
    <w:p>
      <w:pPr>
        <w:pStyle w:val="9"/>
        <w:pageBreakBefore w:val="0"/>
        <w:widowControl w:val="0"/>
        <w:kinsoku/>
        <w:wordWrap/>
        <w:overflowPunct/>
        <w:topLinePunct w:val="0"/>
        <w:autoSpaceDE/>
        <w:autoSpaceDN/>
        <w:bidi w:val="0"/>
        <w:snapToGrid/>
        <w:spacing w:line="560" w:lineRule="exact"/>
        <w:ind w:firstLine="0" w:firstLineChars="0"/>
        <w:textAlignment w:val="auto"/>
        <w:rPr>
          <w:rFonts w:hint="eastAsia" w:ascii="仿宋_GB2312" w:hAnsi="仿宋_GB2312" w:eastAsia="仿宋_GB2312" w:cs="仿宋_GB2312"/>
          <w:b w:val="0"/>
          <w:bCs w:val="0"/>
          <w:sz w:val="32"/>
          <w:szCs w:val="32"/>
          <w:u w:val="none"/>
          <w:lang w:val="en-US" w:eastAsia="zh-CN"/>
        </w:rPr>
      </w:pPr>
    </w:p>
    <w:p>
      <w:pPr>
        <w:pStyle w:val="9"/>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lang w:eastAsia="zh-CN"/>
        </w:rPr>
        <w:t xml:space="preserve"> </w:t>
      </w:r>
      <w:r>
        <w:rPr>
          <w:rFonts w:hint="eastAsia" w:ascii="Times New Roman" w:hAnsi="Times New Roman" w:eastAsia="仿宋_GB2312" w:cs="Times New Roman"/>
          <w:color w:val="auto"/>
          <w:sz w:val="32"/>
          <w:szCs w:val="32"/>
          <w:u w:val="none"/>
          <w:lang w:val="en-US" w:eastAsia="zh-CN"/>
        </w:rPr>
        <w:t xml:space="preserve">   县/市/区住房保障部门公章            筹集主体公章</w:t>
      </w:r>
    </w:p>
    <w:p>
      <w:pPr>
        <w:pStyle w:val="9"/>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仿宋_GB2312" w:cs="Times New Roman"/>
          <w:color w:val="auto"/>
          <w:sz w:val="32"/>
          <w:szCs w:val="32"/>
          <w:lang w:val="en-US" w:eastAsia="zh-CN"/>
        </w:rPr>
        <w:sectPr>
          <w:pgSz w:w="11906" w:h="16838"/>
          <w:pgMar w:top="2098" w:right="1474" w:bottom="1984" w:left="1587" w:header="851" w:footer="992" w:gutter="0"/>
          <w:cols w:space="0" w:num="1"/>
          <w:rtlGutter w:val="0"/>
          <w:docGrid w:type="lines" w:linePitch="312" w:charSpace="0"/>
        </w:sect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textAlignment w:val="auto"/>
        <w:rPr>
          <w:rFonts w:hint="default" w:ascii="仿宋_GB2312" w:hAnsi="仿宋_GB2312" w:eastAsia="仿宋_GB2312" w:cs="仿宋_GB2312"/>
          <w:b w:val="0"/>
          <w:bCs w:val="0"/>
          <w:sz w:val="32"/>
          <w:szCs w:val="32"/>
          <w:u w:val="none"/>
          <w:lang w:val="en-US" w:eastAsia="zh-CN"/>
        </w:rPr>
      </w:pPr>
      <w:r>
        <w:rPr>
          <w:rFonts w:hint="eastAsia" w:ascii="黑体" w:hAnsi="黑体" w:eastAsia="黑体" w:cs="黑体"/>
          <w:b w:val="0"/>
          <w:bCs w:val="0"/>
          <w:sz w:val="32"/>
          <w:szCs w:val="32"/>
          <w:u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ind w:firstLine="840" w:firstLineChars="200"/>
        <w:jc w:val="both"/>
        <w:textAlignment w:val="auto"/>
        <w:rPr>
          <w:rFonts w:hint="eastAsia" w:ascii="方正小标宋简体" w:hAnsi="方正小标宋简体" w:eastAsia="方正小标宋简体" w:cs="方正小标宋简体"/>
          <w:b w:val="0"/>
          <w:bCs w:val="0"/>
          <w:sz w:val="42"/>
          <w:szCs w:val="42"/>
          <w:u w:val="none"/>
          <w:lang w:val="en-US" w:eastAsia="zh-CN"/>
        </w:rPr>
      </w:pPr>
      <w:r>
        <w:rPr>
          <w:rFonts w:hint="eastAsia" w:ascii="方正小标宋简体" w:hAnsi="方正小标宋简体" w:eastAsia="方正小标宋简体" w:cs="方正小标宋简体"/>
          <w:b w:val="0"/>
          <w:bCs w:val="0"/>
          <w:sz w:val="42"/>
          <w:szCs w:val="42"/>
          <w:u w:val="single"/>
          <w:lang w:val="en-US" w:eastAsia="zh-CN"/>
        </w:rPr>
        <w:t xml:space="preserve">        </w:t>
      </w:r>
      <w:r>
        <w:rPr>
          <w:rFonts w:hint="eastAsia" w:ascii="方正小标宋简体" w:hAnsi="方正小标宋简体" w:eastAsia="方正小标宋简体" w:cs="方正小标宋简体"/>
          <w:b w:val="0"/>
          <w:bCs w:val="0"/>
          <w:sz w:val="42"/>
          <w:szCs w:val="42"/>
          <w:u w:val="none"/>
          <w:lang w:val="en-US" w:eastAsia="zh-CN"/>
        </w:rPr>
        <w:t>配售型保障性住房房源明细表</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楷体简体" w:hAnsi="方正楷体简体" w:eastAsia="方正楷体简体" w:cs="方正楷体简体"/>
          <w:i w:val="0"/>
          <w:iCs w:val="0"/>
          <w:caps w:val="0"/>
          <w:color w:val="auto"/>
          <w:spacing w:val="0"/>
          <w:sz w:val="28"/>
          <w:szCs w:val="28"/>
          <w:shd w:val="clear" w:color="auto" w:fill="FFFFFF"/>
          <w:lang w:eastAsia="zh-CN"/>
        </w:rPr>
      </w:pPr>
      <w:r>
        <w:rPr>
          <w:rFonts w:hint="eastAsia" w:ascii="方正楷体简体" w:hAnsi="方正楷体简体" w:eastAsia="方正楷体简体" w:cs="方正楷体简体"/>
          <w:i w:val="0"/>
          <w:iCs w:val="0"/>
          <w:caps w:val="0"/>
          <w:color w:val="auto"/>
          <w:spacing w:val="0"/>
          <w:sz w:val="28"/>
          <w:szCs w:val="28"/>
          <w:shd w:val="clear" w:color="auto" w:fill="FFFFFF"/>
          <w:lang w:eastAsia="zh-CN"/>
        </w:rPr>
        <w:t>单位：</w:t>
      </w:r>
      <w:r>
        <w:rPr>
          <w:rFonts w:hint="eastAsia" w:ascii="方正楷体简体" w:hAnsi="方正楷体简体" w:eastAsia="方正楷体简体" w:cs="方正楷体简体"/>
          <w:sz w:val="28"/>
          <w:szCs w:val="28"/>
          <w:vertAlign w:val="baseline"/>
          <w:lang w:val="en-US" w:eastAsia="zh-CN"/>
        </w:rPr>
        <w:t>㎡、元/㎡、元</w:t>
      </w:r>
    </w:p>
    <w:tbl>
      <w:tblPr>
        <w:tblStyle w:val="11"/>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188"/>
        <w:gridCol w:w="960"/>
        <w:gridCol w:w="1476"/>
        <w:gridCol w:w="1320"/>
        <w:gridCol w:w="140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不动产单元</w:t>
            </w:r>
          </w:p>
        </w:tc>
        <w:tc>
          <w:tcPr>
            <w:tcW w:w="11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房号</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所在层</w:t>
            </w: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建筑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面积</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毛坯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单价</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装饰装修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单价</w:t>
            </w:r>
          </w:p>
        </w:tc>
        <w:tc>
          <w:tcPr>
            <w:tcW w:w="12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合同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大黑简体" w:hAnsi="方正大黑简体" w:eastAsia="方正大黑简体" w:cs="方正大黑简体"/>
                <w:sz w:val="22"/>
                <w:szCs w:val="22"/>
                <w:vertAlign w:val="baseline"/>
                <w:lang w:val="en-US" w:eastAsia="zh-CN"/>
              </w:rPr>
            </w:pPr>
            <w:r>
              <w:rPr>
                <w:rFonts w:hint="eastAsia" w:ascii="方正大黑简体" w:hAnsi="方正大黑简体" w:eastAsia="方正大黑简体" w:cs="方正大黑简体"/>
                <w:sz w:val="22"/>
                <w:szCs w:val="22"/>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42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7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40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c>
          <w:tcPr>
            <w:tcW w:w="123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i w:val="0"/>
                <w:iCs w:val="0"/>
                <w:caps w:val="0"/>
                <w:color w:val="auto"/>
                <w:spacing w:val="0"/>
                <w:sz w:val="30"/>
                <w:szCs w:val="30"/>
                <w:shd w:val="clear" w:color="auto" w:fill="FFFFFF"/>
                <w:vertAlign w:val="baseline"/>
                <w:lang w:val="en-US" w:eastAsia="zh-CN"/>
              </w:rPr>
            </w:pPr>
          </w:p>
        </w:tc>
      </w:tr>
    </w:tbl>
    <w:p>
      <w:pPr>
        <w:pStyle w:val="9"/>
        <w:pageBreakBefore w:val="0"/>
        <w:widowControl w:val="0"/>
        <w:kinsoku/>
        <w:wordWrap/>
        <w:overflowPunct/>
        <w:topLinePunct w:val="0"/>
        <w:autoSpaceDE/>
        <w:autoSpaceDN/>
        <w:bidi w:val="0"/>
        <w:snapToGrid/>
        <w:spacing w:line="560" w:lineRule="exact"/>
        <w:ind w:firstLine="0" w:firstLineChars="0"/>
        <w:textAlignment w:val="auto"/>
        <w:rPr>
          <w:rFonts w:hint="eastAsia" w:ascii="Times New Roman" w:hAnsi="Times New Roman" w:eastAsia="仿宋_GB2312" w:cs="Times New Roman"/>
          <w:color w:val="auto"/>
          <w:sz w:val="32"/>
          <w:szCs w:val="32"/>
          <w:lang w:val="en-US" w:eastAsia="zh-CN"/>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秀体简">
    <w:altName w:val="华文中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EB6C2"/>
    <w:multiLevelType w:val="singleLevel"/>
    <w:tmpl w:val="CFEEB6C2"/>
    <w:lvl w:ilvl="0" w:tentative="0">
      <w:start w:val="1"/>
      <w:numFmt w:val="chineseCounting"/>
      <w:suff w:val="nothing"/>
      <w:lvlText w:val="%1、"/>
      <w:lvlJc w:val="left"/>
      <w:pPr>
        <w:ind w:left="640" w:firstLine="0"/>
      </w:pPr>
      <w:rPr>
        <w:rFonts w:hint="eastAsia"/>
      </w:rPr>
    </w:lvl>
  </w:abstractNum>
  <w:abstractNum w:abstractNumId="1">
    <w:nsid w:val="F7DD425F"/>
    <w:multiLevelType w:val="singleLevel"/>
    <w:tmpl w:val="F7DD425F"/>
    <w:lvl w:ilvl="0" w:tentative="0">
      <w:start w:val="1"/>
      <w:numFmt w:val="chineseCounting"/>
      <w:suff w:val="nothing"/>
      <w:lvlText w:val="%1、"/>
      <w:lvlJc w:val="left"/>
      <w:rPr>
        <w:rFonts w:hint="eastAsia"/>
      </w:rPr>
    </w:lvl>
  </w:abstractNum>
  <w:abstractNum w:abstractNumId="2">
    <w:nsid w:val="4FEB6F19"/>
    <w:multiLevelType w:val="singleLevel"/>
    <w:tmpl w:val="4FEB6F1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02694"/>
    <w:rsid w:val="35324327"/>
    <w:rsid w:val="43011EC6"/>
    <w:rsid w:val="4CFC22B5"/>
    <w:rsid w:val="5A3A1D39"/>
    <w:rsid w:val="6478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Cambria" w:hAnsi="Cambria" w:eastAsia="Times New Roman"/>
      <w:b/>
      <w:bCs/>
      <w:sz w:val="32"/>
      <w:szCs w:val="32"/>
    </w:rPr>
  </w:style>
  <w:style w:type="paragraph" w:styleId="7">
    <w:name w:val="heading 3"/>
    <w:basedOn w:val="8"/>
    <w:next w:val="8"/>
    <w:qFormat/>
    <w:uiPriority w:val="99"/>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240" w:lineRule="atLeast"/>
    </w:pPr>
    <w:rPr>
      <w:rFonts w:eastAsia="小标宋"/>
      <w:sz w:val="44"/>
      <w:szCs w:val="44"/>
    </w:rPr>
  </w:style>
  <w:style w:type="paragraph" w:styleId="3">
    <w:name w:val="Body Text First Indent"/>
    <w:basedOn w:val="2"/>
    <w:next w:val="4"/>
    <w:qFormat/>
    <w:uiPriority w:val="99"/>
    <w:pPr>
      <w:ind w:firstLine="420" w:firstLineChars="100"/>
    </w:p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rPr>
      <w:rFonts w:ascii="Calibri" w:hAnsi="Calibri"/>
    </w:rPr>
  </w:style>
  <w:style w:type="paragraph" w:styleId="8">
    <w:name w:val="table of authorities"/>
    <w:basedOn w:val="1"/>
    <w:next w:val="1"/>
    <w:qFormat/>
    <w:uiPriority w:val="0"/>
    <w:pPr>
      <w:widowControl w:val="0"/>
      <w:spacing w:line="560" w:lineRule="exact"/>
      <w:ind w:left="420" w:leftChars="200" w:firstLine="200" w:firstLineChars="200"/>
      <w:jc w:val="both"/>
    </w:pPr>
    <w:rPr>
      <w:rFonts w:ascii="Times New Roman" w:hAnsi="Times New Roman" w:eastAsia="宋体" w:cs="Times New Roman"/>
      <w:kern w:val="2"/>
      <w:sz w:val="32"/>
      <w:szCs w:val="24"/>
      <w:lang w:eastAsia="zh-CN"/>
    </w:rPr>
  </w:style>
  <w:style w:type="paragraph" w:styleId="9">
    <w:name w:val="Normal Indent"/>
    <w:basedOn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2025-12-12T08:44:00Z</dcterms:created>
  <dc:creator>Administrator</dc:creator>
  <cp:lastModifiedBy>NTKO</cp:lastModifiedBy>
  <dcterms:modified xsi:type="dcterms:W3CDTF">2025-12-15T03:33:49Z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