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after="313" w:afterLines="100" w:line="500" w:lineRule="exact"/>
        <w:ind w:firstLine="0" w:firstLineChars="0"/>
        <w:rPr>
          <w:rFonts w:hint="default" w:ascii="方正小标宋简体" w:hAnsi="方正小标宋简体" w:eastAsia="方正小标宋简体" w:cs="方正小标宋简体"/>
          <w:sz w:val="42"/>
          <w:szCs w:val="4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《宜昌市配售型保障性住房买卖合同</w:t>
      </w:r>
    </w:p>
    <w:p>
      <w:pPr>
        <w:pStyle w:val="2"/>
        <w:spacing w:line="600" w:lineRule="exact"/>
        <w:ind w:firstLine="440" w:firstLineChars="100"/>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（范本）》起草说明</w:t>
      </w:r>
    </w:p>
    <w:p>
      <w:pPr>
        <w:pStyle w:val="2"/>
        <w:spacing w:line="600" w:lineRule="exact"/>
        <w:jc w:val="left"/>
        <w:rPr>
          <w:rFonts w:hint="eastAsia" w:ascii="方正楷体_GBK" w:hAnsi="方正楷体_GBK" w:eastAsia="方正楷体_GBK" w:cs="方正楷体_GBK"/>
          <w:color w:val="auto"/>
          <w:sz w:val="32"/>
          <w:szCs w:val="32"/>
          <w:lang w:eastAsia="zh-CN"/>
        </w:rPr>
      </w:pPr>
    </w:p>
    <w:p>
      <w:pPr>
        <w:pStyle w:val="2"/>
        <w:keepNext w:val="0"/>
        <w:keepLines w:val="0"/>
        <w:pageBreakBefore w:val="0"/>
        <w:widowControl/>
        <w:numPr>
          <w:ilvl w:val="0"/>
          <w:numId w:val="1"/>
        </w:numPr>
        <w:kinsoku/>
        <w:wordWrap/>
        <w:overflowPunct/>
        <w:topLinePunct w:val="0"/>
        <w:autoSpaceDE/>
        <w:autoSpaceDN/>
        <w:bidi w:val="0"/>
        <w:adjustRightInd/>
        <w:snapToGrid/>
        <w:spacing w:before="0" w:afterLines="0" w:line="520" w:lineRule="exact"/>
        <w:ind w:left="0" w:firstLine="640" w:firstLineChars="20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起草背景及依据</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国务院关于规划建设保障性住房的指导意见》（国发〔2023〕14号）、《宜昌市配售型保障性住房管理办法》（宜府办发〔2025〕19号），市住新局结合我市实际，牵头起草了《宜昌市配售型保障性住房买卖合同（范本）》征求意见稿。</w:t>
      </w:r>
    </w:p>
    <w:p>
      <w:pPr>
        <w:pStyle w:val="2"/>
        <w:keepNext w:val="0"/>
        <w:keepLines w:val="0"/>
        <w:pageBreakBefore w:val="0"/>
        <w:widowControl/>
        <w:numPr>
          <w:ilvl w:val="0"/>
          <w:numId w:val="1"/>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起草过程</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Lines="0" w:line="52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市住房和城市更新局借鉴广州、郑州等地经验，结合《宜昌市商品房买卖合同（范本）》，起草了《宜昌市配售型保障性住房买卖合同（范本）》征求意见稿，多次组织召开专题会议研究论证，在保证《合同（范本）》符合配售型保障性住房相关要求的同时，着力提升《合同（范本）》对配售家庭合法权益的保护。</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numPr>
          <w:ilvl w:val="0"/>
          <w:numId w:val="1"/>
        </w:numPr>
        <w:kinsoku/>
        <w:wordWrap/>
        <w:overflowPunct/>
        <w:topLinePunct w:val="0"/>
        <w:autoSpaceDE/>
        <w:autoSpaceDN/>
        <w:bidi w:val="0"/>
        <w:adjustRightInd/>
        <w:snapToGrid/>
        <w:spacing w:before="0" w:afterLines="0" w:line="520" w:lineRule="exact"/>
        <w:ind w:left="0" w:firstLine="640" w:firstLineChars="200"/>
        <w:jc w:val="left"/>
        <w:textAlignment w:val="auto"/>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lang w:eastAsia="zh-CN"/>
        </w:rPr>
        <w:t>主要内容及需要重点说明的事项</w:t>
      </w:r>
    </w:p>
    <w:p>
      <w:pPr>
        <w:pStyle w:val="2"/>
        <w:keepNext w:val="0"/>
        <w:keepLines w:val="0"/>
        <w:pageBreakBefore w:val="0"/>
        <w:widowControl/>
        <w:numPr>
          <w:ilvl w:val="0"/>
          <w:numId w:val="2"/>
        </w:numPr>
        <w:kinsoku/>
        <w:wordWrap/>
        <w:overflowPunct/>
        <w:topLinePunct w:val="0"/>
        <w:autoSpaceDE/>
        <w:autoSpaceDN/>
        <w:bidi w:val="0"/>
        <w:adjustRightInd/>
        <w:snapToGrid/>
        <w:spacing w:before="0" w:afterLines="0" w:line="520" w:lineRule="exact"/>
        <w:ind w:left="420" w:leftChars="200" w:firstLine="0" w:firstLineChars="0"/>
        <w:jc w:val="left"/>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主要内容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1.第一章 合同当事人方面。包括出卖人名称、通讯地址、邮政编码、营业执照注册号、资质证书号、法定代表人及委托代理人名称及联系电话；委托销售经纪机构名称、通讯地址、邮政编码、营业执照注册号、经纪机构备案证明号、法定代表人名称及联系电话；买受人姓名、国籍或户籍所在地、身份证号、通讯地址、邮政编码、联系电话、委托代理人姓名及联系电话等。</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2.第二章 配售型保障性住房基本状况方面。包括项目建设依据、销售依据、基本情况、抵押情况、住房权利状况承诺等。</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3.第三章 配售价款方面。包括计价方式与价款、付款方式及期限、逾期付款责任。</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4.第四章 交付条件与交付手续方面。包括住房交付条件、住房相关设施设备交付条件、交付时间和手续、逾期交付责任。</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5.第五章 住房质量及保修责任方面。包括住房质量、保修责任、质量担保。</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6.第六章 合同网签备案及房屋登记方面。包括网签备案、房屋登记。</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7.第七章 前期服务服务方面。包括前期物业管理内容。</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8.第八章 售后管理方面。包括封闭管理、回购及转让情形、特殊回购情形、继承/遗赠/离婚析产、回购价格等。</w:t>
      </w:r>
    </w:p>
    <w:p>
      <w:pPr>
        <w:pStyle w:val="2"/>
        <w:keepNext/>
        <w:keepLines/>
        <w:pageBreakBefore w:val="0"/>
        <w:widowControl w:val="0"/>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9.第九章 其他事项方面。包括建筑物区分所有权、税费、配售和使用承诺、送达、买受人信息保护、争议解决方式、合同生效等内容。</w:t>
      </w:r>
    </w:p>
    <w:p>
      <w:pPr>
        <w:pStyle w:val="2"/>
        <w:keepNext w:val="0"/>
        <w:keepLines w:val="0"/>
        <w:pageBreakBefore w:val="0"/>
        <w:widowControl/>
        <w:numPr>
          <w:ilvl w:val="0"/>
          <w:numId w:val="0"/>
        </w:numPr>
        <w:kinsoku/>
        <w:wordWrap/>
        <w:overflowPunct/>
        <w:topLinePunct w:val="0"/>
        <w:autoSpaceDE/>
        <w:autoSpaceDN/>
        <w:bidi w:val="0"/>
        <w:adjustRightInd/>
        <w:snapToGrid/>
        <w:spacing w:before="0" w:afterLines="0" w:line="520" w:lineRule="exact"/>
        <w:ind w:left="0" w:leftChars="0"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方正楷体_GBK" w:hAnsi="方正楷体_GBK" w:eastAsia="方正楷体_GBK" w:cs="方正楷体_GBK"/>
          <w:b w:val="0"/>
          <w:bCs w:val="0"/>
          <w:sz w:val="32"/>
          <w:szCs w:val="32"/>
          <w:lang w:eastAsia="zh-CN"/>
        </w:rPr>
        <w:t>（二）需要重点说明的事项。</w:t>
      </w:r>
      <w:r>
        <w:rPr>
          <w:rFonts w:hint="eastAsia" w:ascii="仿宋_GB2312" w:hAnsi="仿宋_GB2312" w:eastAsia="仿宋_GB2312" w:cs="仿宋_GB2312"/>
          <w:b w:val="0"/>
          <w:bCs w:val="0"/>
          <w:sz w:val="32"/>
          <w:szCs w:val="32"/>
          <w:lang w:eastAsia="zh-CN"/>
        </w:rPr>
        <w:t>为提升配售对象对配售型保障性住房的认识，在合同范本开篇“说明”内容部分，再次重申了《宜昌市配售型保障性住房管理办法》中明确的“配售型保障性住房实施严格的封闭管理，严禁以任何方式变更为商品住房流入市场”，“不得用于生产经营”等禁止性条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宋体" w:eastAsia="黑体" w:cs="黑体"/>
          <w:b w:val="0"/>
          <w:kern w:val="2"/>
          <w:sz w:val="32"/>
          <w:szCs w:val="32"/>
          <w:lang w:val="en-US" w:eastAsia="zh-CN"/>
        </w:rPr>
      </w:pPr>
    </w:p>
    <w:p>
      <w:pPr>
        <w:pStyle w:val="6"/>
        <w:adjustRightInd w:val="0"/>
        <w:rPr>
          <w:rFonts w:hint="eastAsia" w:hAnsi="宋体"/>
          <w:b/>
          <w:bCs/>
          <w:color w:val="auto"/>
          <w:sz w:val="28"/>
          <w:szCs w:val="28"/>
          <w:highlight w:val="none"/>
        </w:rPr>
      </w:pPr>
      <w:bookmarkStart w:id="6" w:name="_GoBack"/>
      <w:bookmarkEnd w:id="6"/>
    </w:p>
    <w:p>
      <w:pPr>
        <w:pStyle w:val="6"/>
        <w:adjustRightInd w:val="0"/>
        <w:jc w:val="left"/>
        <w:rPr>
          <w:rFonts w:hAnsi="宋体"/>
          <w:b/>
          <w:bCs/>
          <w:color w:val="auto"/>
          <w:sz w:val="28"/>
          <w:szCs w:val="28"/>
          <w:highlight w:val="none"/>
        </w:rPr>
      </w:pPr>
      <w:r>
        <w:rPr>
          <w:rFonts w:hint="eastAsia" w:hAnsi="宋体"/>
          <w:b/>
          <w:bCs/>
          <w:color w:val="auto"/>
          <w:sz w:val="28"/>
          <w:szCs w:val="28"/>
          <w:highlight w:val="none"/>
        </w:rPr>
        <w:br w:type="page"/>
      </w:r>
      <w:r>
        <w:rPr>
          <w:rFonts w:hint="eastAsia" w:hAnsi="宋体"/>
          <w:b/>
          <w:bCs/>
          <w:color w:val="auto"/>
          <w:sz w:val="28"/>
          <w:szCs w:val="28"/>
          <w:highlight w:val="none"/>
        </w:rPr>
        <w:t>合同编号：</w:t>
      </w:r>
      <w:r>
        <w:rPr>
          <w:rFonts w:hint="eastAsia" w:hAnsi="宋体"/>
          <w:b/>
          <w:bCs/>
          <w:color w:val="auto"/>
          <w:sz w:val="28"/>
          <w:szCs w:val="28"/>
          <w:highlight w:val="none"/>
          <w:lang w:val="en-US" w:eastAsia="zh-CN"/>
        </w:rPr>
        <w:t xml:space="preserve">                            </w:t>
      </w:r>
      <w:r>
        <w:rPr>
          <w:rFonts w:hint="eastAsia" w:hAnsi="宋体"/>
          <w:b/>
          <w:bCs/>
          <w:color w:val="auto"/>
          <w:sz w:val="28"/>
          <w:szCs w:val="28"/>
          <w:highlight w:val="none"/>
        </w:rPr>
        <w:t>合同备案号：</w:t>
      </w:r>
    </w:p>
    <w:p>
      <w:pPr>
        <w:pStyle w:val="6"/>
        <w:adjustRightInd w:val="0"/>
        <w:jc w:val="center"/>
        <w:rPr>
          <w:rFonts w:hAnsi="宋体"/>
          <w:b/>
          <w:bCs/>
          <w:color w:val="auto"/>
          <w:sz w:val="28"/>
          <w:szCs w:val="28"/>
          <w:highlight w:val="none"/>
        </w:rPr>
      </w:pPr>
    </w:p>
    <w:p>
      <w:pPr>
        <w:pStyle w:val="6"/>
        <w:adjustRightInd w:val="0"/>
        <w:jc w:val="center"/>
        <w:rPr>
          <w:rFonts w:hAnsi="宋体"/>
          <w:b/>
          <w:bCs/>
          <w:color w:val="auto"/>
          <w:sz w:val="28"/>
          <w:szCs w:val="28"/>
          <w:highlight w:val="none"/>
        </w:rPr>
      </w:pPr>
    </w:p>
    <w:p>
      <w:pPr>
        <w:pStyle w:val="6"/>
        <w:adjustRightInd w:val="0"/>
        <w:jc w:val="center"/>
        <w:rPr>
          <w:rFonts w:hAnsi="宋体"/>
          <w:b/>
          <w:bCs/>
          <w:color w:val="auto"/>
          <w:sz w:val="28"/>
          <w:szCs w:val="28"/>
          <w:highlight w:val="none"/>
        </w:rPr>
      </w:pPr>
    </w:p>
    <w:p>
      <w:pPr>
        <w:pStyle w:val="6"/>
        <w:adjustRightInd w:val="0"/>
        <w:jc w:val="center"/>
        <w:rPr>
          <w:rFonts w:hint="eastAsia" w:ascii="方正小标宋简体" w:hAnsi="方正小标宋简体" w:eastAsia="方正小标宋简体" w:cs="方正小标宋简体"/>
          <w:b w:val="0"/>
          <w:bCs w:val="0"/>
          <w:color w:val="auto"/>
          <w:sz w:val="52"/>
          <w:szCs w:val="52"/>
          <w:highlight w:val="none"/>
          <w:lang w:eastAsia="zh-CN"/>
        </w:rPr>
      </w:pPr>
      <w:r>
        <w:rPr>
          <w:rFonts w:hint="eastAsia" w:ascii="方正小标宋简体" w:hAnsi="方正小标宋简体" w:eastAsia="方正小标宋简体" w:cs="方正小标宋简体"/>
          <w:b w:val="0"/>
          <w:bCs w:val="0"/>
          <w:color w:val="auto"/>
          <w:sz w:val="52"/>
          <w:szCs w:val="52"/>
          <w:highlight w:val="none"/>
        </w:rPr>
        <w:t>宜昌市</w:t>
      </w:r>
      <w:r>
        <w:rPr>
          <w:rFonts w:hint="eastAsia" w:ascii="方正小标宋简体" w:hAnsi="方正小标宋简体" w:eastAsia="方正小标宋简体" w:cs="方正小标宋简体"/>
          <w:b w:val="0"/>
          <w:bCs w:val="0"/>
          <w:color w:val="auto"/>
          <w:sz w:val="52"/>
          <w:szCs w:val="52"/>
          <w:highlight w:val="none"/>
          <w:lang w:eastAsia="zh-CN"/>
        </w:rPr>
        <w:t>配售型保障性住房</w:t>
      </w:r>
      <w:r>
        <w:rPr>
          <w:rFonts w:hint="eastAsia" w:ascii="方正小标宋简体" w:hAnsi="方正小标宋简体" w:eastAsia="方正小标宋简体" w:cs="方正小标宋简体"/>
          <w:b w:val="0"/>
          <w:bCs w:val="0"/>
          <w:color w:val="auto"/>
          <w:sz w:val="52"/>
          <w:szCs w:val="52"/>
          <w:highlight w:val="none"/>
        </w:rPr>
        <w:t>买卖合同</w:t>
      </w:r>
    </w:p>
    <w:p>
      <w:pPr>
        <w:jc w:val="center"/>
        <w:rPr>
          <w:rFonts w:hAnsi="宋体"/>
          <w:b/>
          <w:color w:val="auto"/>
          <w:highlight w:val="none"/>
        </w:rPr>
      </w:pPr>
      <w:r>
        <w:rPr>
          <w:rFonts w:hint="eastAsia" w:ascii="楷体_GB2312" w:hAnsi="楷体_GB2312" w:eastAsia="楷体_GB2312" w:cs="楷体_GB2312"/>
          <w:color w:val="auto"/>
          <w:sz w:val="52"/>
          <w:szCs w:val="52"/>
          <w:highlight w:val="none"/>
        </w:rPr>
        <w:t>（</w:t>
      </w:r>
      <w:r>
        <w:rPr>
          <w:rFonts w:hint="eastAsia" w:ascii="楷体_GB2312" w:hAnsi="楷体_GB2312" w:eastAsia="楷体_GB2312" w:cs="楷体_GB2312"/>
          <w:color w:val="auto"/>
          <w:sz w:val="52"/>
          <w:szCs w:val="52"/>
          <w:highlight w:val="none"/>
          <w:lang w:eastAsia="zh-CN"/>
        </w:rPr>
        <w:t>范本</w:t>
      </w:r>
      <w:r>
        <w:rPr>
          <w:rFonts w:hint="eastAsia" w:ascii="楷体_GB2312" w:hAnsi="楷体_GB2312" w:eastAsia="楷体_GB2312" w:cs="楷体_GB2312"/>
          <w:color w:val="auto"/>
          <w:sz w:val="52"/>
          <w:szCs w:val="52"/>
          <w:highlight w:val="none"/>
        </w:rPr>
        <w:t>）</w:t>
      </w:r>
    </w:p>
    <w:p>
      <w:pPr>
        <w:pStyle w:val="6"/>
        <w:adjustRightInd w:val="0"/>
        <w:rPr>
          <w:rFonts w:hAnsi="宋体"/>
          <w:color w:val="auto"/>
          <w:highlight w:val="none"/>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rPr>
          <w:rFonts w:hAnsi="宋体"/>
          <w:color w:val="auto"/>
          <w:highlight w:val="none"/>
        </w:rPr>
      </w:pPr>
    </w:p>
    <w:p>
      <w:pPr>
        <w:pStyle w:val="6"/>
        <w:adjustRightInd w:val="0"/>
        <w:jc w:val="center"/>
        <w:rPr>
          <w:rFonts w:hint="eastAsia" w:ascii="楷体_GB2312" w:hAnsi="楷体_GB2312" w:eastAsia="楷体_GB2312" w:cs="楷体_GB2312"/>
          <w:bCs/>
          <w:color w:val="auto"/>
          <w:sz w:val="32"/>
          <w:szCs w:val="32"/>
          <w:highlight w:val="none"/>
          <w:lang w:eastAsia="zh-CN"/>
        </w:rPr>
      </w:pPr>
    </w:p>
    <w:p>
      <w:pPr>
        <w:pStyle w:val="6"/>
        <w:adjustRightInd w:val="0"/>
        <w:rPr>
          <w:rFonts w:hAnsi="宋体"/>
          <w:color w:val="000000"/>
          <w:highlight w:val="none"/>
        </w:rPr>
      </w:pPr>
    </w:p>
    <w:tbl>
      <w:tblPr>
        <w:tblStyle w:val="8"/>
        <w:tblW w:w="0" w:type="auto"/>
        <w:jc w:val="center"/>
        <w:tblLayout w:type="fixed"/>
        <w:tblCellMar>
          <w:top w:w="0" w:type="dxa"/>
          <w:left w:w="108" w:type="dxa"/>
          <w:bottom w:w="0" w:type="dxa"/>
          <w:right w:w="108" w:type="dxa"/>
        </w:tblCellMar>
      </w:tblPr>
      <w:tblGrid>
        <w:gridCol w:w="5280"/>
        <w:gridCol w:w="1050"/>
      </w:tblGrid>
      <w:tr>
        <w:tblPrEx>
          <w:tblCellMar>
            <w:top w:w="0" w:type="dxa"/>
            <w:left w:w="108" w:type="dxa"/>
            <w:bottom w:w="0" w:type="dxa"/>
            <w:right w:w="108" w:type="dxa"/>
          </w:tblCellMar>
        </w:tblPrEx>
        <w:trPr>
          <w:trHeight w:val="567" w:hRule="atLeast"/>
          <w:jc w:val="center"/>
        </w:trPr>
        <w:tc>
          <w:tcPr>
            <w:tcW w:w="5280" w:type="dxa"/>
            <w:noWrap w:val="0"/>
            <w:vAlign w:val="center"/>
          </w:tcPr>
          <w:p>
            <w:pPr>
              <w:pStyle w:val="6"/>
              <w:adjustRightInd w:val="0"/>
              <w:jc w:val="distribute"/>
              <w:rPr>
                <w:rFonts w:hAnsi="宋体" w:eastAsia="楷体_GB2312"/>
                <w:color w:val="000000"/>
                <w:highlight w:val="none"/>
              </w:rPr>
            </w:pPr>
            <w:r>
              <w:rPr>
                <w:rFonts w:hint="eastAsia" w:ascii="楷体_GB2312" w:hAnsi="宋体" w:eastAsia="楷体_GB2312"/>
                <w:color w:val="000000"/>
                <w:sz w:val="36"/>
                <w:szCs w:val="36"/>
                <w:highlight w:val="none"/>
              </w:rPr>
              <w:t>宜昌市住房和</w:t>
            </w:r>
            <w:r>
              <w:rPr>
                <w:rFonts w:hint="eastAsia" w:ascii="楷体_GB2312" w:hAnsi="宋体" w:eastAsia="楷体_GB2312"/>
                <w:color w:val="000000"/>
                <w:sz w:val="36"/>
                <w:szCs w:val="36"/>
                <w:highlight w:val="none"/>
                <w:lang w:eastAsia="zh-CN"/>
              </w:rPr>
              <w:t>城市更新</w:t>
            </w:r>
            <w:r>
              <w:rPr>
                <w:rFonts w:hint="eastAsia" w:ascii="楷体_GB2312" w:hAnsi="宋体" w:eastAsia="楷体_GB2312"/>
                <w:color w:val="000000"/>
                <w:sz w:val="36"/>
                <w:szCs w:val="36"/>
                <w:highlight w:val="none"/>
              </w:rPr>
              <w:t>局</w:t>
            </w:r>
          </w:p>
        </w:tc>
        <w:tc>
          <w:tcPr>
            <w:tcW w:w="1050" w:type="dxa"/>
            <w:vMerge w:val="restart"/>
            <w:noWrap w:val="0"/>
            <w:vAlign w:val="center"/>
          </w:tcPr>
          <w:p>
            <w:pPr>
              <w:pStyle w:val="6"/>
              <w:adjustRightInd w:val="0"/>
              <w:jc w:val="center"/>
              <w:rPr>
                <w:rFonts w:hAnsi="宋体"/>
                <w:color w:val="000000"/>
                <w:highlight w:val="none"/>
              </w:rPr>
            </w:pPr>
            <w:r>
              <w:rPr>
                <w:rFonts w:hint="eastAsia" w:ascii="楷体_GB2312" w:hAnsi="宋体" w:eastAsia="楷体_GB2312"/>
                <w:color w:val="000000"/>
                <w:sz w:val="36"/>
                <w:szCs w:val="36"/>
                <w:highlight w:val="none"/>
              </w:rPr>
              <w:t>监制</w:t>
            </w:r>
          </w:p>
        </w:tc>
      </w:tr>
      <w:tr>
        <w:tblPrEx>
          <w:tblCellMar>
            <w:top w:w="0" w:type="dxa"/>
            <w:left w:w="108" w:type="dxa"/>
            <w:bottom w:w="0" w:type="dxa"/>
            <w:right w:w="108" w:type="dxa"/>
          </w:tblCellMar>
        </w:tblPrEx>
        <w:trPr>
          <w:trHeight w:val="567" w:hRule="atLeast"/>
          <w:jc w:val="center"/>
        </w:trPr>
        <w:tc>
          <w:tcPr>
            <w:tcW w:w="5280" w:type="dxa"/>
            <w:noWrap w:val="0"/>
            <w:vAlign w:val="center"/>
          </w:tcPr>
          <w:p>
            <w:pPr>
              <w:pStyle w:val="6"/>
              <w:adjustRightInd w:val="0"/>
              <w:jc w:val="distribute"/>
              <w:rPr>
                <w:rFonts w:hAnsi="宋体"/>
                <w:color w:val="000000"/>
                <w:highlight w:val="none"/>
              </w:rPr>
            </w:pPr>
          </w:p>
        </w:tc>
        <w:tc>
          <w:tcPr>
            <w:tcW w:w="1050" w:type="dxa"/>
            <w:vMerge w:val="continue"/>
            <w:noWrap w:val="0"/>
            <w:vAlign w:val="center"/>
          </w:tcPr>
          <w:p>
            <w:pPr>
              <w:pStyle w:val="6"/>
              <w:adjustRightInd w:val="0"/>
              <w:jc w:val="center"/>
              <w:rPr>
                <w:rFonts w:hAnsi="宋体"/>
                <w:color w:val="000000"/>
                <w:highlight w:val="none"/>
              </w:rPr>
            </w:pPr>
          </w:p>
        </w:tc>
      </w:tr>
      <w:tr>
        <w:tblPrEx>
          <w:tblCellMar>
            <w:top w:w="0" w:type="dxa"/>
            <w:left w:w="108" w:type="dxa"/>
            <w:bottom w:w="0" w:type="dxa"/>
            <w:right w:w="108" w:type="dxa"/>
          </w:tblCellMar>
        </w:tblPrEx>
        <w:trPr>
          <w:trHeight w:val="567" w:hRule="atLeast"/>
          <w:jc w:val="center"/>
        </w:trPr>
        <w:tc>
          <w:tcPr>
            <w:tcW w:w="5280" w:type="dxa"/>
            <w:noWrap w:val="0"/>
            <w:vAlign w:val="center"/>
          </w:tcPr>
          <w:p>
            <w:pPr>
              <w:pStyle w:val="6"/>
              <w:adjustRightInd w:val="0"/>
              <w:jc w:val="distribute"/>
              <w:rPr>
                <w:rFonts w:hAnsi="宋体"/>
                <w:color w:val="000000"/>
                <w:highlight w:val="none"/>
              </w:rPr>
            </w:pPr>
            <w:r>
              <w:rPr>
                <w:rFonts w:hint="eastAsia" w:ascii="楷体_GB2312" w:hAnsi="宋体" w:eastAsia="楷体_GB2312"/>
                <w:color w:val="000000"/>
                <w:sz w:val="36"/>
                <w:szCs w:val="36"/>
                <w:highlight w:val="none"/>
              </w:rPr>
              <w:t>宜昌市市场监督管理局</w:t>
            </w:r>
          </w:p>
        </w:tc>
        <w:tc>
          <w:tcPr>
            <w:tcW w:w="1050" w:type="dxa"/>
            <w:vMerge w:val="continue"/>
            <w:noWrap w:val="0"/>
            <w:vAlign w:val="center"/>
          </w:tcPr>
          <w:p>
            <w:pPr>
              <w:pStyle w:val="6"/>
              <w:adjustRightInd w:val="0"/>
              <w:jc w:val="center"/>
              <w:rPr>
                <w:rFonts w:hAnsi="宋体"/>
                <w:color w:val="000000"/>
                <w:highlight w:val="none"/>
              </w:rPr>
            </w:pPr>
          </w:p>
        </w:tc>
      </w:tr>
    </w:tbl>
    <w:p>
      <w:pPr>
        <w:pStyle w:val="6"/>
        <w:adjustRightInd w:val="0"/>
        <w:spacing w:line="240" w:lineRule="auto"/>
        <w:jc w:val="center"/>
        <w:rPr>
          <w:rFonts w:hint="eastAsia" w:ascii="黑体" w:hAnsi="宋体" w:eastAsia="黑体"/>
          <w:bCs/>
          <w:color w:val="auto"/>
          <w:sz w:val="44"/>
          <w:szCs w:val="44"/>
          <w:highlight w:val="none"/>
        </w:rPr>
        <w:sectPr>
          <w:footerReference r:id="rId3" w:type="default"/>
          <w:footerReference r:id="rId4" w:type="even"/>
          <w:pgSz w:w="11907" w:h="16840"/>
          <w:pgMar w:top="2098" w:right="1531" w:bottom="1985" w:left="1531" w:header="851" w:footer="1361" w:gutter="0"/>
          <w:pgNumType w:fmt="decimal" w:start="1"/>
          <w:cols w:space="720" w:num="1"/>
          <w:docGrid w:type="lines" w:linePitch="312" w:charSpace="0"/>
        </w:sectPr>
      </w:pPr>
    </w:p>
    <w:p>
      <w:pPr>
        <w:pStyle w:val="6"/>
        <w:keepNext w:val="0"/>
        <w:keepLines w:val="0"/>
        <w:pageBreakBefore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说    明</w:t>
      </w:r>
    </w:p>
    <w:p>
      <w:pPr>
        <w:keepNext w:val="0"/>
        <w:keepLines w:val="0"/>
        <w:pageBreakBefore w:val="0"/>
        <w:widowControl w:val="0"/>
        <w:kinsoku/>
        <w:wordWrap/>
        <w:overflowPunct/>
        <w:topLinePunct w:val="0"/>
        <w:bidi w:val="0"/>
        <w:adjustRightInd w:val="0"/>
        <w:snapToGrid/>
        <w:spacing w:line="500" w:lineRule="exact"/>
        <w:jc w:val="center"/>
        <w:textAlignment w:val="auto"/>
        <w:rPr>
          <w:rFonts w:ascii="宋体" w:hAnsi="宋体" w:eastAsia="宋体" w:cs="Courier New"/>
          <w:b/>
          <w:bCs/>
          <w:color w:val="auto"/>
          <w:kern w:val="2"/>
          <w:sz w:val="48"/>
          <w:szCs w:val="21"/>
          <w:highlight w:val="none"/>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00" w:firstLineChars="200"/>
        <w:textAlignment w:val="auto"/>
        <w:rPr>
          <w:rFonts w:hint="eastAsia" w:ascii="楷体_GB2312" w:hAnsi="宋体" w:eastAsia="楷体_GB2312" w:cs="Courier New"/>
          <w:color w:val="auto"/>
          <w:sz w:val="30"/>
          <w:highlight w:val="none"/>
          <w:lang w:val="en-US" w:eastAsia="zh-CN"/>
        </w:rPr>
      </w:pPr>
      <w:r>
        <w:rPr>
          <w:rFonts w:hint="eastAsia" w:ascii="楷体_GB2312" w:hAnsi="宋体" w:eastAsia="楷体_GB2312" w:cs="Courier New"/>
          <w:color w:val="auto"/>
          <w:sz w:val="30"/>
          <w:highlight w:val="none"/>
          <w:lang w:val="en-US" w:eastAsia="zh-CN"/>
        </w:rPr>
        <w:t>1.合同当事人签订本合同文本后，不得另行签订其他补充协议，若签订其他补充协议，相关补充协议不具备法律效力。</w:t>
      </w:r>
    </w:p>
    <w:p>
      <w:pPr>
        <w:pStyle w:val="6"/>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00" w:firstLineChars="0"/>
        <w:textAlignment w:val="auto"/>
        <w:rPr>
          <w:rFonts w:hint="default" w:ascii="楷体_GB2312" w:hAnsi="宋体" w:eastAsia="楷体_GB2312" w:cs="Courier New"/>
          <w:b w:val="0"/>
          <w:bCs w:val="0"/>
          <w:color w:val="auto"/>
          <w:sz w:val="30"/>
          <w:highlight w:val="none"/>
          <w:lang w:val="en-US" w:eastAsia="zh-CN"/>
        </w:rPr>
      </w:pPr>
      <w:r>
        <w:rPr>
          <w:rFonts w:hint="eastAsia" w:ascii="楷体_GB2312" w:hAnsi="宋体" w:eastAsia="楷体_GB2312" w:cs="Courier New"/>
          <w:b w:val="0"/>
          <w:bCs w:val="0"/>
          <w:color w:val="auto"/>
          <w:sz w:val="30"/>
          <w:highlight w:val="none"/>
          <w:lang w:val="en-US" w:eastAsia="zh-CN"/>
        </w:rPr>
        <w:t>2.配售型保障性住房实施严格的封闭管理，严禁以任何方式变更为商品住房流入市场。若买受人想退出配售型保障性住房，可按照《宜昌市配售型保障性住房管理办法》关于“售后回购和转让”的要求，在符合条件的情况下申请回购或转让。已申请回购和转让的家庭5年内不得再次申请购买配售型保障性住房。已购买配售型保障性住房的家庭，因继承、遗赠、离婚析产等方式取得其他配售型保障性住房的，只能保留一套，其余回购。配售型保障性住房不得用于生产经营。</w:t>
      </w:r>
    </w:p>
    <w:p>
      <w:pPr>
        <w:pStyle w:val="6"/>
        <w:numPr>
          <w:ilvl w:val="0"/>
          <w:numId w:val="0"/>
        </w:numPr>
        <w:spacing w:line="520" w:lineRule="exact"/>
        <w:ind w:firstLine="600" w:firstLineChars="0"/>
        <w:rPr>
          <w:rFonts w:hint="eastAsia" w:ascii="楷体_GB2312" w:hAnsi="宋体" w:eastAsia="楷体_GB2312" w:cs="Courier New"/>
          <w:color w:val="auto"/>
          <w:kern w:val="2"/>
          <w:sz w:val="30"/>
          <w:szCs w:val="21"/>
          <w:highlight w:val="none"/>
          <w:lang w:val="en-US" w:eastAsia="zh-CN" w:bidi="ar-SA"/>
        </w:rPr>
      </w:pPr>
      <w:r>
        <w:rPr>
          <w:rFonts w:hint="eastAsia" w:ascii="楷体_GB2312" w:hAnsi="宋体" w:eastAsia="楷体_GB2312" w:cs="Courier New"/>
          <w:b w:val="0"/>
          <w:bCs w:val="0"/>
          <w:color w:val="auto"/>
          <w:sz w:val="30"/>
          <w:highlight w:val="none"/>
          <w:lang w:val="en-US" w:eastAsia="zh-CN"/>
        </w:rPr>
        <w:t>3.一户家庭职能申请购买一套配售型保障性住房。已承租公共租赁住房、保障性租赁住房的，应如实申报并按规定腾退后申请购买；正在享受公共租赁住房租赁补贴、职工住房货币化补贴的，应在申请停发补贴后购买。被人民法院列入失信被执行人的，不得申请购买。未成年人不得单独申请购买配售型保障性住房。</w:t>
      </w:r>
    </w:p>
    <w:p>
      <w:pPr>
        <w:pStyle w:val="6"/>
        <w:numPr>
          <w:ilvl w:val="0"/>
          <w:numId w:val="0"/>
        </w:numPr>
        <w:spacing w:line="520" w:lineRule="exact"/>
        <w:ind w:firstLine="600" w:firstLineChars="200"/>
        <w:rPr>
          <w:rFonts w:hint="eastAsia" w:ascii="楷体_GB2312" w:hAnsi="宋体" w:eastAsia="楷体_GB2312" w:cs="Courier New"/>
          <w:b w:val="0"/>
          <w:bCs w:val="0"/>
          <w:color w:val="auto"/>
          <w:sz w:val="30"/>
          <w:highlight w:val="none"/>
          <w:lang w:val="en-US" w:eastAsia="zh-CN"/>
        </w:rPr>
      </w:pPr>
      <w:r>
        <w:rPr>
          <w:rFonts w:hint="eastAsia" w:ascii="楷体_GB2312" w:hAnsi="宋体" w:eastAsia="楷体_GB2312" w:cs="Courier New"/>
          <w:b w:val="0"/>
          <w:bCs w:val="0"/>
          <w:color w:val="auto"/>
          <w:sz w:val="30"/>
          <w:highlight w:val="none"/>
          <w:lang w:val="en-US" w:eastAsia="zh-CN"/>
        </w:rPr>
        <w:t>4.配售型保障性住房仅可用于办理购买该套住房的个人按揭贷款和住房公积金贷款抵押，银行业金融机构不得发放其他用途贷款，不得设定其他用途的抵押权。</w:t>
      </w:r>
    </w:p>
    <w:p>
      <w:pPr>
        <w:pStyle w:val="6"/>
        <w:numPr>
          <w:ilvl w:val="0"/>
          <w:numId w:val="0"/>
        </w:numPr>
        <w:spacing w:line="520" w:lineRule="exact"/>
        <w:ind w:firstLine="600" w:firstLineChars="200"/>
        <w:rPr>
          <w:rFonts w:hint="eastAsia" w:ascii="楷体_GB2312" w:hAnsi="宋体" w:eastAsia="楷体_GB2312" w:cs="Courier New"/>
          <w:b w:val="0"/>
          <w:bCs w:val="0"/>
          <w:color w:val="auto"/>
          <w:sz w:val="30"/>
          <w:highlight w:val="none"/>
          <w:lang w:val="en-US" w:eastAsia="zh-CN"/>
        </w:rPr>
      </w:pPr>
      <w:r>
        <w:rPr>
          <w:rFonts w:hint="eastAsia" w:ascii="楷体_GB2312" w:hAnsi="宋体" w:eastAsia="楷体_GB2312"/>
          <w:color w:val="auto"/>
          <w:sz w:val="30"/>
          <w:highlight w:val="none"/>
          <w:lang w:val="en-US" w:eastAsia="zh-CN"/>
        </w:rPr>
        <w:t>5.在签订本合同前，合同当事人已知晓并完全理解《宜昌市配售型保障性住房管理办法》等相关规定的全部内容，愿意履行相应义务和受其约束。</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jc w:val="both"/>
        <w:textAlignment w:val="auto"/>
        <w:rPr>
          <w:rFonts w:ascii="楷体_GB2312" w:hAnsi="宋体" w:eastAsia="楷体_GB2312" w:cs="Courier New"/>
          <w:color w:val="auto"/>
          <w:kern w:val="2"/>
          <w:sz w:val="30"/>
          <w:szCs w:val="21"/>
          <w:highlight w:val="none"/>
          <w:lang w:val="en-US" w:eastAsia="zh-CN" w:bidi="ar-SA"/>
        </w:rPr>
      </w:pPr>
      <w:r>
        <w:rPr>
          <w:rFonts w:hint="eastAsia" w:ascii="楷体_GB2312" w:hAnsi="宋体" w:eastAsia="楷体_GB2312" w:cs="Courier New"/>
          <w:color w:val="auto"/>
          <w:kern w:val="2"/>
          <w:sz w:val="30"/>
          <w:szCs w:val="21"/>
          <w:highlight w:val="none"/>
          <w:lang w:val="en-US" w:eastAsia="zh-CN" w:bidi="ar-SA"/>
        </w:rPr>
        <w:t>6.</w:t>
      </w:r>
      <w:r>
        <w:rPr>
          <w:rFonts w:hint="eastAsia" w:ascii="楷体_GB2312" w:hAnsi="宋体" w:eastAsia="楷体_GB2312"/>
          <w:color w:val="auto"/>
          <w:sz w:val="30"/>
          <w:highlight w:val="none"/>
        </w:rPr>
        <w:t>在签订本合同文本前，</w:t>
      </w:r>
      <w:r>
        <w:rPr>
          <w:rFonts w:hint="eastAsia" w:ascii="楷体_GB2312" w:hAnsi="宋体" w:eastAsia="楷体_GB2312"/>
          <w:color w:val="auto"/>
          <w:sz w:val="30"/>
          <w:highlight w:val="none"/>
          <w:lang w:eastAsia="zh-CN"/>
        </w:rPr>
        <w:t>出卖人</w:t>
      </w:r>
      <w:r>
        <w:rPr>
          <w:rFonts w:hint="eastAsia" w:ascii="楷体_GB2312" w:hAnsi="宋体" w:eastAsia="楷体_GB2312"/>
          <w:color w:val="auto"/>
          <w:sz w:val="30"/>
          <w:highlight w:val="none"/>
        </w:rPr>
        <w:t>已通过政府相关网站、微信公众号、销售现场对配售型保障性住房的相关政策以及该项目相关信息进行公示和说明；</w:t>
      </w:r>
      <w:r>
        <w:rPr>
          <w:rFonts w:hint="eastAsia" w:ascii="楷体_GB2312" w:hAnsi="宋体" w:eastAsia="楷体_GB2312"/>
          <w:color w:val="auto"/>
          <w:sz w:val="30"/>
          <w:highlight w:val="none"/>
          <w:lang w:eastAsia="zh-CN"/>
        </w:rPr>
        <w:t>买受人</w:t>
      </w:r>
      <w:r>
        <w:rPr>
          <w:rFonts w:hint="eastAsia" w:ascii="楷体_GB2312" w:hAnsi="宋体" w:eastAsia="楷体_GB2312"/>
          <w:color w:val="auto"/>
          <w:sz w:val="30"/>
          <w:highlight w:val="none"/>
        </w:rPr>
        <w:t>已通过政府相关网站、微信公众号、销售现场等查询了解该配售型保障性住房项目及其周边环境、不利因素、相关配套的现状、规划许可等相关情况信息。合同当事人应当仔细阅读合同条款及附件，</w:t>
      </w:r>
      <w:r>
        <w:rPr>
          <w:rFonts w:hint="eastAsia" w:ascii="楷体_GB2312" w:hAnsi="宋体" w:eastAsia="楷体_GB2312" w:cs="Courier New"/>
          <w:color w:val="auto"/>
          <w:kern w:val="2"/>
          <w:sz w:val="30"/>
          <w:szCs w:val="21"/>
          <w:highlight w:val="none"/>
          <w:lang w:val="en-US" w:eastAsia="zh-CN" w:bidi="ar-SA"/>
        </w:rPr>
        <w:t>出卖人应当就合同重大事项对买受人尽到提示义务。买受人应当审慎签订合同，在签订本合同前，要仔细阅读合同条款，特别是审阅其中具有选择性、补充性内容，注意防范潜在的交易风险。</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jc w:val="both"/>
        <w:textAlignment w:val="auto"/>
        <w:rPr>
          <w:rFonts w:ascii="楷体_GB2312" w:hAnsi="宋体" w:eastAsia="楷体_GB2312" w:cs="Courier New"/>
          <w:color w:val="auto"/>
          <w:kern w:val="2"/>
          <w:sz w:val="30"/>
          <w:szCs w:val="21"/>
          <w:highlight w:val="none"/>
          <w:lang w:val="en-US" w:eastAsia="zh-CN" w:bidi="ar-SA"/>
        </w:rPr>
      </w:pPr>
      <w:r>
        <w:rPr>
          <w:rFonts w:hint="eastAsia" w:ascii="楷体_GB2312" w:hAnsi="宋体" w:eastAsia="楷体_GB2312" w:cs="Courier New"/>
          <w:color w:val="auto"/>
          <w:kern w:val="2"/>
          <w:sz w:val="30"/>
          <w:szCs w:val="21"/>
          <w:highlight w:val="none"/>
          <w:lang w:val="en-US" w:eastAsia="zh-CN" w:bidi="ar-SA"/>
        </w:rPr>
        <w:t>7.对合同文本【 】中选择的内容、空格部位的填写内容及其他需要删除或添加的内容，双方当事人应当协商确定；</w:t>
      </w:r>
      <w:r>
        <w:rPr>
          <w:rFonts w:hint="eastAsia" w:ascii="楷体_GB2312" w:hAnsi="宋体" w:eastAsia="楷体_GB2312" w:cs="Courier New"/>
          <w:b/>
          <w:bCs/>
          <w:color w:val="auto"/>
          <w:kern w:val="2"/>
          <w:sz w:val="30"/>
          <w:szCs w:val="21"/>
          <w:highlight w:val="none"/>
          <w:lang w:val="en-US" w:eastAsia="zh-CN" w:bidi="ar-SA"/>
        </w:rPr>
        <w:t>带*的为必填项，须填写具体内容。</w:t>
      </w:r>
      <w:r>
        <w:rPr>
          <w:rFonts w:hint="eastAsia" w:ascii="楷体_GB2312" w:hAnsi="宋体" w:eastAsia="楷体_GB2312" w:cs="Courier New"/>
          <w:color w:val="auto"/>
          <w:kern w:val="2"/>
          <w:sz w:val="30"/>
          <w:szCs w:val="21"/>
          <w:highlight w:val="none"/>
          <w:lang w:val="en-US" w:eastAsia="zh-CN" w:bidi="ar-SA"/>
        </w:rPr>
        <w:t>【 】中选择的内容，以划√方式选定；对于实际情况未发生或双方当事人不作约定时，应在空格部位打×，以示删除</w:t>
      </w:r>
      <w:r>
        <w:rPr>
          <w:rFonts w:hint="eastAsia" w:ascii="楷体_GB2312" w:hAnsi="宋体" w:eastAsia="楷体_GB2312" w:cs="Courier New"/>
          <w:b w:val="0"/>
          <w:bCs w:val="0"/>
          <w:color w:val="auto"/>
          <w:kern w:val="2"/>
          <w:sz w:val="30"/>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before="0" w:line="520" w:lineRule="exact"/>
        <w:ind w:left="0" w:firstLine="600" w:firstLineChars="200"/>
        <w:jc w:val="both"/>
        <w:textAlignment w:val="auto"/>
        <w:rPr>
          <w:rFonts w:hint="eastAsia" w:ascii="楷体_GB2312" w:hAnsi="宋体" w:eastAsia="楷体_GB2312" w:cs="Courier New"/>
          <w:color w:val="auto"/>
          <w:kern w:val="2"/>
          <w:sz w:val="30"/>
          <w:szCs w:val="21"/>
          <w:highlight w:val="none"/>
          <w:lang w:val="en-US" w:eastAsia="zh-CN" w:bidi="ar-SA"/>
        </w:rPr>
      </w:pPr>
      <w:r>
        <w:rPr>
          <w:rFonts w:hint="eastAsia" w:ascii="楷体_GB2312" w:hAnsi="宋体" w:eastAsia="楷体_GB2312" w:cs="Courier New"/>
          <w:color w:val="auto"/>
          <w:kern w:val="2"/>
          <w:sz w:val="30"/>
          <w:szCs w:val="21"/>
          <w:highlight w:val="none"/>
          <w:lang w:val="en-US" w:eastAsia="zh-CN" w:bidi="ar-SA"/>
        </w:rPr>
        <w:t>8.出卖人所作的销售广告和宣传资料的内容符合要约条件的，视为本合同的组成部分，但在本合同中已作另外约定的则以本合同约定为准。</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jc w:val="both"/>
        <w:textAlignment w:val="auto"/>
        <w:rPr>
          <w:rFonts w:ascii="楷体_GB2312" w:hAnsi="宋体" w:eastAsia="楷体_GB2312" w:cs="Courier New"/>
          <w:color w:val="auto"/>
          <w:kern w:val="2"/>
          <w:sz w:val="30"/>
          <w:szCs w:val="21"/>
          <w:highlight w:val="none"/>
          <w:lang w:val="en-US" w:eastAsia="zh-CN" w:bidi="ar-SA"/>
        </w:rPr>
      </w:pPr>
      <w:r>
        <w:rPr>
          <w:rFonts w:hint="eastAsia" w:ascii="楷体_GB2312" w:hAnsi="宋体" w:eastAsia="楷体_GB2312" w:cs="Courier New"/>
          <w:color w:val="auto"/>
          <w:kern w:val="2"/>
          <w:sz w:val="30"/>
          <w:szCs w:val="21"/>
          <w:highlight w:val="none"/>
          <w:lang w:val="en-US" w:eastAsia="zh-CN" w:bidi="ar-SA"/>
        </w:rPr>
        <w:t>9.双方当事人可以根据实际情况决定本合同原件的份数，并在签订合同时认真核对，以确保各份合同内容一致；在任何情况下，出卖人和买受人都应当至少持有一份合同原件。</w:t>
      </w:r>
    </w:p>
    <w:p>
      <w:pPr>
        <w:keepNext w:val="0"/>
        <w:keepLines w:val="0"/>
        <w:pageBreakBefore w:val="0"/>
        <w:widowControl w:val="0"/>
        <w:kinsoku/>
        <w:wordWrap/>
        <w:overflowPunct/>
        <w:topLinePunct w:val="0"/>
        <w:autoSpaceDE/>
        <w:autoSpaceDN/>
        <w:bidi w:val="0"/>
        <w:adjustRightInd w:val="0"/>
        <w:snapToGrid/>
        <w:spacing w:line="520" w:lineRule="exact"/>
        <w:ind w:firstLine="600" w:firstLineChars="200"/>
        <w:textAlignment w:val="auto"/>
        <w:rPr>
          <w:rFonts w:hint="eastAsia" w:ascii="楷体_GB2312" w:hAnsi="宋体" w:eastAsia="楷体_GB2312"/>
          <w:color w:val="auto"/>
          <w:sz w:val="30"/>
          <w:highlight w:val="none"/>
        </w:rPr>
        <w:sectPr>
          <w:footerReference r:id="rId5" w:type="default"/>
          <w:pgSz w:w="11907" w:h="16840"/>
          <w:pgMar w:top="2098" w:right="1531" w:bottom="1984" w:left="1531" w:header="851" w:footer="1361" w:gutter="0"/>
          <w:pgNumType w:fmt="decimal"/>
          <w:cols w:space="720" w:num="1"/>
          <w:rtlGutter w:val="0"/>
          <w:docGrid w:type="lines" w:linePitch="312" w:charSpace="0"/>
        </w:sectPr>
      </w:pPr>
      <w:r>
        <w:rPr>
          <w:rFonts w:hint="eastAsia" w:ascii="楷体_GB2312" w:hAnsi="宋体" w:eastAsia="楷体_GB2312" w:cs="Courier New"/>
          <w:color w:val="auto"/>
          <w:kern w:val="2"/>
          <w:sz w:val="30"/>
          <w:szCs w:val="21"/>
          <w:highlight w:val="none"/>
          <w:lang w:val="en-US" w:eastAsia="zh-CN" w:bidi="ar-SA"/>
        </w:rPr>
        <w:t>10.本合同条款由宜昌市住房和城市更新局、宜昌市市场监督管理局负责解释。</w:t>
      </w:r>
    </w:p>
    <w:p>
      <w:pPr>
        <w:keepNext w:val="0"/>
        <w:keepLines w:val="0"/>
        <w:pageBreakBefore w:val="0"/>
        <w:widowControl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jc w:val="center"/>
        <w:textAlignment w:val="auto"/>
        <w:rPr>
          <w:rFonts w:hint="eastAsia" w:ascii="方正小标宋简体" w:hAnsi="方正小标宋简体" w:eastAsia="方正小标宋简体" w:cs="方正小标宋简体"/>
          <w:bCs/>
          <w:color w:val="auto"/>
          <w:kern w:val="2"/>
          <w:sz w:val="44"/>
          <w:szCs w:val="44"/>
          <w:highlight w:val="none"/>
          <w:lang w:val="en-US" w:eastAsia="zh-CN" w:bidi="ar-SA"/>
        </w:rPr>
      </w:pPr>
      <w:r>
        <w:rPr>
          <w:rFonts w:hint="eastAsia" w:ascii="方正小标宋简体" w:hAnsi="方正小标宋简体" w:eastAsia="方正小标宋简体" w:cs="方正小标宋简体"/>
          <w:bCs/>
          <w:color w:val="auto"/>
          <w:kern w:val="2"/>
          <w:sz w:val="44"/>
          <w:szCs w:val="44"/>
          <w:highlight w:val="none"/>
          <w:lang w:val="en-US" w:eastAsia="zh-CN" w:bidi="ar-SA"/>
        </w:rPr>
        <w:t>宜昌市配售型保障性住房买卖合同</w:t>
      </w:r>
    </w:p>
    <w:p>
      <w:pPr>
        <w:keepNext w:val="0"/>
        <w:keepLines w:val="0"/>
        <w:pageBreakBefore w:val="0"/>
        <w:widowControl w:val="0"/>
        <w:kinsoku/>
        <w:wordWrap/>
        <w:overflowPunct/>
        <w:topLinePunct w:val="0"/>
        <w:bidi w:val="0"/>
        <w:adjustRightInd w:val="0"/>
        <w:snapToGrid/>
        <w:spacing w:line="500" w:lineRule="exact"/>
        <w:jc w:val="center"/>
        <w:textAlignment w:val="auto"/>
        <w:rPr>
          <w:rFonts w:ascii="宋体" w:hAnsi="宋体" w:eastAsia="宋体" w:cs="Courier New"/>
          <w:b/>
          <w:bCs/>
          <w:color w:val="auto"/>
          <w:kern w:val="2"/>
          <w:sz w:val="30"/>
          <w:szCs w:val="30"/>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ind w:firstLine="537" w:firstLineChars="192"/>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出卖人向买受人出售其开发建设的配售型保障性住房，双方当事人遵循自愿、平等、公平及诚实信用的原则，根据《中华人民共和国民法典》《宜昌市配售型保障性住房管理办法》等法律法规的规定，就相关内容协商达成一致意见，签订本配售型保障性住房买卖合同。</w:t>
      </w:r>
    </w:p>
    <w:p>
      <w:pPr>
        <w:keepNext w:val="0"/>
        <w:keepLines w:val="0"/>
        <w:pageBreakBefore w:val="0"/>
        <w:widowControl w:val="0"/>
        <w:kinsoku/>
        <w:wordWrap/>
        <w:overflowPunct/>
        <w:topLinePunct w:val="0"/>
        <w:bidi w:val="0"/>
        <w:adjustRightInd w:val="0"/>
        <w:snapToGrid/>
        <w:spacing w:line="500" w:lineRule="exact"/>
        <w:jc w:val="center"/>
        <w:textAlignment w:val="auto"/>
        <w:rPr>
          <w:rFonts w:ascii="黑体" w:hAnsi="黑体" w:eastAsia="黑体" w:cs="Courier New"/>
          <w:b/>
          <w:bCs/>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b w:val="0"/>
          <w:bCs/>
          <w:color w:val="auto"/>
          <w:kern w:val="2"/>
          <w:sz w:val="28"/>
          <w:szCs w:val="28"/>
          <w:highlight w:val="none"/>
          <w:lang w:val="en-US" w:eastAsia="zh-CN" w:bidi="ar-SA"/>
        </w:rPr>
      </w:pPr>
      <w:r>
        <w:rPr>
          <w:rFonts w:hint="eastAsia" w:ascii="黑体" w:hAnsi="宋体" w:eastAsia="黑体" w:cs="Times New Roman"/>
          <w:b w:val="0"/>
          <w:bCs/>
          <w:color w:val="auto"/>
          <w:kern w:val="2"/>
          <w:sz w:val="28"/>
          <w:szCs w:val="28"/>
          <w:highlight w:val="none"/>
          <w:lang w:val="en-US" w:eastAsia="zh-CN" w:bidi="ar-SA"/>
        </w:rPr>
        <w:t>第一章</w:t>
      </w:r>
      <w:r>
        <w:rPr>
          <w:rFonts w:ascii="黑体" w:hAnsi="宋体" w:eastAsia="黑体" w:cs="Times New Roman"/>
          <w:b w:val="0"/>
          <w:bCs/>
          <w:color w:val="auto"/>
          <w:kern w:val="2"/>
          <w:sz w:val="28"/>
          <w:szCs w:val="28"/>
          <w:highlight w:val="none"/>
          <w:lang w:val="en-US" w:eastAsia="zh-CN" w:bidi="ar-SA"/>
        </w:rPr>
        <w:t xml:space="preserve"> </w:t>
      </w:r>
      <w:r>
        <w:rPr>
          <w:rFonts w:hint="eastAsia" w:ascii="黑体" w:hAnsi="宋体" w:eastAsia="黑体" w:cs="Times New Roman"/>
          <w:b w:val="0"/>
          <w:bCs/>
          <w:color w:val="auto"/>
          <w:kern w:val="2"/>
          <w:sz w:val="28"/>
          <w:szCs w:val="28"/>
          <w:highlight w:val="none"/>
          <w:lang w:val="en-US" w:eastAsia="zh-CN" w:bidi="ar-SA"/>
        </w:rPr>
        <w:t xml:space="preserve">  合同当事人</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出 卖 人</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通讯</w:t>
      </w:r>
      <w:r>
        <w:rPr>
          <w:rFonts w:hint="eastAsia" w:ascii="宋体" w:hAnsi="宋体" w:eastAsia="宋体" w:cs="宋体"/>
          <w:color w:val="auto"/>
          <w:kern w:val="2"/>
          <w:sz w:val="28"/>
          <w:szCs w:val="28"/>
          <w:highlight w:val="none"/>
          <w:lang w:val="en-US" w:eastAsia="zh-CN" w:bidi="ar-SA"/>
        </w:rPr>
        <w:t>地址：</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营业执照注册号：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资质证书号：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委托代理人：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 xml:space="preserve"> 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u w:val="single"/>
          <w:lang w:val="en-US" w:eastAsia="zh-CN" w:bidi="ar-SA"/>
        </w:rPr>
      </w:pPr>
      <w:r>
        <w:rPr>
          <w:rFonts w:hint="eastAsia" w:ascii="宋体" w:hAnsi="宋体" w:eastAsia="宋体" w:cs="宋体"/>
          <w:bCs/>
          <w:color w:val="auto"/>
          <w:kern w:val="2"/>
          <w:sz w:val="28"/>
          <w:szCs w:val="28"/>
          <w:highlight w:val="none"/>
          <w:lang w:val="en-US" w:eastAsia="zh-CN" w:bidi="ar-SA"/>
        </w:rPr>
        <w:t>委托销售经纪机构：</w:t>
      </w: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通讯</w:t>
      </w:r>
      <w:r>
        <w:rPr>
          <w:rFonts w:hint="eastAsia" w:ascii="宋体" w:hAnsi="宋体" w:eastAsia="宋体" w:cs="宋体"/>
          <w:color w:val="auto"/>
          <w:kern w:val="2"/>
          <w:sz w:val="28"/>
          <w:szCs w:val="28"/>
          <w:highlight w:val="none"/>
          <w:lang w:val="en-US" w:eastAsia="zh-CN" w:bidi="ar-SA"/>
        </w:rPr>
        <w:t>地址：</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营业执照注册号：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经纪机构备案证明号：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法定代表人：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bCs/>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Cs/>
          <w:color w:val="auto"/>
          <w:kern w:val="2"/>
          <w:sz w:val="28"/>
          <w:szCs w:val="28"/>
          <w:highlight w:val="none"/>
          <w:lang w:val="en-US" w:eastAsia="zh-CN" w:bidi="ar-SA"/>
        </w:rPr>
        <w:t>买受人1：</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【国籍】【户籍所在地】：</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left="559" w:leftChars="266"/>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身份证号：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通讯地址：</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【委托代理人】：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【国籍】【户籍所在地】：</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身份证号：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通讯地址：</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买受人2：</w:t>
      </w:r>
      <w:r>
        <w:rPr>
          <w:rFonts w:hint="eastAsia" w:hAnsi="宋体" w:eastAsia="宋体" w:cs="宋体"/>
          <w:color w:val="auto"/>
          <w:sz w:val="28"/>
          <w:szCs w:val="28"/>
          <w:highlight w:val="none"/>
          <w:u w:val="single"/>
          <w:lang w:val="en-US" w:eastAsia="zh-CN"/>
        </w:rPr>
        <w:t>*</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【国籍】【户籍所在地】：</w:t>
      </w:r>
      <w:r>
        <w:rPr>
          <w:rFonts w:hint="eastAsia" w:hAnsi="宋体" w:eastAsia="宋体" w:cs="宋体"/>
          <w:color w:val="auto"/>
          <w:sz w:val="28"/>
          <w:szCs w:val="28"/>
          <w:highlight w:val="none"/>
          <w:u w:val="single"/>
          <w:lang w:val="en-US" w:eastAsia="zh-CN"/>
        </w:rPr>
        <w:t>*</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left="559" w:leftChars="266"/>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身份证号：</w:t>
      </w:r>
      <w:r>
        <w:rPr>
          <w:rFonts w:hint="eastAsia" w:hAnsi="宋体" w:eastAsia="宋体" w:cs="宋体"/>
          <w:color w:val="auto"/>
          <w:sz w:val="28"/>
          <w:szCs w:val="28"/>
          <w:highlight w:val="none"/>
          <w:u w:val="single"/>
          <w:lang w:val="en-US" w:eastAsia="zh-CN"/>
        </w:rPr>
        <w:t>*</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通讯地址：</w:t>
      </w:r>
      <w:r>
        <w:rPr>
          <w:rFonts w:hint="eastAsia" w:hAnsi="宋体" w:eastAsia="宋体" w:cs="宋体"/>
          <w:color w:val="auto"/>
          <w:sz w:val="28"/>
          <w:szCs w:val="28"/>
          <w:highlight w:val="none"/>
          <w:u w:val="single"/>
          <w:lang w:val="en-US" w:eastAsia="zh-CN"/>
        </w:rPr>
        <w:t>*</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，联系电话：</w:t>
      </w:r>
      <w:r>
        <w:rPr>
          <w:rFonts w:hint="eastAsia" w:hAnsi="宋体" w:eastAsia="宋体" w:cs="宋体"/>
          <w:color w:val="auto"/>
          <w:sz w:val="28"/>
          <w:szCs w:val="28"/>
          <w:highlight w:val="none"/>
          <w:u w:val="single"/>
          <w:lang w:val="en-US" w:eastAsia="zh-CN"/>
        </w:rPr>
        <w:t>*</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【委托代理人】：</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【国籍】【户籍所在地】：</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身份证号：</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通讯地址：</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邮政编码：</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，联系电话：</w:t>
      </w:r>
      <w:r>
        <w:rPr>
          <w:rFonts w:hint="eastAsia" w:ascii="宋体"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line="48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（买受人为多人时，可相应增加）</w:t>
      </w:r>
    </w:p>
    <w:p>
      <w:pPr>
        <w:keepNext w:val="0"/>
        <w:keepLines w:val="0"/>
        <w:pageBreakBefore w:val="0"/>
        <w:widowControl w:val="0"/>
        <w:kinsoku/>
        <w:wordWrap/>
        <w:overflowPunct/>
        <w:topLinePunct w:val="0"/>
        <w:bidi w:val="0"/>
        <w:adjustRightInd w:val="0"/>
        <w:snapToGrid/>
        <w:spacing w:line="500" w:lineRule="exact"/>
        <w:ind w:firstLine="0" w:firstLineChars="0"/>
        <w:jc w:val="both"/>
        <w:textAlignment w:val="auto"/>
        <w:rPr>
          <w:rFonts w:hint="eastAsia" w:ascii="宋体" w:hAnsi="宋体" w:eastAsia="宋体" w:cs="宋体"/>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b w:val="0"/>
          <w:bCs/>
          <w:color w:val="auto"/>
          <w:kern w:val="2"/>
          <w:sz w:val="28"/>
          <w:szCs w:val="28"/>
          <w:highlight w:val="none"/>
          <w:lang w:val="en-US" w:eastAsia="zh-CN" w:bidi="ar-SA"/>
        </w:rPr>
      </w:pPr>
      <w:r>
        <w:rPr>
          <w:rFonts w:hint="eastAsia" w:ascii="黑体" w:hAnsi="宋体" w:eastAsia="黑体" w:cs="Times New Roman"/>
          <w:b w:val="0"/>
          <w:bCs/>
          <w:color w:val="auto"/>
          <w:kern w:val="2"/>
          <w:sz w:val="28"/>
          <w:szCs w:val="28"/>
          <w:highlight w:val="none"/>
          <w:lang w:val="en-US" w:eastAsia="zh-CN" w:bidi="ar-SA"/>
        </w:rPr>
        <w:t>第二章   配售型保障性住房基本状况</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第一条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项目建设依据</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出卖人以</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方式取得坐落于</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地块的建设用地使用权。该地块</w:t>
      </w:r>
      <w:r>
        <w:rPr>
          <w:rFonts w:hint="eastAsia" w:ascii="宋体" w:hAnsi="宋体" w:eastAsia="小标宋" w:cs="Times New Roman"/>
          <w:color w:val="auto"/>
          <w:kern w:val="2"/>
          <w:sz w:val="28"/>
          <w:szCs w:val="28"/>
          <w:highlight w:val="none"/>
          <w:lang w:val="en-US" w:eastAsia="zh-CN" w:bidi="ar-SA"/>
        </w:rPr>
        <w:t>【国有土地使用证号】/【不动产权证书号】</w:t>
      </w:r>
      <w:r>
        <w:rPr>
          <w:rFonts w:hint="eastAsia" w:ascii="宋体" w:hAnsi="宋体" w:eastAsia="宋体" w:cs="Times New Roman"/>
          <w:color w:val="auto"/>
          <w:kern w:val="2"/>
          <w:sz w:val="28"/>
          <w:szCs w:val="28"/>
          <w:highlight w:val="none"/>
          <w:lang w:val="en-US" w:eastAsia="zh-CN" w:bidi="ar-SA"/>
        </w:rPr>
        <w:t>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，土地使用权面积为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平方米，土地用途为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，土地使用权年限自</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至</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止。</w:t>
      </w:r>
    </w:p>
    <w:p>
      <w:pPr>
        <w:keepNext w:val="0"/>
        <w:keepLines w:val="0"/>
        <w:pageBreakBefore w:val="0"/>
        <w:widowControl w:val="0"/>
        <w:kinsoku/>
        <w:wordWrap/>
        <w:overflowPunct/>
        <w:topLinePunct w:val="0"/>
        <w:bidi w:val="0"/>
        <w:adjustRightInd w:val="0"/>
        <w:snapToGrid/>
        <w:spacing w:before="0" w:line="500" w:lineRule="exact"/>
        <w:ind w:left="210" w:leftChars="100" w:firstLine="280" w:firstLineChars="1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2.出卖人经批准，在上述地块上建设的配售型保障性住房（以下简称该住房）核准名称为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，建设工程规划许可证编号为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，建筑工程施工许可证编号为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销售依据</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该</w:t>
      </w:r>
      <w:bookmarkStart w:id="0" w:name="OLE_LINK4"/>
      <w:r>
        <w:rPr>
          <w:rFonts w:hint="eastAsia" w:ascii="宋体" w:hAnsi="宋体" w:eastAsia="宋体" w:cs="Times New Roman"/>
          <w:color w:val="auto"/>
          <w:kern w:val="2"/>
          <w:sz w:val="28"/>
          <w:szCs w:val="28"/>
          <w:highlight w:val="none"/>
          <w:lang w:val="en-US" w:eastAsia="zh-CN" w:bidi="ar-SA"/>
        </w:rPr>
        <w:t>住房已取得房地产行政主管部门核发的现售备案证明，现售备案证号为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bookmarkEnd w:id="0"/>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第三条  基本情况 </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hint="eastAsia" w:ascii="Times New Roman" w:hAnsi="Times New Roman" w:eastAsia="小标宋"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1.该住房为现房，位于</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【幢】</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单元</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层</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号房，不动产单元号</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none"/>
          <w:lang w:val="en-US" w:eastAsia="zh-CN" w:bidi="ar-SA"/>
        </w:rPr>
        <w:t xml:space="preserve"> </w:t>
      </w:r>
      <w:r>
        <w:rPr>
          <w:rFonts w:hint="eastAsia" w:ascii="宋体" w:hAnsi="宋体" w:eastAsia="宋体" w:cs="Times New Roman"/>
          <w:color w:val="auto"/>
          <w:kern w:val="2"/>
          <w:sz w:val="28"/>
          <w:szCs w:val="28"/>
          <w:highlight w:val="none"/>
          <w:u w:val="none"/>
          <w:lang w:val="en-US" w:eastAsia="zh-CN" w:bidi="ar-SA"/>
        </w:rPr>
        <w:t>，门牌号码为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non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lang w:val="en-US" w:eastAsia="zh-CN" w:bidi="ar-SA"/>
        </w:rPr>
        <w:t>该住房的具体位置及平面图见附件一</w:t>
      </w:r>
      <w:r>
        <w:rPr>
          <w:rFonts w:hint="eastAsia" w:ascii="Times New Roman" w:hAnsi="Times New Roman" w:eastAsia="小标宋"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2.该住房的规划用途为配售型保障性住房。</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3.该住房所在建筑物的主体结构为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，建筑总层数为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层，其中地上</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层，地下</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层。</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4.该住房合同约定建筑面积</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平方米，其中：套内建筑面积</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平方米，分摊共有建筑面积</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平方米。该住房共用部位见附件三。</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5.该住房【层高】【净高】不小于</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米，有</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个阳台，其中</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个阳台为封闭式，</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个阳台为非封闭式（见附件一）。阳台是否封闭以规划设计文件为准。</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6.该住房为【全装修】【毛坯】。</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7.其他：</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第四条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抵押情况</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与该住房有关的抵押情况为</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1.该住房未设定土地抵押及在建工程抵押；</w:t>
      </w:r>
      <w:r>
        <w:rPr>
          <w:rFonts w:ascii="宋体" w:hAnsi="宋体" w:eastAsia="宋体" w:cs="Times New Roman"/>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2.该住房建设用地使用权已设定抵押，抵押权人：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，抵押登记机构：</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，抵押登记日期：</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，债务履行期限：</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3.该住房在建工程已经设定抵押，抵押权人为：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，抵押登记机构：</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，抵押登记日期：</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，债务履行期限：</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抵押权人同意该住房现售的证明及关于抵押的相关约定见附件四。</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第五条  住房权利状况承诺</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w:t>
      </w:r>
      <w:r>
        <w:rPr>
          <w:rFonts w:ascii="宋体" w:hAnsi="宋体" w:eastAsia="宋体" w:cs="Times New Roman"/>
          <w:color w:val="auto"/>
          <w:kern w:val="2"/>
          <w:sz w:val="28"/>
          <w:szCs w:val="28"/>
          <w:highlight w:val="none"/>
          <w:lang w:val="en-US" w:eastAsia="zh-CN" w:bidi="ar-SA"/>
        </w:rPr>
        <w:t>出卖人对该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享有合法权利；</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w:t>
      </w:r>
      <w:r>
        <w:rPr>
          <w:rFonts w:ascii="宋体" w:hAnsi="宋体" w:eastAsia="宋体" w:cs="Times New Roman"/>
          <w:color w:val="auto"/>
          <w:kern w:val="2"/>
          <w:sz w:val="28"/>
          <w:szCs w:val="28"/>
          <w:highlight w:val="none"/>
          <w:lang w:val="en-US" w:eastAsia="zh-CN" w:bidi="ar-SA"/>
        </w:rPr>
        <w:t>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没有出售给除本合同买受人以外的其他人；</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w:t>
      </w:r>
      <w:r>
        <w:rPr>
          <w:rFonts w:ascii="宋体" w:hAnsi="宋体" w:eastAsia="宋体" w:cs="Times New Roman"/>
          <w:color w:val="auto"/>
          <w:kern w:val="2"/>
          <w:sz w:val="28"/>
          <w:szCs w:val="28"/>
          <w:highlight w:val="none"/>
          <w:lang w:val="en-US" w:eastAsia="zh-CN" w:bidi="ar-SA"/>
        </w:rPr>
        <w:t>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没有司法查封或其他限制转让的情况；</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Microsoft JhengHei"/>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w:t>
      </w:r>
      <w:r>
        <w:rPr>
          <w:rFonts w:ascii="宋体" w:hAnsi="宋体" w:eastAsia="宋体" w:cs="Arial"/>
          <w:color w:val="auto"/>
          <w:kern w:val="2"/>
          <w:sz w:val="28"/>
          <w:szCs w:val="28"/>
          <w:highlight w:val="none"/>
          <w:u w:val="single"/>
          <w:lang w:val="en-US" w:eastAsia="zh-CN" w:bidi="ar-SA"/>
        </w:rPr>
        <w:t xml:space="preserve">     </w:t>
      </w:r>
      <w:r>
        <w:rPr>
          <w:rFonts w:ascii="宋体" w:hAnsi="宋体" w:eastAsia="宋体" w:cs="Microsoft JhengHei"/>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Microsoft JhengHei"/>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如该住房权利状况与上述情况不符，导致不能完成房屋所有权转移登记的，买受人有权解除合同。买受人解除合同的，应当书面通知出卖人。出卖人应当自解除合同通知送达之日起30日内退还买受人已付全部房款（含已付贷款部分），并自买受人付款之日起，按</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（不低于中国人民银行授权全国银行间同业拆借中心公布的一年期贷款市场报价利率（LPR））计算给付利息。给买受人造成损失的，由出卖人支付【已付房价款一倍】【买受人全部损失】的赔偿金。</w:t>
      </w: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hint="eastAsia" w:ascii="黑体" w:hAnsi="宋体" w:eastAsia="黑体" w:cs="Times New Roman"/>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b w:val="0"/>
          <w:bCs/>
          <w:color w:val="auto"/>
          <w:kern w:val="2"/>
          <w:sz w:val="28"/>
          <w:szCs w:val="28"/>
          <w:highlight w:val="none"/>
          <w:lang w:val="en-US" w:eastAsia="zh-CN" w:bidi="ar-SA"/>
        </w:rPr>
      </w:pPr>
      <w:r>
        <w:rPr>
          <w:rFonts w:hint="eastAsia" w:ascii="黑体" w:hAnsi="宋体" w:eastAsia="黑体" w:cs="Times New Roman"/>
          <w:b w:val="0"/>
          <w:bCs/>
          <w:color w:val="auto"/>
          <w:kern w:val="2"/>
          <w:sz w:val="28"/>
          <w:szCs w:val="28"/>
          <w:highlight w:val="none"/>
          <w:lang w:val="en-US" w:eastAsia="zh-CN" w:bidi="ar-SA"/>
        </w:rPr>
        <w:t>第三章    配售价款</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第六条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计价方式与价款</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textAlignment w:val="auto"/>
        <w:rPr>
          <w:rFonts w:ascii="宋体" w:hAnsi="宋体" w:cs="SimSun-Identity-H"/>
          <w:color w:val="auto"/>
          <w:kern w:val="0"/>
          <w:sz w:val="28"/>
          <w:szCs w:val="28"/>
          <w:highlight w:val="none"/>
        </w:rPr>
      </w:pPr>
      <w:r>
        <w:rPr>
          <w:rFonts w:hint="eastAsia" w:ascii="宋体" w:hAnsi="宋体" w:cs="SimSun-Identity-H"/>
          <w:color w:val="auto"/>
          <w:kern w:val="0"/>
          <w:sz w:val="28"/>
          <w:szCs w:val="28"/>
          <w:highlight w:val="none"/>
        </w:rPr>
        <w:t>该套</w:t>
      </w:r>
      <w:r>
        <w:rPr>
          <w:rFonts w:hint="eastAsia" w:ascii="宋体" w:hAnsi="宋体" w:cs="SimSun-Identity-H"/>
          <w:color w:val="auto"/>
          <w:kern w:val="0"/>
          <w:sz w:val="28"/>
          <w:szCs w:val="28"/>
          <w:highlight w:val="none"/>
          <w:lang w:eastAsia="zh-CN"/>
        </w:rPr>
        <w:t>住房</w:t>
      </w:r>
      <w:r>
        <w:rPr>
          <w:rFonts w:hint="eastAsia" w:ascii="宋体" w:hAnsi="宋体" w:cs="SimSun-Identity-H"/>
          <w:color w:val="auto"/>
          <w:kern w:val="0"/>
          <w:sz w:val="28"/>
          <w:szCs w:val="28"/>
          <w:highlight w:val="none"/>
        </w:rPr>
        <w:t>总价款为</w:t>
      </w:r>
      <w:r>
        <w:rPr>
          <w:rFonts w:hint="eastAsia" w:ascii="Times New Roman" w:hAnsi="宋体" w:eastAsia="宋体" w:cs="宋体"/>
          <w:color w:val="auto"/>
          <w:sz w:val="28"/>
          <w:szCs w:val="28"/>
          <w:highlight w:val="none"/>
          <w:u w:val="single"/>
          <w:lang w:val="en-US" w:eastAsia="zh-CN"/>
        </w:rPr>
        <w:t>*</w:t>
      </w:r>
      <w:r>
        <w:rPr>
          <w:rFonts w:ascii="宋体" w:hAnsi="宋体" w:cs="SimSun-Identity-H"/>
          <w:color w:val="auto"/>
          <w:kern w:val="0"/>
          <w:sz w:val="28"/>
          <w:szCs w:val="28"/>
          <w:highlight w:val="none"/>
          <w:u w:val="single"/>
        </w:rPr>
        <w:t xml:space="preserve">   </w:t>
      </w:r>
      <w:r>
        <w:rPr>
          <w:rFonts w:hint="eastAsia" w:ascii="Times New Roman" w:hAnsi="Times New Roman" w:cs="Times New Roman"/>
          <w:color w:val="auto"/>
          <w:sz w:val="28"/>
          <w:szCs w:val="28"/>
          <w:highlight w:val="none"/>
        </w:rPr>
        <w:t>（币种）</w:t>
      </w:r>
      <w:r>
        <w:rPr>
          <w:rFonts w:hint="eastAsia" w:ascii="Times New Roman" w:hAnsi="宋体" w:eastAsia="宋体" w:cs="宋体"/>
          <w:color w:val="auto"/>
          <w:sz w:val="28"/>
          <w:szCs w:val="28"/>
          <w:highlight w:val="none"/>
          <w:u w:val="single"/>
          <w:lang w:val="en-US" w:eastAsia="zh-CN"/>
        </w:rPr>
        <w:t>*</w:t>
      </w:r>
      <w:r>
        <w:rPr>
          <w:rFonts w:ascii="宋体" w:hAnsi="宋体" w:cs="SimSun-Identity-H"/>
          <w:color w:val="auto"/>
          <w:kern w:val="0"/>
          <w:sz w:val="28"/>
          <w:szCs w:val="28"/>
          <w:highlight w:val="none"/>
          <w:u w:val="single"/>
        </w:rPr>
        <w:t xml:space="preserve">   </w:t>
      </w:r>
      <w:r>
        <w:rPr>
          <w:rFonts w:hint="eastAsia" w:ascii="宋体" w:hAnsi="宋体" w:cs="SimSun-Identity-H"/>
          <w:color w:val="auto"/>
          <w:kern w:val="0"/>
          <w:sz w:val="28"/>
          <w:szCs w:val="28"/>
          <w:highlight w:val="none"/>
        </w:rPr>
        <w:t>元</w:t>
      </w:r>
      <w:r>
        <w:rPr>
          <w:rFonts w:hint="eastAsia" w:ascii="Times New Roman" w:hAnsi="Times New Roman" w:cs="Times New Roman"/>
          <w:color w:val="auto"/>
          <w:sz w:val="28"/>
          <w:szCs w:val="28"/>
          <w:highlight w:val="none"/>
        </w:rPr>
        <w:t>（大写</w:t>
      </w:r>
      <w:r>
        <w:rPr>
          <w:rFonts w:hint="eastAsia" w:ascii="Times New Roman" w:hAnsi="宋体" w:eastAsia="宋体" w:cs="宋体"/>
          <w:color w:val="auto"/>
          <w:sz w:val="28"/>
          <w:szCs w:val="28"/>
          <w:highlight w:val="none"/>
          <w:u w:val="single"/>
          <w:lang w:val="en-US" w:eastAsia="zh-CN"/>
        </w:rPr>
        <w:t>*</w:t>
      </w:r>
      <w:r>
        <w:rPr>
          <w:rFonts w:ascii="宋体" w:hAnsi="宋体" w:cs="SimSun-Identity-H"/>
          <w:color w:val="auto"/>
          <w:kern w:val="0"/>
          <w:sz w:val="28"/>
          <w:szCs w:val="28"/>
          <w:highlight w:val="none"/>
          <w:u w:val="single"/>
        </w:rPr>
        <w:t xml:space="preserve">    </w:t>
      </w:r>
      <w:r>
        <w:rPr>
          <w:rFonts w:hint="eastAsia" w:ascii="Times New Roman" w:hAnsi="Times New Roman" w:cs="Times New Roman"/>
          <w:color w:val="auto"/>
          <w:sz w:val="28"/>
          <w:szCs w:val="28"/>
          <w:highlight w:val="none"/>
        </w:rPr>
        <w:t>元整）</w:t>
      </w:r>
      <w:r>
        <w:rPr>
          <w:rFonts w:hint="eastAsia" w:ascii="宋体" w:hAnsi="宋体" w:cs="SimSun-Identity-H"/>
          <w:color w:val="auto"/>
          <w:kern w:val="0"/>
          <w:sz w:val="28"/>
          <w:szCs w:val="28"/>
          <w:highlight w:val="none"/>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出卖人与买受人按照下列第</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种方式计算该住房价款：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1.按照建筑面积计算，该住房单价为每平方米</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（币种）</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元，总价款为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元（大写</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元整）。</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2.按照套内建筑面积计算，该住房单价为每平方米</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（币种）</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元，总价款为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元（大写</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元整）。</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3.按照套计算，该住房总价款为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（币种）</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元（大写</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元整）。</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bookmarkStart w:id="1" w:name="OLE_LINK5"/>
      <w:r>
        <w:rPr>
          <w:rFonts w:hint="eastAsia" w:ascii="宋体" w:hAnsi="宋体" w:eastAsia="宋体" w:cs="Times New Roman"/>
          <w:color w:val="auto"/>
          <w:kern w:val="2"/>
          <w:sz w:val="28"/>
          <w:szCs w:val="28"/>
          <w:highlight w:val="none"/>
          <w:lang w:val="en-US" w:eastAsia="zh-CN" w:bidi="ar-SA"/>
        </w:rPr>
        <w:t>出卖人不再向买受人收取该住房房价款外的费用，办证费用和出卖人</w:t>
      </w:r>
      <w:bookmarkStart w:id="2" w:name="OLE_LINK8"/>
      <w:r>
        <w:rPr>
          <w:rFonts w:hint="eastAsia" w:ascii="宋体" w:hAnsi="宋体" w:eastAsia="宋体" w:cs="Times New Roman"/>
          <w:color w:val="auto"/>
          <w:kern w:val="2"/>
          <w:sz w:val="28"/>
          <w:szCs w:val="28"/>
          <w:highlight w:val="none"/>
          <w:lang w:val="en-US" w:eastAsia="zh-CN" w:bidi="ar-SA"/>
        </w:rPr>
        <w:t>已交</w:t>
      </w:r>
      <w:bookmarkEnd w:id="2"/>
      <w:r>
        <w:rPr>
          <w:rFonts w:hint="eastAsia" w:ascii="宋体" w:hAnsi="宋体" w:eastAsia="宋体" w:cs="Times New Roman"/>
          <w:color w:val="auto"/>
          <w:kern w:val="2"/>
          <w:sz w:val="28"/>
          <w:szCs w:val="28"/>
          <w:highlight w:val="none"/>
          <w:lang w:val="en-US" w:eastAsia="zh-CN" w:bidi="ar-SA"/>
        </w:rPr>
        <w:t>存的首期住宅专项维修资金除外。买受人委托出卖人代办不动产权证书的，代办费用</w:t>
      </w:r>
      <w:bookmarkStart w:id="3" w:name="OLE_LINK7"/>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小标宋" w:cs="SimSun-Identity-H"/>
          <w:color w:val="auto"/>
          <w:kern w:val="0"/>
          <w:sz w:val="28"/>
          <w:szCs w:val="28"/>
          <w:highlight w:val="none"/>
          <w:u w:val="single"/>
          <w:lang w:val="en-US" w:eastAsia="zh-CN" w:bidi="ar-SA"/>
        </w:rPr>
        <w:t xml:space="preserve">   </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元，由</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小标宋" w:cs="SimSun-Identity-H"/>
          <w:color w:val="auto"/>
          <w:kern w:val="0"/>
          <w:sz w:val="28"/>
          <w:szCs w:val="28"/>
          <w:highlight w:val="none"/>
          <w:u w:val="single"/>
          <w:lang w:val="en-US" w:eastAsia="zh-CN" w:bidi="ar-SA"/>
        </w:rPr>
        <w:t xml:space="preserve">               </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承担（代办费用不含不动产交易和登记部门收取的不动产登记费）。</w:t>
      </w:r>
      <w:bookmarkEnd w:id="3"/>
      <w:r>
        <w:rPr>
          <w:rFonts w:hint="eastAsia" w:ascii="宋体" w:hAnsi="宋体" w:eastAsia="宋体" w:cs="Times New Roman"/>
          <w:color w:val="auto"/>
          <w:kern w:val="2"/>
          <w:sz w:val="28"/>
          <w:szCs w:val="28"/>
          <w:highlight w:val="none"/>
          <w:lang w:val="en-US" w:eastAsia="zh-CN" w:bidi="ar-SA"/>
        </w:rPr>
        <w:t>应由买受人承担的房屋专项维修资金（不含出卖人已交存的首期部分）及其他税费，由买受人自行向有关部门交纳；出卖人交存的首期住宅专项维修资金，费用</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小标宋" w:cs="SimSun-Identity-H"/>
          <w:color w:val="auto"/>
          <w:kern w:val="0"/>
          <w:sz w:val="28"/>
          <w:szCs w:val="28"/>
          <w:highlight w:val="none"/>
          <w:u w:val="single"/>
          <w:lang w:val="en-US" w:eastAsia="zh-CN" w:bidi="ar-SA"/>
        </w:rPr>
        <w:t xml:space="preserve">     </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元（大写</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小标宋" w:cs="SimSun-Identity-H"/>
          <w:color w:val="auto"/>
          <w:kern w:val="0"/>
          <w:sz w:val="28"/>
          <w:szCs w:val="28"/>
          <w:highlight w:val="none"/>
          <w:u w:val="single"/>
          <w:lang w:val="en-US" w:eastAsia="zh-CN" w:bidi="ar-SA"/>
        </w:rPr>
        <w:t xml:space="preserve">           </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元整），由</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小标宋" w:cs="SimSun-Identity-H"/>
          <w:color w:val="auto"/>
          <w:kern w:val="0"/>
          <w:sz w:val="28"/>
          <w:szCs w:val="28"/>
          <w:highlight w:val="none"/>
          <w:u w:val="single"/>
          <w:lang w:val="en-US" w:eastAsia="zh-CN" w:bidi="ar-SA"/>
        </w:rPr>
        <w:t xml:space="preserve">          </w:t>
      </w:r>
      <w:r>
        <w:rPr>
          <w:rFonts w:ascii="宋体" w:hAnsi="宋体" w:eastAsia="小标宋" w:cs="SimSun-Identity-H"/>
          <w:color w:val="auto"/>
          <w:kern w:val="0"/>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承担。</w:t>
      </w:r>
      <w:bookmarkEnd w:id="1"/>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第七条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付款方式及期限</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u w:val="single"/>
          <w:lang w:val="en-US" w:eastAsia="zh-CN" w:bidi="ar-SA"/>
        </w:rPr>
      </w:pPr>
      <w:r>
        <w:rPr>
          <w:rFonts w:hint="eastAsia" w:ascii="宋体" w:hAnsi="宋体" w:eastAsia="宋体" w:cs="Times New Roman"/>
          <w:color w:val="auto"/>
          <w:kern w:val="2"/>
          <w:sz w:val="28"/>
          <w:szCs w:val="28"/>
          <w:highlight w:val="none"/>
          <w:lang w:val="en-US" w:eastAsia="zh-CN" w:bidi="ar-SA"/>
        </w:rPr>
        <w:t>（一）买受人采取下列第</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种方式付款：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1.一次性付款。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2.分期付款。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3.贷款方式付款。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4.其他方式付款。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首付款为</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元，具体付款方式及期限的约定见附件五，选择“分期付款”方式的，应明确详细的付款批次、时间、金额。</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Courier New"/>
          <w:color w:val="auto"/>
          <w:kern w:val="2"/>
          <w:sz w:val="28"/>
          <w:szCs w:val="28"/>
          <w:highlight w:val="none"/>
          <w:lang w:val="en-US" w:eastAsia="zh-CN" w:bidi="ar-SA"/>
        </w:rPr>
      </w:pPr>
      <w:r>
        <w:rPr>
          <w:rFonts w:hint="eastAsia" w:ascii="宋体" w:hAnsi="宋体" w:eastAsia="宋体" w:cs="Courier New"/>
          <w:color w:val="auto"/>
          <w:kern w:val="2"/>
          <w:sz w:val="28"/>
          <w:szCs w:val="28"/>
          <w:highlight w:val="none"/>
          <w:lang w:val="en-US" w:eastAsia="zh-CN" w:bidi="ar-SA"/>
        </w:rPr>
        <w:t>以上第3种付款方式，若因银行或者住房公积金管理机构不同意买受人购房贷款申请，导致买受人无法按本合同第七条第【</w:t>
      </w:r>
      <w:r>
        <w:rPr>
          <w:rFonts w:ascii="宋体" w:hAnsi="宋体" w:eastAsia="宋体" w:cs="Courier New"/>
          <w:color w:val="auto"/>
          <w:kern w:val="2"/>
          <w:sz w:val="28"/>
          <w:szCs w:val="28"/>
          <w:highlight w:val="none"/>
          <w:lang w:val="en-US" w:eastAsia="zh-CN" w:bidi="ar-SA"/>
        </w:rPr>
        <w:t xml:space="preserve">   </w:t>
      </w:r>
      <w:r>
        <w:rPr>
          <w:rFonts w:hint="eastAsia" w:ascii="宋体" w:hAnsi="宋体" w:eastAsia="宋体" w:cs="Courier New"/>
          <w:color w:val="auto"/>
          <w:kern w:val="2"/>
          <w:sz w:val="28"/>
          <w:szCs w:val="28"/>
          <w:highlight w:val="none"/>
          <w:lang w:val="en-US" w:eastAsia="zh-CN" w:bidi="ar-SA"/>
        </w:rPr>
        <w:t>】款约定的方式、期限支付相应房价款的，买卖双方约定按下列第【</w:t>
      </w:r>
      <w:r>
        <w:rPr>
          <w:rFonts w:ascii="宋体" w:hAnsi="宋体" w:eastAsia="宋体" w:cs="Courier New"/>
          <w:color w:val="auto"/>
          <w:kern w:val="2"/>
          <w:sz w:val="28"/>
          <w:szCs w:val="28"/>
          <w:highlight w:val="none"/>
          <w:lang w:val="en-US" w:eastAsia="zh-CN" w:bidi="ar-SA"/>
        </w:rPr>
        <w:t xml:space="preserve">  </w:t>
      </w:r>
      <w:r>
        <w:rPr>
          <w:rFonts w:hint="eastAsia" w:ascii="宋体" w:hAnsi="宋体" w:eastAsia="宋体" w:cs="Courier New"/>
          <w:color w:val="auto"/>
          <w:kern w:val="2"/>
          <w:sz w:val="28"/>
          <w:szCs w:val="28"/>
          <w:highlight w:val="none"/>
          <w:lang w:val="en-US" w:eastAsia="zh-CN" w:bidi="ar-SA"/>
        </w:rPr>
        <w:t>】项方式处理：（须选一项）</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Courier New"/>
          <w:color w:val="auto"/>
          <w:kern w:val="2"/>
          <w:sz w:val="28"/>
          <w:szCs w:val="28"/>
          <w:highlight w:val="none"/>
          <w:lang w:val="en-US" w:eastAsia="zh-CN" w:bidi="ar-SA"/>
        </w:rPr>
      </w:pPr>
      <w:r>
        <w:rPr>
          <w:rFonts w:hint="eastAsia" w:ascii="宋体" w:hAnsi="宋体" w:eastAsia="宋体" w:cs="Courier New"/>
          <w:color w:val="auto"/>
          <w:kern w:val="2"/>
          <w:sz w:val="28"/>
          <w:szCs w:val="28"/>
          <w:highlight w:val="none"/>
          <w:lang w:val="en-US" w:eastAsia="zh-CN" w:bidi="ar-SA"/>
        </w:rPr>
        <w:t>【1】双方同意变更本合同，另行协商付款方式及付款期限，重新签订配售型保障性住房买卖合同。</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Courier New"/>
          <w:color w:val="auto"/>
          <w:kern w:val="2"/>
          <w:sz w:val="28"/>
          <w:szCs w:val="28"/>
          <w:highlight w:val="none"/>
          <w:lang w:val="en-US" w:eastAsia="zh-CN" w:bidi="ar-SA"/>
        </w:rPr>
      </w:pPr>
      <w:r>
        <w:rPr>
          <w:rFonts w:hint="eastAsia" w:ascii="宋体" w:hAnsi="宋体" w:eastAsia="宋体" w:cs="Courier New"/>
          <w:color w:val="auto"/>
          <w:kern w:val="2"/>
          <w:sz w:val="28"/>
          <w:szCs w:val="28"/>
          <w:highlight w:val="none"/>
          <w:lang w:val="en-US" w:eastAsia="zh-CN" w:bidi="ar-SA"/>
        </w:rPr>
        <w:t>【2】双方同意解除本合同。</w:t>
      </w:r>
    </w:p>
    <w:p>
      <w:pPr>
        <w:pStyle w:val="2"/>
        <w:keepNext w:val="0"/>
        <w:keepLines w:val="0"/>
        <w:pageBreakBefore w:val="0"/>
        <w:kinsoku/>
        <w:wordWrap/>
        <w:overflowPunct/>
        <w:topLinePunct w:val="0"/>
        <w:bidi w:val="0"/>
        <w:adjustRightInd w:val="0"/>
        <w:snapToGrid/>
        <w:spacing w:before="0" w:line="460" w:lineRule="exact"/>
        <w:ind w:left="0" w:firstLine="560" w:firstLineChars="200"/>
        <w:jc w:val="both"/>
        <w:textAlignment w:val="auto"/>
        <w:rPr>
          <w:rFonts w:hint="eastAsia" w:ascii="宋体" w:hAnsi="宋体" w:eastAsia="宋体"/>
          <w:b/>
          <w:bCs/>
          <w:color w:val="auto"/>
          <w:sz w:val="28"/>
          <w:szCs w:val="28"/>
          <w:highlight w:val="none"/>
          <w:lang w:eastAsia="zh-CN"/>
        </w:rPr>
      </w:pPr>
      <w:r>
        <w:rPr>
          <w:rFonts w:hint="eastAsia" w:ascii="宋体" w:hAnsi="宋体" w:eastAsia="宋体"/>
          <w:color w:val="auto"/>
          <w:sz w:val="28"/>
          <w:szCs w:val="28"/>
          <w:highlight w:val="none"/>
          <w:lang w:eastAsia="zh-CN"/>
        </w:rPr>
        <w:t>（二）配售型保障性住房应当建立资金专户，实行专款专用、封闭运行。中央专项补助资金、开发贷款、定金、首付款、分期付款、一次性付款、银行按揭贷款、住房公积金贷款等建设资金和销售资金均应全部进入资金专户。</w:t>
      </w:r>
      <w:r>
        <w:rPr>
          <w:rFonts w:hint="eastAsia" w:ascii="宋体" w:hAnsi="宋体" w:eastAsia="宋体"/>
          <w:b/>
          <w:bCs/>
          <w:color w:val="auto"/>
          <w:sz w:val="28"/>
          <w:szCs w:val="28"/>
          <w:highlight w:val="none"/>
          <w:lang w:eastAsia="zh-CN"/>
        </w:rPr>
        <w:t>同一批次现售范围内的楼栋对应唯一资金专户。</w:t>
      </w:r>
    </w:p>
    <w:p>
      <w:pPr>
        <w:pStyle w:val="2"/>
        <w:keepNext w:val="0"/>
        <w:keepLines w:val="0"/>
        <w:pageBreakBefore w:val="0"/>
        <w:kinsoku/>
        <w:wordWrap/>
        <w:overflowPunct/>
        <w:topLinePunct w:val="0"/>
        <w:bidi w:val="0"/>
        <w:adjustRightInd w:val="0"/>
        <w:snapToGrid/>
        <w:spacing w:before="0" w:line="460" w:lineRule="exact"/>
        <w:ind w:left="0" w:firstLine="560" w:firstLineChars="200"/>
        <w:jc w:val="both"/>
        <w:textAlignment w:val="auto"/>
        <w:rPr>
          <w:rFonts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资金专户名称：</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pStyle w:val="2"/>
        <w:keepNext w:val="0"/>
        <w:keepLines w:val="0"/>
        <w:pageBreakBefore w:val="0"/>
        <w:kinsoku/>
        <w:wordWrap/>
        <w:overflowPunct/>
        <w:topLinePunct w:val="0"/>
        <w:bidi w:val="0"/>
        <w:adjustRightInd w:val="0"/>
        <w:snapToGrid/>
        <w:spacing w:before="0" w:line="460" w:lineRule="exact"/>
        <w:ind w:left="0" w:firstLine="560" w:firstLineChars="200"/>
        <w:jc w:val="both"/>
        <w:textAlignment w:val="auto"/>
        <w:rPr>
          <w:rFonts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资金专户</w:t>
      </w:r>
      <w:r>
        <w:rPr>
          <w:rFonts w:hint="eastAsia" w:ascii="宋体" w:hAnsi="宋体" w:eastAsia="宋体"/>
          <w:color w:val="auto"/>
          <w:sz w:val="28"/>
          <w:szCs w:val="28"/>
          <w:highlight w:val="none"/>
          <w:lang w:eastAsia="zh-CN"/>
        </w:rPr>
        <w:t>账号：</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pStyle w:val="2"/>
        <w:adjustRightInd w:val="0"/>
        <w:spacing w:line="460" w:lineRule="exact"/>
        <w:ind w:firstLine="560" w:firstLineChars="200"/>
        <w:rPr>
          <w:lang w:eastAsia="zh-CN"/>
        </w:rPr>
      </w:pPr>
      <w:r>
        <w:rPr>
          <w:rFonts w:hint="eastAsia" w:ascii="宋体" w:hAnsi="宋体" w:eastAsia="宋体"/>
          <w:color w:val="auto"/>
          <w:sz w:val="28"/>
          <w:szCs w:val="28"/>
          <w:highlight w:val="none"/>
          <w:lang w:val="en-US" w:eastAsia="zh-CN"/>
        </w:rPr>
        <w:t>资金专户</w:t>
      </w:r>
      <w:r>
        <w:rPr>
          <w:rFonts w:hint="eastAsia" w:ascii="宋体" w:hAnsi="宋体" w:eastAsia="宋体"/>
          <w:color w:val="auto"/>
          <w:sz w:val="28"/>
          <w:szCs w:val="28"/>
          <w:highlight w:val="none"/>
          <w:lang w:eastAsia="zh-CN"/>
        </w:rPr>
        <w:t>银行名称：</w:t>
      </w:r>
      <w:r>
        <w:rPr>
          <w:rFonts w:hint="eastAsia" w:hAnsi="宋体" w:eastAsia="宋体" w:cs="宋体"/>
          <w:color w:val="auto"/>
          <w:sz w:val="28"/>
          <w:szCs w:val="28"/>
          <w:highlight w:val="none"/>
          <w:u w:val="single"/>
          <w:lang w:val="en-US" w:eastAsia="zh-CN"/>
        </w:rPr>
        <w:t>*</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single"/>
          <w:lang w:val="en-US" w:eastAsia="zh-CN"/>
        </w:rPr>
        <w:t xml:space="preserve">                                          </w:t>
      </w:r>
      <w:r>
        <w:rPr>
          <w:rFonts w:ascii="宋体" w:hAnsi="宋体" w:eastAsia="宋体"/>
          <w:color w:val="auto"/>
          <w:sz w:val="28"/>
          <w:szCs w:val="28"/>
          <w:highlight w:val="none"/>
          <w:u w:val="single"/>
          <w:lang w:eastAsia="zh-CN"/>
        </w:rPr>
        <w:t xml:space="preserve"> </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第八条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逾期付款责任</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对买受人以担保贷款方式付款的，若出现因一方当事人原因未能订立担保贷款合同并导致配售型保障性住房买卖合同不能继续履行的，对方当事人可以请求解除合同和赔偿损失。若因不可归责于双方的事由未能订立担保贷款合同并导致配售型保障性住房买卖合同不能继续履行的，当事人可以请求解除合同，出卖人应当将收受的购房款本金及其利息或者定金返还买受人。</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（二）除本条第（一）款之情形及不可抗力外，买受人未按照约定时间付款的，双方同意按照下列第</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1.按照逾期时间，分别处理（（</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）和（</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）不作累加）。</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）逾期在</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日之内，买受人按日计算向出卖人支付逾期应付款万分之</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的违约金。</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）逾期超过</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日（该期限应当与本条第（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）项中的期限相同）后，出卖人有权解除合同。出卖人解除合同的，应当书面通知买受人。买受人应当自解除合同通知送达之日起</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日内按照累计应付款的</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向出卖人支付违约金，同时，出卖人退还买受人已付全部房款（含已付贷款部分）。</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出卖人不解除合同的，买受人按日计算向出卖人支付逾期应付款万分之</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（该比率不低于第（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）项中的比率）的违约金。</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本条所称逾期应付款是指依照第七条及附件五约定的到期应付款与该期实际已付款的差额；采取分期付款的，按照相应的分期应付款与该期的实际已付款的差额确定。</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40" w:lineRule="exact"/>
        <w:ind w:left="0" w:firstLine="562" w:firstLineChars="200"/>
        <w:jc w:val="both"/>
        <w:textAlignment w:val="auto"/>
        <w:rPr>
          <w:rFonts w:ascii="黑体" w:hAnsi="宋体" w:eastAsia="黑体" w:cs="Times New Roman"/>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40" w:lineRule="exact"/>
        <w:ind w:left="0"/>
        <w:jc w:val="center"/>
        <w:textAlignment w:val="auto"/>
        <w:rPr>
          <w:rFonts w:ascii="黑体" w:hAnsi="宋体" w:eastAsia="黑体" w:cs="Times New Roman"/>
          <w:b w:val="0"/>
          <w:bCs/>
          <w:color w:val="auto"/>
          <w:kern w:val="2"/>
          <w:sz w:val="28"/>
          <w:szCs w:val="28"/>
          <w:highlight w:val="none"/>
          <w:lang w:val="en-US" w:eastAsia="zh-CN" w:bidi="ar-SA"/>
        </w:rPr>
      </w:pPr>
      <w:r>
        <w:rPr>
          <w:rFonts w:hint="eastAsia" w:ascii="黑体" w:hAnsi="宋体" w:eastAsia="黑体" w:cs="Times New Roman"/>
          <w:b w:val="0"/>
          <w:bCs/>
          <w:color w:val="auto"/>
          <w:kern w:val="2"/>
          <w:sz w:val="28"/>
          <w:szCs w:val="28"/>
          <w:highlight w:val="none"/>
          <w:lang w:val="en-US" w:eastAsia="zh-CN" w:bidi="ar-SA"/>
        </w:rPr>
        <w:t>第四章   交付条件与交付手续</w:t>
      </w:r>
    </w:p>
    <w:p>
      <w:pPr>
        <w:keepNext w:val="0"/>
        <w:keepLines w:val="0"/>
        <w:pageBreakBefore w:val="0"/>
        <w:widowControl w:val="0"/>
        <w:kinsoku/>
        <w:wordWrap/>
        <w:overflowPunct/>
        <w:topLinePunct w:val="0"/>
        <w:bidi w:val="0"/>
        <w:adjustRightInd w:val="0"/>
        <w:snapToGrid/>
        <w:spacing w:before="0" w:line="54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第九条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住房交付条件</w:t>
      </w:r>
    </w:p>
    <w:p>
      <w:pPr>
        <w:keepNext w:val="0"/>
        <w:keepLines w:val="0"/>
        <w:pageBreakBefore w:val="0"/>
        <w:widowControl w:val="0"/>
        <w:kinsoku/>
        <w:wordWrap/>
        <w:overflowPunct/>
        <w:topLinePunct w:val="0"/>
        <w:bidi w:val="0"/>
        <w:adjustRightInd w:val="0"/>
        <w:snapToGrid/>
        <w:spacing w:before="0" w:line="540" w:lineRule="exact"/>
        <w:ind w:left="559" w:leftChars="266" w:firstLine="0" w:firstLineChars="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出卖人应当在住房交付时，向买受人提供该住房的《住宅质量合格证》、《住宅使用说明书》和《住宅质量保证书》。</w:t>
      </w:r>
    </w:p>
    <w:p>
      <w:pPr>
        <w:keepNext w:val="0"/>
        <w:keepLines w:val="0"/>
        <w:pageBreakBefore w:val="0"/>
        <w:widowControl w:val="0"/>
        <w:kinsoku/>
        <w:wordWrap/>
        <w:overflowPunct/>
        <w:topLinePunct w:val="0"/>
        <w:bidi w:val="0"/>
        <w:adjustRightInd w:val="0"/>
        <w:snapToGrid/>
        <w:spacing w:before="0" w:line="54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住房相关设施设备交付条件</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（一）基础设施设备</w:t>
      </w:r>
    </w:p>
    <w:p>
      <w:pPr>
        <w:keepNext w:val="0"/>
        <w:keepLines w:val="0"/>
        <w:pageBreakBefore w:val="0"/>
        <w:widowControl w:val="0"/>
        <w:kinsoku/>
        <w:wordWrap/>
        <w:overflowPunct/>
        <w:topLinePunct w:val="0"/>
        <w:bidi w:val="0"/>
        <w:adjustRightInd w:val="0"/>
        <w:snapToGrid/>
        <w:spacing w:before="0" w:line="54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1.供水、排水：交付时供水、排水配套设施齐全，并与城市公共供水、排水管网连接。</w:t>
      </w:r>
      <w:r>
        <w:rPr>
          <w:rFonts w:ascii="宋体" w:hAnsi="宋体" w:eastAsia="宋体" w:cs="Microsoft JhengHei"/>
          <w:color w:val="auto"/>
          <w:kern w:val="2"/>
          <w:sz w:val="28"/>
          <w:szCs w:val="28"/>
          <w:highlight w:val="none"/>
          <w:lang w:val="en-US" w:eastAsia="zh-CN" w:bidi="ar-SA"/>
        </w:rPr>
        <w:t>使用自建设施供水的，供水的水质符合国家规定的饮用水卫生标准</w:t>
      </w:r>
      <w:r>
        <w:rPr>
          <w:rFonts w:hint="eastAsia" w:ascii="宋体" w:hAnsi="宋体" w:eastAsia="宋体" w:cs="Microsoft JhengHei"/>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2.供电：交付时纳入城市供电网络并正式供电；</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3.燃气：交付时完成燃气管道敷设到户，并与城市燃气管网连接，保证燃气供应。厨房应独立设置，有直通户外的窗户；</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4.电话通信：交付时线路敷设到户；</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5.有线电视：交付时线路敷设到户；</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6.宽带网络：交付时线路敷设到户。</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7.</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以上第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项由出卖人负责办理开通手续并承担相关费用；第</w:t>
      </w:r>
      <w:r>
        <w:rPr>
          <w:rFonts w:ascii="宋体" w:hAnsi="宋体" w:eastAsia="宋体" w:cs="Times New Roman"/>
          <w:color w:val="auto"/>
          <w:kern w:val="2"/>
          <w:sz w:val="28"/>
          <w:szCs w:val="28"/>
          <w:highlight w:val="none"/>
          <w:lang w:val="en-US" w:eastAsia="zh-CN" w:bidi="ar-SA"/>
        </w:rPr>
        <w:t>4</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5</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6</w:t>
      </w:r>
      <w:r>
        <w:rPr>
          <w:rFonts w:hint="eastAsia" w:ascii="宋体" w:hAnsi="宋体" w:eastAsia="宋体" w:cs="Times New Roman"/>
          <w:color w:val="auto"/>
          <w:kern w:val="2"/>
          <w:sz w:val="28"/>
          <w:szCs w:val="28"/>
          <w:highlight w:val="none"/>
          <w:lang w:val="en-US" w:eastAsia="zh-CN" w:bidi="ar-SA"/>
        </w:rPr>
        <w:t>项需要买受人自行办理开通手续。</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如果在约定期限内基础设施设备未达到交付使用条件，双方同意按照下列第</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）以上设施中第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项中任意一项在约定交付日未达到交付条件的，出卖人按照本合同第十二条的约定承担逾期交付责任。</w:t>
      </w:r>
    </w:p>
    <w:p>
      <w:pPr>
        <w:keepNext w:val="0"/>
        <w:keepLines w:val="0"/>
        <w:pageBreakBefore w:val="0"/>
        <w:widowControl w:val="0"/>
        <w:kinsoku/>
        <w:wordWrap w:val="0"/>
        <w:overflowPunct/>
        <w:topLinePunct w:val="0"/>
        <w:bidi w:val="0"/>
        <w:adjustRightInd w:val="0"/>
        <w:snapToGrid/>
        <w:spacing w:before="0" w:line="500" w:lineRule="exact"/>
        <w:ind w:left="0" w:leftChars="0" w:firstLine="560" w:firstLineChars="200"/>
        <w:jc w:val="left"/>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第</w:t>
      </w:r>
      <w:r>
        <w:rPr>
          <w:rFonts w:ascii="宋体" w:hAnsi="宋体" w:eastAsia="宋体" w:cs="Times New Roman"/>
          <w:color w:val="auto"/>
          <w:kern w:val="2"/>
          <w:sz w:val="28"/>
          <w:szCs w:val="28"/>
          <w:highlight w:val="none"/>
          <w:lang w:val="en-US" w:eastAsia="zh-CN" w:bidi="ar-SA"/>
        </w:rPr>
        <w:t>4</w:t>
      </w:r>
      <w:r>
        <w:rPr>
          <w:rFonts w:hint="eastAsia" w:ascii="宋体" w:hAnsi="宋体" w:eastAsia="宋体" w:cs="Times New Roman"/>
          <w:color w:val="auto"/>
          <w:kern w:val="2"/>
          <w:sz w:val="28"/>
          <w:szCs w:val="28"/>
          <w:highlight w:val="none"/>
          <w:lang w:val="en-US" w:eastAsia="zh-CN" w:bidi="ar-SA"/>
        </w:rPr>
        <w:t>项未按时达到交付使用条件的，出卖人按日向买受人支付</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元的违约金；第</w:t>
      </w:r>
      <w:r>
        <w:rPr>
          <w:rFonts w:ascii="宋体" w:hAnsi="宋体" w:eastAsia="宋体" w:cs="Times New Roman"/>
          <w:color w:val="auto"/>
          <w:kern w:val="2"/>
          <w:sz w:val="28"/>
          <w:szCs w:val="28"/>
          <w:highlight w:val="none"/>
          <w:lang w:val="en-US" w:eastAsia="zh-CN" w:bidi="ar-SA"/>
        </w:rPr>
        <w:t>5</w:t>
      </w:r>
      <w:r>
        <w:rPr>
          <w:rFonts w:hint="eastAsia" w:ascii="宋体" w:hAnsi="宋体" w:eastAsia="宋体" w:cs="Times New Roman"/>
          <w:color w:val="auto"/>
          <w:kern w:val="2"/>
          <w:sz w:val="28"/>
          <w:szCs w:val="28"/>
          <w:highlight w:val="none"/>
          <w:lang w:val="en-US" w:eastAsia="zh-CN" w:bidi="ar-SA"/>
        </w:rPr>
        <w:t>项未按时达到交付使用条件的，出卖人按日向买受人支付</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元的违约金；第</w:t>
      </w:r>
      <w:r>
        <w:rPr>
          <w:rFonts w:ascii="宋体" w:hAnsi="宋体" w:eastAsia="宋体" w:cs="Times New Roman"/>
          <w:color w:val="auto"/>
          <w:kern w:val="2"/>
          <w:sz w:val="28"/>
          <w:szCs w:val="28"/>
          <w:highlight w:val="none"/>
          <w:lang w:val="en-US" w:eastAsia="zh-CN" w:bidi="ar-SA"/>
        </w:rPr>
        <w:t>6</w:t>
      </w:r>
      <w:r>
        <w:rPr>
          <w:rFonts w:hint="eastAsia" w:ascii="宋体" w:hAnsi="宋体" w:eastAsia="宋体" w:cs="Times New Roman"/>
          <w:color w:val="auto"/>
          <w:kern w:val="2"/>
          <w:sz w:val="28"/>
          <w:szCs w:val="28"/>
          <w:highlight w:val="none"/>
          <w:lang w:val="en-US" w:eastAsia="zh-CN" w:bidi="ar-SA"/>
        </w:rPr>
        <w:t>项未按时达到交付使用条件的，出卖人按日向买受人支付</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元的违约金。出卖人采取措施保证相关设施于约定交付日后</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日之内达到交付使用条件。</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（二）公共服务及其他配套设施（以建设工程规划许可为准）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1.小区内绿地率：</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2.物业服务用房建筑面积</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平方米，位于</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w:t>
      </w:r>
      <w:bookmarkStart w:id="4" w:name="OLE_LINK10"/>
      <w:r>
        <w:rPr>
          <w:rFonts w:hint="eastAsia" w:ascii="宋体" w:hAnsi="宋体" w:eastAsia="宋体" w:cs="Times New Roman"/>
          <w:color w:val="auto"/>
          <w:kern w:val="2"/>
          <w:sz w:val="28"/>
          <w:szCs w:val="28"/>
          <w:highlight w:val="none"/>
          <w:lang w:val="en-US" w:eastAsia="zh-CN" w:bidi="ar-SA"/>
        </w:rPr>
        <w:t>规划的车位车库</w:t>
      </w:r>
      <w:r>
        <w:rPr>
          <w:rFonts w:hint="eastAsia" w:ascii="Times New Roman" w:hAnsi="宋体" w:eastAsia="宋体" w:cs="宋体"/>
          <w:color w:val="auto"/>
          <w:kern w:val="2"/>
          <w:sz w:val="28"/>
          <w:szCs w:val="28"/>
          <w:highlight w:val="none"/>
          <w:u w:val="singl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个，其中地上</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个，地下</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个。双方约定用于出租的车位</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个；用于出售的地下车位</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个（地上车位及人防工程车位不得出售）。建筑区划内，规划用于停放汽车的车位、车库应当首先满足业主的需要，用于出售的车位，未售出前应优先向小区业主出租，不能以“只售不租”等理由拒绝提供停车服务。</w:t>
      </w:r>
      <w:bookmarkEnd w:id="4"/>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关于本项目车位车库租售价格及租售方案的具体约定见附件二。</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4.高清晰视频系统能正常投入使用；</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5.小区内非市政道路能正常通行；</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6.生活垃圾分类设施：</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达到</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7.其他：</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关于本项目内相关设施设备的具体约定见附件六。</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第十一条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交付时间和手续</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（一）出卖人应当在</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前向买受人交付该住房。</w:t>
      </w:r>
      <w:r>
        <w:rPr>
          <w:rFonts w:hint="eastAsia" w:ascii="宋体" w:hAnsi="宋体" w:eastAsia="宋体"/>
          <w:color w:val="auto"/>
          <w:sz w:val="28"/>
          <w:szCs w:val="28"/>
          <w:highlight w:val="none"/>
          <w:lang w:eastAsia="zh-CN"/>
        </w:rPr>
        <w:t>买受人未按时交清本合同约定的全部房款及相关费用的，出卖人有权延迟交房，直至买受人交清为止。</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（二）该住房达到第九条、第十条约定的交付条件后，出卖人应当在交付日期届满前</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日（不少于</w:t>
      </w:r>
      <w:r>
        <w:rPr>
          <w:rFonts w:ascii="宋体" w:hAnsi="宋体" w:eastAsia="宋体" w:cs="Times New Roman"/>
          <w:color w:val="auto"/>
          <w:kern w:val="2"/>
          <w:sz w:val="28"/>
          <w:szCs w:val="28"/>
          <w:highlight w:val="none"/>
          <w:lang w:val="en-US" w:eastAsia="zh-CN" w:bidi="ar-SA"/>
        </w:rPr>
        <w:t>10</w:t>
      </w:r>
      <w:r>
        <w:rPr>
          <w:rFonts w:hint="eastAsia" w:ascii="宋体" w:hAnsi="宋体" w:eastAsia="宋体" w:cs="Times New Roman"/>
          <w:color w:val="auto"/>
          <w:kern w:val="2"/>
          <w:sz w:val="28"/>
          <w:szCs w:val="28"/>
          <w:highlight w:val="none"/>
          <w:lang w:val="en-US" w:eastAsia="zh-CN" w:bidi="ar-SA"/>
        </w:rPr>
        <w:t>日）将查验房屋的时间、办理交付手续的时间地点以及应当携带的证件材料的通知书面送达买受人或其代理人，同时在市级报刊媒体上公告。买受人未收到交付通知书的，以本合同约定的交付日期届满之日为办理交付手续的时间，以该住房所在地为办理交付手续的地点。</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交付该住房时，出卖人应当出示满足第九条约定的证明文件。出卖人不出示证明文件或者出示的证明文件不齐全，不能满足第九条约定条件的，买受人有权拒绝接收，由此产生的逾期交付责任由出卖人承担，并按照第十二条处理。</w:t>
      </w:r>
    </w:p>
    <w:p>
      <w:pPr>
        <w:pStyle w:val="2"/>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olor w:val="auto"/>
          <w:sz w:val="28"/>
          <w:szCs w:val="28"/>
          <w:highlight w:val="none"/>
          <w:lang w:eastAsia="zh-CN"/>
        </w:rPr>
        <w:t>（三）因不可抗力等原因，房屋需延期交付使用的，出卖人应当及时书面告知买受人。本合同中的不可抗力是指不能预见、不可避免且不能克服的客观情况。</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（四）查验房屋</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1.办理交付手续前，买受人有权对该住房进行查验</w:t>
      </w:r>
      <w:r>
        <w:rPr>
          <w:rFonts w:hint="default"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出卖人应组织买受人对其所购商品住房进行质量查验，不得以缴纳相关税费、物业服务费或者签署物业管理文件作为买受人查验和办理交付手续的前提条件。买受人有权委托第三方验房机构参与交付查验，出卖人应给予必要的协助。</w:t>
      </w:r>
    </w:p>
    <w:p>
      <w:pPr>
        <w:keepNext w:val="0"/>
        <w:keepLines w:val="0"/>
        <w:pageBreakBefore w:val="0"/>
        <w:widowControl w:val="0"/>
        <w:kinsoku/>
        <w:wordWrap w:val="0"/>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2.买受人查验的该住房存在下列除地基基础和主体结构外的其他质量问题的，由出卖人按照有关工程和产品质量规范、标准自查验次日起</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日内负责修复，并承担修复费用，修复后再行交付。双方同意在</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日的修复期间内，出卖人不承担逾期交房责任。</w:t>
      </w:r>
    </w:p>
    <w:p>
      <w:pPr>
        <w:keepNext w:val="0"/>
        <w:keepLines w:val="0"/>
        <w:pageBreakBefore w:val="0"/>
        <w:widowControl w:val="0"/>
        <w:tabs>
          <w:tab w:val="left" w:pos="840"/>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）屋面、墙面、地面渗漏或开裂等；</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）管道堵塞；</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）门窗翘裂、五金件损坏；</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4</w:t>
      </w:r>
      <w:r>
        <w:rPr>
          <w:rFonts w:hint="eastAsia" w:ascii="宋体" w:hAnsi="宋体" w:eastAsia="宋体" w:cs="Times New Roman"/>
          <w:color w:val="auto"/>
          <w:kern w:val="2"/>
          <w:sz w:val="28"/>
          <w:szCs w:val="28"/>
          <w:highlight w:val="none"/>
          <w:lang w:val="en-US" w:eastAsia="zh-CN" w:bidi="ar-SA"/>
        </w:rPr>
        <w:t>）全装修房灯具、电器等电气设备不能正常使用；</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5</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6</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default" w:ascii="宋体" w:hAnsi="宋体" w:eastAsia="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.查验该住房后，双方应当签署住房交接单。由于买受人原因导致该住房未能按期交付的，双方同意按照</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widowControl w:val="0"/>
        <w:adjustRightInd w:val="0"/>
        <w:spacing w:line="500" w:lineRule="exact"/>
        <w:ind w:firstLine="560" w:firstLineChars="200"/>
        <w:jc w:val="both"/>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widowControl w:val="0"/>
        <w:adjustRightInd w:val="0"/>
        <w:spacing w:line="500" w:lineRule="exact"/>
        <w:ind w:firstLine="560" w:firstLineChars="200"/>
        <w:jc w:val="both"/>
        <w:rPr>
          <w:rFonts w:hint="eastAsia"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lang w:val="en-US" w:eastAsia="zh-CN" w:bidi="ar-SA"/>
        </w:rPr>
        <w:t>（四）买受人采取下列第</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none"/>
          <w:lang w:val="en-US" w:eastAsia="zh-CN" w:bidi="ar-SA"/>
        </w:rPr>
        <w:t>种方式获取配售型保障性住房不动产权证书：</w:t>
      </w:r>
    </w:p>
    <w:p>
      <w:pPr>
        <w:widowControl w:val="0"/>
        <w:spacing w:line="240" w:lineRule="atLeast"/>
        <w:ind w:firstLine="560" w:firstLineChars="200"/>
        <w:jc w:val="both"/>
        <w:rPr>
          <w:rFonts w:hint="eastAsia"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1.收房后拿证，即出卖人向买受人交付房屋后，买受人自行办理或委托出卖人代办不动产权证书；</w:t>
      </w:r>
    </w:p>
    <w:p>
      <w:pPr>
        <w:widowControl w:val="0"/>
        <w:spacing w:after="120"/>
        <w:ind w:left="0" w:leftChars="0" w:firstLine="560" w:firstLineChars="0"/>
        <w:jc w:val="both"/>
        <w:rPr>
          <w:rFonts w:hint="eastAsia"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2.收房即拿证，即买受人在约定的交房日期15个工作日</w:t>
      </w:r>
      <w:r>
        <w:rPr>
          <w:rFonts w:hint="default" w:ascii="宋体" w:hAnsi="宋体" w:eastAsia="宋体" w:cs="Times New Roman"/>
          <w:color w:val="auto"/>
          <w:kern w:val="2"/>
          <w:sz w:val="28"/>
          <w:szCs w:val="28"/>
          <w:highlight w:val="none"/>
          <w:u w:val="none"/>
          <w:lang w:val="en-US" w:eastAsia="zh-CN" w:bidi="ar-SA"/>
        </w:rPr>
        <w:t>前</w:t>
      </w:r>
      <w:r>
        <w:rPr>
          <w:rFonts w:hint="eastAsia" w:ascii="宋体" w:hAnsi="宋体" w:eastAsia="宋体" w:cs="Times New Roman"/>
          <w:color w:val="auto"/>
          <w:kern w:val="2"/>
          <w:sz w:val="28"/>
          <w:szCs w:val="28"/>
          <w:highlight w:val="none"/>
          <w:u w:val="none"/>
          <w:lang w:val="en-US" w:eastAsia="zh-CN" w:bidi="ar-SA"/>
        </w:rPr>
        <w:t>，自行完成</w:t>
      </w:r>
      <w:r>
        <w:rPr>
          <w:rFonts w:hint="eastAsia" w:ascii="宋体" w:hAnsi="宋体" w:eastAsia="宋体" w:cs="Times New Roman"/>
          <w:color w:val="auto"/>
          <w:kern w:val="2"/>
          <w:sz w:val="28"/>
          <w:szCs w:val="28"/>
          <w:highlight w:val="none"/>
          <w:lang w:val="en-US" w:eastAsia="zh-CN" w:bidi="ar-SA"/>
        </w:rPr>
        <w:t>契税、住宅专项维修资金等</w:t>
      </w:r>
      <w:r>
        <w:rPr>
          <w:rFonts w:hint="default" w:ascii="宋体" w:hAnsi="宋体" w:eastAsia="宋体" w:cs="Times New Roman"/>
          <w:color w:val="auto"/>
          <w:kern w:val="2"/>
          <w:sz w:val="28"/>
          <w:szCs w:val="28"/>
          <w:highlight w:val="none"/>
          <w:lang w:val="en-US" w:eastAsia="zh-CN" w:bidi="ar-SA"/>
        </w:rPr>
        <w:t>相关</w:t>
      </w:r>
      <w:r>
        <w:rPr>
          <w:rFonts w:hint="eastAsia" w:ascii="宋体" w:hAnsi="宋体" w:eastAsia="宋体" w:cs="Times New Roman"/>
          <w:color w:val="auto"/>
          <w:kern w:val="2"/>
          <w:sz w:val="28"/>
          <w:szCs w:val="28"/>
          <w:highlight w:val="none"/>
          <w:lang w:val="en-US" w:eastAsia="zh-CN" w:bidi="ar-SA"/>
        </w:rPr>
        <w:t>费用</w:t>
      </w:r>
      <w:r>
        <w:rPr>
          <w:rFonts w:hint="default" w:ascii="宋体" w:hAnsi="宋体" w:eastAsia="宋体" w:cs="Times New Roman"/>
          <w:color w:val="auto"/>
          <w:kern w:val="2"/>
          <w:sz w:val="28"/>
          <w:szCs w:val="28"/>
          <w:highlight w:val="none"/>
          <w:lang w:val="en-US" w:eastAsia="zh-CN" w:bidi="ar-SA"/>
        </w:rPr>
        <w:t>的缴纳</w:t>
      </w:r>
      <w:r>
        <w:rPr>
          <w:rFonts w:hint="eastAsia" w:ascii="宋体" w:hAnsi="宋体" w:eastAsia="宋体" w:cs="Times New Roman"/>
          <w:color w:val="auto"/>
          <w:kern w:val="2"/>
          <w:sz w:val="28"/>
          <w:szCs w:val="28"/>
          <w:highlight w:val="none"/>
          <w:lang w:val="en-US" w:eastAsia="zh-CN" w:bidi="ar-SA"/>
        </w:rPr>
        <w:t>，出卖人向买受人交付房屋的同时交付配售型保障性住房不动产权证书</w:t>
      </w:r>
      <w:r>
        <w:rPr>
          <w:rFonts w:hint="eastAsia" w:ascii="宋体" w:hAnsi="宋体" w:eastAsia="宋体" w:cs="Times New Roman"/>
          <w:color w:val="auto"/>
          <w:kern w:val="2"/>
          <w:sz w:val="28"/>
          <w:szCs w:val="28"/>
          <w:highlight w:val="none"/>
          <w:u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第十二条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逾期交付责任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除不可抗力外，出卖人未按照第十一条约定的时间将该住房交付买受人的，双方同意按照下列第</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1.按照逾期时间，分别处理（（</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）和（</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）不作累加）。</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）逾期在</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日之内（该期限应当不多于第八条第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）项中的期限），自第十一条约定的交付期限届满之次日起至实际交付之日止，出卖人按日计算向买受人支付全部房价款万分之</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的违约金（该违约金比率应当不低于第八条第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）项中的比率）。</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）逾期超过</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日（该期限应当与本条第（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期限相同）后，买受人有权解除合同。买受人解除合同的，应当书面通知出卖人。出卖人应当自解除合同通知送达之日起30日内退还买受人已付全部房款（含已付贷款部分），并自买受人付款之日起，按照</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（不低于中国人民银行授权全国银行间同业拆借中心公布的一年期贷款市场报价利率（LPR））计算给付利息；同时，出卖人按照全部房价款的</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向买受人支付违约金。</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买受人要求继续履行合同的，合同继续履行，出卖人按日计算向买受人支付全部房价款万分之</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（该比率应当不低于本条第</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）项中的比率）的违约金。</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黑体" w:hAnsi="宋体" w:eastAsia="黑体" w:cs="Times New Roman"/>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color w:val="auto"/>
          <w:kern w:val="2"/>
          <w:sz w:val="28"/>
          <w:szCs w:val="28"/>
          <w:highlight w:val="none"/>
          <w:lang w:val="en-US" w:eastAsia="zh-CN" w:bidi="ar-SA"/>
        </w:rPr>
      </w:pPr>
      <w:r>
        <w:rPr>
          <w:rFonts w:hint="eastAsia" w:ascii="黑体" w:hAnsi="宋体" w:eastAsia="黑体" w:cs="Times New Roman"/>
          <w:color w:val="auto"/>
          <w:kern w:val="2"/>
          <w:sz w:val="28"/>
          <w:szCs w:val="28"/>
          <w:highlight w:val="none"/>
          <w:lang w:val="en-US" w:eastAsia="zh-CN" w:bidi="ar-SA"/>
        </w:rPr>
        <w:t>第五章  住房质量及保修责任</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第十三条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住房质量</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（一）地基基础和主体结构</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承诺该住房地基基础和主体结构合格，并符合国家及行业标准。经检测不合格的，买受人有权解除合同。买受人解除合同的，应当书面通知出卖人。出卖人应当自解除合同通知送达之日起30日内退还买受人已付全部房款（含已付贷款部分），并自买受人付款之日起，按照</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计算给付利息。给买受人造成损失的，由出卖人支付【已付房价款一倍】【买受人全部损失】的赔偿金。因此而发生的检测费用由出卖人承担。买受人不解除合同的，</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（二）其他质量问题</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该住房质量应当符合有关工程质量规范、标准和施工图设计文件的要求。发现除地基基础和主体结构外质量问题的，双方按照以下方式处理：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）及时更换、修理</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如给买受人造成损失的，还应当承担相应赔偿责任。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经过更换、修理，仍然严重影响正常居住使用的，买受人有权解除合同。买受人解除合同的，应当书面通知出卖人。出卖人应当自解除合同通知送达之日起30日内退还买受人已付全部房款（含已付贷款部分），并自买受人付款之日起，按照</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计算给付利息。给买受人造成损失的，由出卖人承担相应赔偿责任。因此而发生的检测费用由出卖人承担。买受人不解除合同的，</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（三）装饰装修及设备标准</w:t>
      </w:r>
    </w:p>
    <w:p>
      <w:pPr>
        <w:keepNext w:val="0"/>
        <w:keepLines w:val="0"/>
        <w:pageBreakBefore w:val="0"/>
        <w:widowControl w:val="0"/>
        <w:kinsoku/>
        <w:wordWrap w:val="0"/>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该住房应当使用合格的建筑材料、构配件和设备，装置、装修、装饰所用材料的产品质量必须符合国家的强制性标准及双方约定的标准。不符合上述标准的，买受人有权要求出卖人按照下列（</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方式处理（可多选）：</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）及时更换、修理；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2</w:t>
      </w:r>
      <w:r>
        <w:rPr>
          <w:rFonts w:hint="eastAsia" w:ascii="宋体" w:hAnsi="宋体" w:eastAsia="宋体" w:cs="Times New Roman"/>
          <w:color w:val="auto"/>
          <w:kern w:val="2"/>
          <w:sz w:val="28"/>
          <w:szCs w:val="28"/>
          <w:highlight w:val="none"/>
          <w:lang w:val="en-US" w:eastAsia="zh-CN" w:bidi="ar-SA"/>
        </w:rPr>
        <w:t>）出卖人赔偿双倍的装饰、设备差价；</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3</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具体装饰装修及相关设备标准的约定见附件七。</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（四）室内空气质量、建筑隔声和民用建筑节能措施</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全装修住房</w:t>
      </w:r>
      <w:r>
        <w:rPr>
          <w:rFonts w:ascii="宋体" w:hAnsi="宋体" w:eastAsia="宋体" w:cs="Times New Roman"/>
          <w:color w:val="auto"/>
          <w:kern w:val="2"/>
          <w:sz w:val="28"/>
          <w:szCs w:val="28"/>
          <w:highlight w:val="none"/>
          <w:lang w:val="en-US" w:eastAsia="zh-CN" w:bidi="ar-SA"/>
        </w:rPr>
        <w:t>室内空气质量符合【国家】【地方】标准，标准名称</w:t>
      </w:r>
      <w:r>
        <w:rPr>
          <w:rFonts w:hint="eastAsia"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，标准文号：</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住宅</w:t>
      </w:r>
      <w:r>
        <w:rPr>
          <w:rFonts w:ascii="宋体" w:hAnsi="宋体" w:eastAsia="宋体" w:cs="Times New Roman"/>
          <w:color w:val="auto"/>
          <w:kern w:val="2"/>
          <w:sz w:val="28"/>
          <w:szCs w:val="28"/>
          <w:highlight w:val="none"/>
          <w:lang w:val="en-US" w:eastAsia="zh-CN" w:bidi="ar-SA"/>
        </w:rPr>
        <w:t>建筑隔声情况符合【国家】【地方】标准，标准名称</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，标准文号：</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ascii="宋体" w:hAnsi="宋体" w:eastAsia="宋体" w:cs="Times New Roman"/>
          <w:color w:val="auto"/>
          <w:kern w:val="2"/>
          <w:sz w:val="28"/>
          <w:szCs w:val="28"/>
          <w:highlight w:val="none"/>
          <w:lang w:val="en-US" w:eastAsia="zh-CN" w:bidi="ar-SA"/>
        </w:rPr>
        <w:t>30</w:t>
      </w:r>
      <w:r>
        <w:rPr>
          <w:rFonts w:ascii="宋体" w:hAnsi="宋体" w:eastAsia="宋体" w:cs="Times New Roman"/>
          <w:color w:val="auto"/>
          <w:kern w:val="2"/>
          <w:sz w:val="28"/>
          <w:szCs w:val="28"/>
          <w:highlight w:val="none"/>
          <w:lang w:val="en-US" w:eastAsia="zh-CN" w:bidi="ar-SA"/>
        </w:rPr>
        <w:t>日内退还买受人已付全部房款（含已付贷款部分），并自买受人付款之日起，按照</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w:t>
      </w:r>
      <w:r>
        <w:rPr>
          <w:rFonts w:ascii="宋体" w:hAnsi="宋体" w:eastAsia="宋体" w:cs="Times New Roman"/>
          <w:color w:val="auto"/>
          <w:kern w:val="2"/>
          <w:sz w:val="28"/>
          <w:szCs w:val="28"/>
          <w:highlight w:val="none"/>
          <w:lang w:val="en-US" w:eastAsia="zh-CN" w:bidi="ar-SA"/>
        </w:rPr>
        <w:t>）计算给付利息。给买受人造成损失的，由出卖人承担相应赔偿责任。经检测不符合标准的，检测费用由出卖人承担，整改后再次检测发生的费用仍由出卖人承担。</w:t>
      </w:r>
      <w:r>
        <w:rPr>
          <w:rFonts w:hint="eastAsia" w:ascii="宋体" w:hAnsi="宋体" w:eastAsia="宋体" w:cs="Times New Roman"/>
          <w:color w:val="auto"/>
          <w:kern w:val="2"/>
          <w:sz w:val="28"/>
          <w:szCs w:val="28"/>
          <w:highlight w:val="none"/>
          <w:lang w:val="en-US" w:eastAsia="zh-CN" w:bidi="ar-SA"/>
        </w:rPr>
        <w:t>双方同意在</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日的整改期间内，出卖人不承担逾期交房责任。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2.该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应当符合国家有关民用建筑节能强制性标准的要求</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ascii="宋体" w:hAnsi="宋体" w:eastAsia="宋体" w:cs="Times New Roman"/>
          <w:color w:val="auto"/>
          <w:kern w:val="2"/>
          <w:sz w:val="28"/>
          <w:szCs w:val="28"/>
          <w:highlight w:val="none"/>
          <w:lang w:val="en-US" w:eastAsia="zh-CN" w:bidi="ar-SA"/>
        </w:rPr>
        <w:t>未达</w:t>
      </w:r>
      <w:r>
        <w:rPr>
          <w:rFonts w:hint="eastAsia" w:ascii="宋体" w:hAnsi="宋体" w:eastAsia="宋体" w:cs="Times New Roman"/>
          <w:color w:val="auto"/>
          <w:kern w:val="2"/>
          <w:sz w:val="28"/>
          <w:szCs w:val="28"/>
          <w:highlight w:val="none"/>
          <w:lang w:val="en-US" w:eastAsia="zh-CN" w:bidi="ar-SA"/>
        </w:rPr>
        <w:t>到标</w:t>
      </w:r>
      <w:r>
        <w:rPr>
          <w:rFonts w:ascii="宋体" w:hAnsi="宋体" w:eastAsia="宋体" w:cs="Times New Roman"/>
          <w:color w:val="auto"/>
          <w:kern w:val="2"/>
          <w:sz w:val="28"/>
          <w:szCs w:val="28"/>
          <w:highlight w:val="none"/>
          <w:lang w:val="en-US" w:eastAsia="zh-CN" w:bidi="ar-SA"/>
        </w:rPr>
        <w:t>准的，出卖人应当按照相应标准要求补做节能措施，并承担全部费用；给买受人造成损失的，出卖人应当承担相应</w:t>
      </w:r>
      <w:r>
        <w:rPr>
          <w:rFonts w:hint="eastAsia" w:ascii="宋体" w:hAnsi="宋体" w:eastAsia="宋体" w:cs="Times New Roman"/>
          <w:color w:val="auto"/>
          <w:kern w:val="2"/>
          <w:sz w:val="28"/>
          <w:szCs w:val="28"/>
          <w:highlight w:val="none"/>
          <w:lang w:val="en-US" w:eastAsia="zh-CN" w:bidi="ar-SA"/>
        </w:rPr>
        <w:t>赔偿责任。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第十四条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保修责任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（一）配售型保障性住房实行保修制度。出卖人自该住房交付之日起，按照《住宅质量保证书》承诺的内容承担相应的保修责任。具体内容见附件八。</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（二）下列情形，出卖人不承担保修责任：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1.因不可抗力造成的房屋及其附属设施的损害；</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2.因买受人不当使用造成的房屋及其附属设施的损害；</w:t>
      </w:r>
    </w:p>
    <w:p>
      <w:pPr>
        <w:keepNext w:val="0"/>
        <w:keepLines w:val="0"/>
        <w:pageBreakBefore w:val="0"/>
        <w:widowControl w:val="0"/>
        <w:kinsoku/>
        <w:wordWrap w:val="0"/>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（三）在保修期内，买受人要求维修的书面通知送达出卖人</w:t>
      </w:r>
      <w:r>
        <w:rPr>
          <w:rFonts w:hint="eastAsia" w:ascii="宋体" w:hAnsi="宋体" w:eastAsia="宋体" w:cs="Times New Roman"/>
          <w:color w:val="auto"/>
          <w:kern w:val="2"/>
          <w:sz w:val="28"/>
          <w:szCs w:val="28"/>
          <w:highlight w:val="none"/>
          <w:u w:val="single"/>
          <w:lang w:val="en-US" w:eastAsia="zh-CN" w:bidi="ar-SA"/>
        </w:rPr>
        <w:t>10</w:t>
      </w:r>
      <w:r>
        <w:rPr>
          <w:rFonts w:hint="eastAsia" w:ascii="宋体" w:hAnsi="宋体" w:eastAsia="宋体" w:cs="Times New Roman"/>
          <w:color w:val="auto"/>
          <w:kern w:val="2"/>
          <w:sz w:val="28"/>
          <w:szCs w:val="28"/>
          <w:highlight w:val="none"/>
          <w:lang w:val="en-US" w:eastAsia="zh-CN" w:bidi="ar-SA"/>
        </w:rPr>
        <w:t>日内，出卖人既不履行保修义务也不提出书面异议的，买受人可以自行或委托他人进行维修，维修费用及维修期间造成的其他损失由出卖人承担。</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第十五条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质量担保</w:t>
      </w:r>
    </w:p>
    <w:p>
      <w:pPr>
        <w:keepNext w:val="0"/>
        <w:keepLines w:val="0"/>
        <w:pageBreakBefore w:val="0"/>
        <w:widowControl w:val="0"/>
        <w:kinsoku/>
        <w:wordWrap w:val="0"/>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b w:val="0"/>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出卖人不按照第十三条、第十四条约定承担相关责任的，由</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承担连带责任。</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关于质量担保的证明见附件九。</w:t>
      </w: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hint="eastAsia" w:ascii="黑体" w:hAnsi="宋体" w:eastAsia="黑体" w:cs="Times New Roman"/>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color w:val="auto"/>
          <w:kern w:val="2"/>
          <w:sz w:val="28"/>
          <w:szCs w:val="28"/>
          <w:highlight w:val="none"/>
          <w:lang w:val="en-US" w:eastAsia="zh-CN" w:bidi="ar-SA"/>
        </w:rPr>
      </w:pPr>
      <w:r>
        <w:rPr>
          <w:rFonts w:hint="eastAsia" w:ascii="黑体" w:hAnsi="宋体" w:eastAsia="黑体" w:cs="Times New Roman"/>
          <w:color w:val="auto"/>
          <w:kern w:val="2"/>
          <w:sz w:val="28"/>
          <w:szCs w:val="28"/>
          <w:highlight w:val="none"/>
          <w:lang w:val="en-US" w:eastAsia="zh-CN" w:bidi="ar-SA"/>
        </w:rPr>
        <w:t>第六章  合同网签备案及房屋登记</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第十六条  网签备案</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u w:val="none"/>
          <w:lang w:val="en-US" w:eastAsia="zh-CN" w:bidi="ar-SA"/>
        </w:rPr>
      </w:pPr>
      <w:r>
        <w:rPr>
          <w:rFonts w:hint="eastAsia" w:ascii="宋体" w:hAnsi="宋体" w:eastAsia="宋体" w:cs="Times New Roman"/>
          <w:color w:val="auto"/>
          <w:kern w:val="2"/>
          <w:sz w:val="28"/>
          <w:szCs w:val="28"/>
          <w:highlight w:val="none"/>
          <w:u w:val="none"/>
          <w:lang w:val="en-US" w:eastAsia="zh-CN" w:bidi="ar-SA"/>
        </w:rPr>
        <w:t>出卖人与买受人应通过配售型保障性住房网上签约系统签订合同，并提交房屋交易管理部门办理合同备案手续。</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第十七条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房屋登记</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（一）双方同意共同向不动产登记机构申请办理该住房的房屋所有权转移登记。</w:t>
      </w:r>
    </w:p>
    <w:p>
      <w:pPr>
        <w:keepNext w:val="0"/>
        <w:keepLines w:val="0"/>
        <w:pageBreakBefore w:val="0"/>
        <w:widowControl w:val="0"/>
        <w:kinsoku/>
        <w:wordWrap/>
        <w:overflowPunct/>
        <w:topLinePunct w:val="0"/>
        <w:bidi w:val="0"/>
        <w:adjustRightInd w:val="0"/>
        <w:snapToGrid/>
        <w:spacing w:before="0" w:line="500" w:lineRule="exact"/>
        <w:ind w:left="0" w:leftChars="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（二）因出卖人的原因造成买受人在该住房交付后</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日内不能办理房屋所有权转移登记的，双方同意按以下方式处理：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买受人有权解除合同。买受人解除合同的，应当书面通知出卖人。出卖人应当自解除合同通知送达之日起30日内退还买受人已付全部房款（含已付贷款部分），并自买受人付款之日起，按照</w:t>
      </w:r>
      <w:r>
        <w:rPr>
          <w:rFonts w:hint="eastAsia" w:ascii="宋体" w:hAnsi="宋体" w:eastAsia="宋体" w:cs="Times New Roman"/>
          <w:b/>
          <w:bCs/>
          <w:color w:val="auto"/>
          <w:kern w:val="2"/>
          <w:sz w:val="28"/>
          <w:szCs w:val="28"/>
          <w:highlight w:val="none"/>
          <w:lang w:val="en-US" w:eastAsia="zh-CN" w:bidi="ar-SA"/>
        </w:rPr>
        <w:t>已付房款</w:t>
      </w:r>
      <w:r>
        <w:rPr>
          <w:rFonts w:hint="eastAsia" w:ascii="宋体" w:hAnsi="宋体" w:eastAsia="宋体" w:cs="Times New Roman"/>
          <w:color w:val="auto"/>
          <w:kern w:val="2"/>
          <w:sz w:val="28"/>
          <w:szCs w:val="28"/>
          <w:highlight w:val="none"/>
          <w:lang w:val="en-US" w:eastAsia="zh-CN" w:bidi="ar-SA"/>
        </w:rPr>
        <w:t>的</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不低于中国人民银行授权全国银行间同业拆借中心公布的一年期贷款市场报价利率（LPR））计算给付利息。买受人不解除合同的，自买受人应当完成房屋所有权登记的期限届满之次日起至实际完成房屋所有权登记之日止，出卖人按日计算向买受人支付全部房价款万分之</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的违约金。</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（三）因买受人的原因未能在约定期限内完成该住房的房屋所有权转移登记的，出卖人不承担责任。</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黑体" w:hAnsi="宋体" w:eastAsia="黑体" w:cs="Times New Roman"/>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color w:val="auto"/>
          <w:kern w:val="2"/>
          <w:sz w:val="28"/>
          <w:szCs w:val="28"/>
          <w:highlight w:val="none"/>
          <w:lang w:val="en-US" w:eastAsia="zh-CN" w:bidi="ar-SA"/>
        </w:rPr>
      </w:pPr>
      <w:r>
        <w:rPr>
          <w:rFonts w:hint="eastAsia" w:ascii="黑体" w:hAnsi="宋体" w:eastAsia="黑体" w:cs="Times New Roman"/>
          <w:color w:val="auto"/>
          <w:kern w:val="2"/>
          <w:sz w:val="28"/>
          <w:szCs w:val="28"/>
          <w:highlight w:val="none"/>
          <w:lang w:val="en-US" w:eastAsia="zh-CN" w:bidi="ar-SA"/>
        </w:rPr>
        <w:t>第七章  前期物业服务</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第十八条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前期物业管理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（一）出卖人依法选聘的前期物业服务企业为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（二）前期物业服务时间从</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到业主委员会与新选聘的物业服务企业签订的物业服务合同生效时止。前期物业服务合同生效之日至物业交付之日的前期物业费，由出卖人承担；物业交付之日后的前期物业费，由买受人承担。</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（三）前期物业服务期间，物业收费计费方式为【包干制】【酬金制】【</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】。物业服务费为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元</w:t>
      </w:r>
      <w:r>
        <w:rPr>
          <w:rFonts w:ascii="宋体" w:hAnsi="宋体" w:eastAsia="宋体" w:cs="Times New Roman"/>
          <w:color w:val="auto"/>
          <w:kern w:val="2"/>
          <w:sz w:val="28"/>
          <w:szCs w:val="28"/>
          <w:highlight w:val="none"/>
          <w:lang w:val="en-US" w:eastAsia="zh-CN" w:bidi="ar-SA"/>
        </w:rPr>
        <w:t>/</w:t>
      </w:r>
      <w:r>
        <w:rPr>
          <w:rFonts w:hint="eastAsia" w:ascii="宋体" w:hAnsi="宋体" w:eastAsia="宋体" w:cs="Times New Roman"/>
          <w:color w:val="auto"/>
          <w:kern w:val="2"/>
          <w:sz w:val="28"/>
          <w:szCs w:val="28"/>
          <w:highlight w:val="none"/>
          <w:lang w:val="en-US" w:eastAsia="zh-CN" w:bidi="ar-SA"/>
        </w:rPr>
        <w:t>月·平方米建筑面积。</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（四）买受人同意由出卖人选聘的前期物业服务企业代为查验并承接物业共用部位、共用设施设备，出卖人应当将物业共用部位、共用设施设备承接查验的备案情况书面告知买受人。</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（五）买受人已详细阅读前期物业服务合同和临时管理规约，同意由出卖人依法选聘的物业服务企业实施前期物业管理，遵守临时管理规约。</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业主委员会成立后，由业主大会决定选聘或续聘物业服务企业。该住房前期物业服务合同、临时管理规约见附件十。</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黑体" w:hAnsi="宋体" w:eastAsia="黑体" w:cs="Times New Roman"/>
          <w:b/>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snapToGrid/>
        <w:spacing w:line="460" w:lineRule="exact"/>
        <w:ind w:firstLine="560" w:firstLineChars="200"/>
        <w:jc w:val="center"/>
        <w:textAlignment w:val="auto"/>
        <w:rPr>
          <w:rFonts w:hint="eastAsia" w:ascii="黑体" w:hAnsi="宋体" w:eastAsia="黑体" w:cs="Times New Roman"/>
          <w:color w:val="auto"/>
          <w:kern w:val="2"/>
          <w:sz w:val="28"/>
          <w:szCs w:val="28"/>
          <w:highlight w:val="none"/>
          <w:lang w:val="en-US" w:eastAsia="zh-CN" w:bidi="ar-SA"/>
        </w:rPr>
      </w:pPr>
      <w:r>
        <w:rPr>
          <w:rFonts w:hint="eastAsia" w:ascii="黑体" w:hAnsi="宋体" w:eastAsia="黑体" w:cs="Times New Roman"/>
          <w:color w:val="auto"/>
          <w:kern w:val="2"/>
          <w:sz w:val="28"/>
          <w:szCs w:val="28"/>
          <w:highlight w:val="none"/>
          <w:lang w:val="en-US" w:eastAsia="zh-CN" w:bidi="ar-SA"/>
        </w:rPr>
        <w:t>第八章 售后管理</w:t>
      </w:r>
    </w:p>
    <w:p>
      <w:pPr>
        <w:widowControl/>
        <w:topLinePunct/>
        <w:adjustRightInd w:val="0"/>
        <w:snapToGrid w:val="0"/>
        <w:spacing w:line="46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第十</w:t>
      </w:r>
      <w:r>
        <w:rPr>
          <w:rFonts w:hint="eastAsia" w:ascii="宋体" w:hAnsi="宋体" w:cs="Times New Roman"/>
          <w:b/>
          <w:bCs/>
          <w:color w:val="auto"/>
          <w:kern w:val="2"/>
          <w:sz w:val="28"/>
          <w:szCs w:val="28"/>
          <w:highlight w:val="none"/>
          <w:lang w:val="en-US" w:eastAsia="zh-CN" w:bidi="ar-SA"/>
        </w:rPr>
        <w:t>九</w:t>
      </w:r>
      <w:r>
        <w:rPr>
          <w:rFonts w:hint="eastAsia" w:ascii="宋体" w:hAnsi="宋体" w:eastAsia="宋体" w:cs="Times New Roman"/>
          <w:b/>
          <w:bCs/>
          <w:color w:val="auto"/>
          <w:kern w:val="2"/>
          <w:sz w:val="28"/>
          <w:szCs w:val="28"/>
          <w:highlight w:val="none"/>
          <w:lang w:val="en-US" w:eastAsia="zh-CN" w:bidi="ar-SA"/>
        </w:rPr>
        <w:t>条 封闭管理</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配售型保障性住房实施封闭管理，禁止以任何方式违法违规将配售型保障性住房变更为商品住房流入市场。</w:t>
      </w:r>
    </w:p>
    <w:p>
      <w:pPr>
        <w:widowControl/>
        <w:topLinePunct/>
        <w:adjustRightInd w:val="0"/>
        <w:snapToGrid w:val="0"/>
        <w:spacing w:line="46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w:t>
      </w:r>
      <w:r>
        <w:rPr>
          <w:rFonts w:hint="eastAsia" w:ascii="宋体" w:hAnsi="宋体" w:cs="Times New Roman"/>
          <w:b/>
          <w:bCs/>
          <w:color w:val="auto"/>
          <w:kern w:val="2"/>
          <w:sz w:val="28"/>
          <w:szCs w:val="28"/>
          <w:highlight w:val="none"/>
          <w:lang w:val="en-US" w:eastAsia="zh-CN" w:bidi="ar-SA"/>
        </w:rPr>
        <w:t>二</w:t>
      </w:r>
      <w:r>
        <w:rPr>
          <w:rFonts w:hint="eastAsia" w:ascii="宋体" w:hAnsi="宋体" w:eastAsia="宋体" w:cs="Times New Roman"/>
          <w:b/>
          <w:bCs/>
          <w:color w:val="auto"/>
          <w:kern w:val="2"/>
          <w:sz w:val="28"/>
          <w:szCs w:val="28"/>
          <w:highlight w:val="none"/>
          <w:lang w:val="en-US" w:eastAsia="zh-CN" w:bidi="ar-SA"/>
        </w:rPr>
        <w:t xml:space="preserve">十条 </w:t>
      </w:r>
      <w:r>
        <w:rPr>
          <w:rFonts w:hint="eastAsia" w:ascii="宋体" w:hAnsi="宋体" w:cs="Times New Roman"/>
          <w:b/>
          <w:bCs/>
          <w:color w:val="auto"/>
          <w:kern w:val="2"/>
          <w:sz w:val="28"/>
          <w:szCs w:val="28"/>
          <w:highlight w:val="none"/>
          <w:lang w:val="en-US" w:eastAsia="zh-CN" w:bidi="ar-SA"/>
        </w:rPr>
        <w:t>回购及转让情形</w:t>
      </w:r>
    </w:p>
    <w:p>
      <w:pPr>
        <w:spacing w:line="460" w:lineRule="exact"/>
        <w:ind w:firstLine="560" w:firstLineChars="200"/>
        <w:rPr>
          <w:rFonts w:hint="eastAsia" w:ascii="宋体" w:hAnsi="宋体" w:cs="Times New Roman"/>
          <w:color w:val="auto"/>
          <w:kern w:val="2"/>
          <w:sz w:val="28"/>
          <w:szCs w:val="28"/>
          <w:highlight w:val="none"/>
          <w:lang w:val="en-US" w:eastAsia="zh-CN" w:bidi="ar-SA"/>
        </w:rPr>
      </w:pPr>
      <w:r>
        <w:rPr>
          <w:rFonts w:hint="eastAsia" w:ascii="宋体" w:hAnsi="宋体" w:cs="Times New Roman"/>
          <w:color w:val="auto"/>
          <w:kern w:val="2"/>
          <w:sz w:val="28"/>
          <w:szCs w:val="28"/>
          <w:highlight w:val="none"/>
          <w:lang w:val="en-US" w:eastAsia="zh-CN" w:bidi="ar-SA"/>
        </w:rPr>
        <w:t>承购人取得配售型保障性住房不动产权证后，在房屋无贷款、无抵押、无租赁、无法律纠纷，未改变居住用途、未拆改房屋结构、设施设备无缺失、房屋使用功能完整，已结清水、电、燃气等公共事业费用和物业服务费用的前提下，符合以下条件之一的，可以向出卖人申请回购或向符合配售型保障性住房购买条件的轮候家庭转让。</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w:t>
      </w:r>
      <w:r>
        <w:rPr>
          <w:rFonts w:hint="eastAsia" w:ascii="宋体" w:hAnsi="宋体" w:cs="Times New Roman"/>
          <w:color w:val="auto"/>
          <w:kern w:val="2"/>
          <w:sz w:val="28"/>
          <w:szCs w:val="28"/>
          <w:highlight w:val="none"/>
          <w:lang w:val="en-US" w:eastAsia="zh-CN" w:bidi="ar-SA"/>
        </w:rPr>
        <w:t>因工作变动全体家庭成员户籍由本市迁往外地的</w:t>
      </w:r>
      <w:r>
        <w:rPr>
          <w:rFonts w:hint="eastAsia" w:ascii="宋体" w:hAnsi="宋体" w:eastAsia="宋体" w:cs="Times New Roman"/>
          <w:color w:val="auto"/>
          <w:kern w:val="2"/>
          <w:sz w:val="28"/>
          <w:szCs w:val="28"/>
          <w:highlight w:val="none"/>
          <w:lang w:val="en-US" w:eastAsia="zh-CN" w:bidi="ar-SA"/>
        </w:rPr>
        <w:t>；</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w:t>
      </w:r>
      <w:r>
        <w:rPr>
          <w:rFonts w:hint="eastAsia" w:ascii="宋体" w:hAnsi="宋体" w:cs="Times New Roman"/>
          <w:color w:val="auto"/>
          <w:kern w:val="2"/>
          <w:sz w:val="28"/>
          <w:szCs w:val="28"/>
          <w:highlight w:val="none"/>
          <w:lang w:val="en-US" w:eastAsia="zh-CN" w:bidi="ar-SA"/>
        </w:rPr>
        <w:t>因患重大疾病或意外事故等原因导致经济特别困难的</w:t>
      </w:r>
      <w:r>
        <w:rPr>
          <w:rFonts w:hint="eastAsia" w:ascii="宋体" w:hAnsi="宋体" w:eastAsia="宋体" w:cs="Times New Roman"/>
          <w:color w:val="auto"/>
          <w:kern w:val="2"/>
          <w:sz w:val="28"/>
          <w:szCs w:val="28"/>
          <w:highlight w:val="none"/>
          <w:lang w:val="en-US" w:eastAsia="zh-CN" w:bidi="ar-SA"/>
        </w:rPr>
        <w:t>；</w:t>
      </w:r>
    </w:p>
    <w:p>
      <w:pPr>
        <w:spacing w:line="460" w:lineRule="exact"/>
        <w:ind w:firstLine="560" w:firstLineChars="200"/>
        <w:rPr>
          <w:rFonts w:hint="eastAsia"/>
          <w:lang w:val="en-US" w:eastAsia="zh-CN"/>
        </w:rPr>
      </w:pPr>
      <w:r>
        <w:rPr>
          <w:rFonts w:hint="eastAsia" w:ascii="宋体" w:hAnsi="宋体" w:eastAsia="宋体" w:cs="Times New Roman"/>
          <w:color w:val="auto"/>
          <w:kern w:val="2"/>
          <w:sz w:val="28"/>
          <w:szCs w:val="28"/>
          <w:highlight w:val="none"/>
          <w:lang w:val="en-US" w:eastAsia="zh-CN" w:bidi="ar-SA"/>
        </w:rPr>
        <w:t>（三）</w:t>
      </w:r>
      <w:r>
        <w:rPr>
          <w:rFonts w:hint="eastAsia" w:ascii="宋体" w:hAnsi="宋体" w:cs="Times New Roman"/>
          <w:color w:val="auto"/>
          <w:kern w:val="2"/>
          <w:sz w:val="28"/>
          <w:szCs w:val="28"/>
          <w:highlight w:val="none"/>
          <w:lang w:val="en-US" w:eastAsia="zh-CN" w:bidi="ar-SA"/>
        </w:rPr>
        <w:t>取得配售型保障性住房不动产权证已满5年的。</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承购人应当自发生相关情形之日起</w:t>
      </w:r>
      <w:r>
        <w:rPr>
          <w:rFonts w:hint="eastAsia" w:hAnsi="宋体" w:eastAsia="宋体" w:cs="宋体"/>
          <w:color w:val="auto"/>
          <w:sz w:val="28"/>
          <w:szCs w:val="28"/>
          <w:highlight w:val="none"/>
          <w:u w:val="single"/>
          <w:lang w:val="en-US" w:eastAsia="zh-CN"/>
        </w:rPr>
        <w:t>*</w:t>
      </w:r>
      <w:r>
        <w:rPr>
          <w:rFonts w:hint="eastAsia" w:hAnsi="宋体" w:cs="宋体"/>
          <w:color w:val="auto"/>
          <w:sz w:val="28"/>
          <w:szCs w:val="28"/>
          <w:highlight w:val="none"/>
          <w:u w:val="single"/>
          <w:lang w:val="en-US" w:eastAsia="zh-CN"/>
        </w:rPr>
        <w:t xml:space="preserve"> </w:t>
      </w:r>
      <w:r>
        <w:rPr>
          <w:rFonts w:hint="eastAsia" w:ascii="宋体" w:hAnsi="宋体" w:eastAsia="宋体" w:cs="Times New Roman"/>
          <w:color w:val="auto"/>
          <w:kern w:val="2"/>
          <w:sz w:val="28"/>
          <w:szCs w:val="28"/>
          <w:highlight w:val="none"/>
          <w:lang w:val="en-US" w:eastAsia="zh-CN" w:bidi="ar-SA"/>
        </w:rPr>
        <w:t>日内提出回购申请，</w:t>
      </w:r>
      <w:r>
        <w:rPr>
          <w:rFonts w:hint="eastAsia" w:ascii="宋体" w:hAnsi="宋体" w:cs="Times New Roman"/>
          <w:color w:val="auto"/>
          <w:kern w:val="2"/>
          <w:sz w:val="28"/>
          <w:szCs w:val="28"/>
          <w:highlight w:val="none"/>
          <w:lang w:val="en-US" w:eastAsia="zh-CN" w:bidi="ar-SA"/>
        </w:rPr>
        <w:t>按照双方签订的回购或转让协议约定</w:t>
      </w:r>
      <w:r>
        <w:rPr>
          <w:rFonts w:hint="eastAsia" w:ascii="宋体" w:hAnsi="宋体" w:eastAsia="宋体" w:cs="Times New Roman"/>
          <w:color w:val="auto"/>
          <w:kern w:val="2"/>
          <w:sz w:val="28"/>
          <w:szCs w:val="28"/>
          <w:highlight w:val="none"/>
          <w:lang w:val="en-US" w:eastAsia="zh-CN" w:bidi="ar-SA"/>
        </w:rPr>
        <w:t>产权转让和退房手续。</w:t>
      </w:r>
    </w:p>
    <w:p>
      <w:pPr>
        <w:widowControl/>
        <w:topLinePunct/>
        <w:adjustRightInd w:val="0"/>
        <w:snapToGrid w:val="0"/>
        <w:spacing w:line="46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w:t>
      </w:r>
      <w:r>
        <w:rPr>
          <w:rFonts w:hint="eastAsia" w:ascii="宋体" w:hAnsi="宋体" w:cs="Times New Roman"/>
          <w:b/>
          <w:bCs/>
          <w:color w:val="auto"/>
          <w:kern w:val="2"/>
          <w:sz w:val="28"/>
          <w:szCs w:val="28"/>
          <w:highlight w:val="none"/>
          <w:lang w:val="en-US" w:eastAsia="zh-CN" w:bidi="ar-SA"/>
        </w:rPr>
        <w:t>二十一</w:t>
      </w:r>
      <w:r>
        <w:rPr>
          <w:rFonts w:hint="eastAsia" w:ascii="宋体" w:hAnsi="宋体" w:eastAsia="宋体" w:cs="Times New Roman"/>
          <w:b/>
          <w:bCs/>
          <w:color w:val="auto"/>
          <w:kern w:val="2"/>
          <w:sz w:val="28"/>
          <w:szCs w:val="28"/>
          <w:highlight w:val="none"/>
          <w:lang w:val="en-US" w:eastAsia="zh-CN" w:bidi="ar-SA"/>
        </w:rPr>
        <w:t>条 特殊回购情形</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承购人有下列情形之一的，由</w:t>
      </w:r>
      <w:r>
        <w:rPr>
          <w:rFonts w:hint="eastAsia" w:ascii="宋体" w:hAnsi="宋体" w:cs="Times New Roman"/>
          <w:color w:val="auto"/>
          <w:kern w:val="2"/>
          <w:sz w:val="28"/>
          <w:szCs w:val="28"/>
          <w:highlight w:val="none"/>
          <w:lang w:val="en-US" w:eastAsia="zh-CN" w:bidi="ar-SA"/>
        </w:rPr>
        <w:t>出卖人</w:t>
      </w:r>
      <w:r>
        <w:rPr>
          <w:rFonts w:hint="eastAsia" w:ascii="宋体" w:hAnsi="宋体" w:eastAsia="宋体" w:cs="Times New Roman"/>
          <w:color w:val="auto"/>
          <w:kern w:val="2"/>
          <w:sz w:val="28"/>
          <w:szCs w:val="28"/>
          <w:highlight w:val="none"/>
          <w:lang w:val="en-US" w:eastAsia="zh-CN" w:bidi="ar-SA"/>
        </w:rPr>
        <w:t>回购配售型保障性住房：</w:t>
      </w:r>
    </w:p>
    <w:p>
      <w:pPr>
        <w:numPr>
          <w:ilvl w:val="0"/>
          <w:numId w:val="3"/>
        </w:num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因人民法院</w:t>
      </w:r>
      <w:r>
        <w:rPr>
          <w:rFonts w:hint="eastAsia" w:ascii="宋体" w:hAnsi="宋体" w:cs="Times New Roman"/>
          <w:color w:val="auto"/>
          <w:kern w:val="2"/>
          <w:sz w:val="28"/>
          <w:szCs w:val="28"/>
          <w:highlight w:val="none"/>
          <w:lang w:val="en-US" w:eastAsia="zh-CN" w:bidi="ar-SA"/>
        </w:rPr>
        <w:t>强制执行</w:t>
      </w:r>
      <w:r>
        <w:rPr>
          <w:rFonts w:hint="eastAsia" w:ascii="宋体" w:hAnsi="宋体" w:eastAsia="宋体" w:cs="Times New Roman"/>
          <w:color w:val="auto"/>
          <w:kern w:val="2"/>
          <w:sz w:val="28"/>
          <w:szCs w:val="28"/>
          <w:highlight w:val="none"/>
          <w:lang w:val="en-US" w:eastAsia="zh-CN" w:bidi="ar-SA"/>
        </w:rPr>
        <w:t>要求回购的；</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（二）因住房公积金管理</w:t>
      </w:r>
      <w:r>
        <w:rPr>
          <w:rFonts w:hint="eastAsia" w:ascii="宋体" w:hAnsi="宋体" w:cs="Times New Roman"/>
          <w:color w:val="auto"/>
          <w:kern w:val="2"/>
          <w:sz w:val="28"/>
          <w:szCs w:val="28"/>
          <w:highlight w:val="none"/>
          <w:lang w:val="en-US" w:eastAsia="zh-CN" w:bidi="ar-SA"/>
        </w:rPr>
        <w:t>部门或</w:t>
      </w:r>
      <w:r>
        <w:rPr>
          <w:rFonts w:hint="eastAsia" w:ascii="宋体" w:hAnsi="宋体" w:eastAsia="宋体" w:cs="Times New Roman"/>
          <w:color w:val="auto"/>
          <w:kern w:val="2"/>
          <w:sz w:val="28"/>
          <w:szCs w:val="28"/>
          <w:highlight w:val="none"/>
          <w:lang w:val="en-US" w:eastAsia="zh-CN" w:bidi="ar-SA"/>
        </w:rPr>
        <w:t>银行</w:t>
      </w:r>
      <w:r>
        <w:rPr>
          <w:rFonts w:hint="eastAsia" w:ascii="宋体" w:hAnsi="宋体" w:cs="Times New Roman"/>
          <w:color w:val="auto"/>
          <w:kern w:val="2"/>
          <w:sz w:val="28"/>
          <w:szCs w:val="28"/>
          <w:highlight w:val="none"/>
          <w:lang w:val="en-US" w:eastAsia="zh-CN" w:bidi="ar-SA"/>
        </w:rPr>
        <w:t>业金融机构</w:t>
      </w:r>
      <w:r>
        <w:rPr>
          <w:rFonts w:hint="eastAsia" w:ascii="宋体" w:hAnsi="宋体" w:eastAsia="宋体" w:cs="Times New Roman"/>
          <w:color w:val="auto"/>
          <w:kern w:val="2"/>
          <w:sz w:val="28"/>
          <w:szCs w:val="28"/>
          <w:highlight w:val="none"/>
          <w:lang w:val="en-US" w:eastAsia="zh-CN" w:bidi="ar-SA"/>
        </w:rPr>
        <w:t>实现抵押权要求回购的。</w:t>
      </w:r>
    </w:p>
    <w:p>
      <w:pPr>
        <w:widowControl/>
        <w:topLinePunct/>
        <w:adjustRightInd w:val="0"/>
        <w:snapToGrid w:val="0"/>
        <w:spacing w:line="46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第二十</w:t>
      </w:r>
      <w:r>
        <w:rPr>
          <w:rFonts w:hint="eastAsia" w:ascii="宋体" w:hAnsi="宋体" w:cs="Times New Roman"/>
          <w:b/>
          <w:bCs/>
          <w:color w:val="auto"/>
          <w:kern w:val="2"/>
          <w:sz w:val="28"/>
          <w:szCs w:val="28"/>
          <w:highlight w:val="none"/>
          <w:lang w:val="en-US" w:eastAsia="zh-CN" w:bidi="ar-SA"/>
        </w:rPr>
        <w:t>二</w:t>
      </w:r>
      <w:r>
        <w:rPr>
          <w:rFonts w:hint="eastAsia" w:ascii="宋体" w:hAnsi="宋体" w:eastAsia="宋体" w:cs="Times New Roman"/>
          <w:b/>
          <w:bCs/>
          <w:color w:val="auto"/>
          <w:kern w:val="2"/>
          <w:sz w:val="28"/>
          <w:szCs w:val="28"/>
          <w:highlight w:val="none"/>
          <w:lang w:val="en-US" w:eastAsia="zh-CN" w:bidi="ar-SA"/>
        </w:rPr>
        <w:t>条 继承、</w:t>
      </w:r>
      <w:r>
        <w:rPr>
          <w:rFonts w:hint="eastAsia" w:ascii="宋体" w:hAnsi="宋体" w:cs="Times New Roman"/>
          <w:b/>
          <w:bCs/>
          <w:color w:val="auto"/>
          <w:kern w:val="2"/>
          <w:sz w:val="28"/>
          <w:szCs w:val="28"/>
          <w:highlight w:val="none"/>
          <w:lang w:val="en-US" w:eastAsia="zh-CN" w:bidi="ar-SA"/>
        </w:rPr>
        <w:t>遗赠、离婚</w:t>
      </w:r>
      <w:r>
        <w:rPr>
          <w:rFonts w:hint="eastAsia" w:ascii="宋体" w:hAnsi="宋体" w:eastAsia="宋体" w:cs="Times New Roman"/>
          <w:b/>
          <w:bCs/>
          <w:color w:val="auto"/>
          <w:kern w:val="2"/>
          <w:sz w:val="28"/>
          <w:szCs w:val="28"/>
          <w:highlight w:val="none"/>
          <w:lang w:val="en-US" w:eastAsia="zh-CN" w:bidi="ar-SA"/>
        </w:rPr>
        <w:t>析产</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配售型保障性住房可以继承、</w:t>
      </w:r>
      <w:r>
        <w:rPr>
          <w:rFonts w:hint="eastAsia" w:ascii="宋体" w:hAnsi="宋体" w:cs="Times New Roman"/>
          <w:color w:val="auto"/>
          <w:kern w:val="2"/>
          <w:sz w:val="28"/>
          <w:szCs w:val="28"/>
          <w:highlight w:val="none"/>
          <w:lang w:val="en-US" w:eastAsia="zh-CN" w:bidi="ar-SA"/>
        </w:rPr>
        <w:t>遗赠、</w:t>
      </w:r>
      <w:r>
        <w:rPr>
          <w:rFonts w:hint="eastAsia" w:ascii="宋体" w:hAnsi="宋体" w:eastAsia="宋体" w:cs="Times New Roman"/>
          <w:color w:val="auto"/>
          <w:kern w:val="2"/>
          <w:sz w:val="28"/>
          <w:szCs w:val="28"/>
          <w:highlight w:val="none"/>
          <w:lang w:val="en-US" w:eastAsia="zh-CN" w:bidi="ar-SA"/>
        </w:rPr>
        <w:t>离婚析产。继承、</w:t>
      </w:r>
      <w:r>
        <w:rPr>
          <w:rFonts w:hint="eastAsia" w:ascii="宋体" w:hAnsi="宋体" w:cs="Times New Roman"/>
          <w:color w:val="auto"/>
          <w:kern w:val="2"/>
          <w:sz w:val="28"/>
          <w:szCs w:val="28"/>
          <w:highlight w:val="none"/>
          <w:lang w:val="en-US" w:eastAsia="zh-CN" w:bidi="ar-SA"/>
        </w:rPr>
        <w:t>遗赠、</w:t>
      </w:r>
      <w:r>
        <w:rPr>
          <w:rFonts w:hint="eastAsia" w:ascii="宋体" w:hAnsi="宋体" w:eastAsia="宋体" w:cs="Times New Roman"/>
          <w:color w:val="auto"/>
          <w:kern w:val="2"/>
          <w:sz w:val="28"/>
          <w:szCs w:val="28"/>
          <w:highlight w:val="none"/>
          <w:lang w:val="en-US" w:eastAsia="zh-CN" w:bidi="ar-SA"/>
        </w:rPr>
        <w:t>离婚析产后配售型保障性住房性质不变。</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承购人在原婚姻存续期间购买过配售型保障性住房，但离婚析产时该住房归原配偶所有的，视作未享受配售型保障性住房保障。</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购买配售型保障性住房的家庭（</w:t>
      </w:r>
      <w:r>
        <w:rPr>
          <w:rFonts w:hint="eastAsia" w:ascii="宋体" w:hAnsi="宋体" w:cs="Times New Roman"/>
          <w:color w:val="auto"/>
          <w:kern w:val="2"/>
          <w:sz w:val="28"/>
          <w:szCs w:val="28"/>
          <w:highlight w:val="none"/>
          <w:lang w:val="en-US" w:eastAsia="zh-CN" w:bidi="ar-SA"/>
        </w:rPr>
        <w:t>买受人</w:t>
      </w:r>
      <w:r>
        <w:rPr>
          <w:rFonts w:hint="eastAsia" w:ascii="宋体" w:hAnsi="宋体" w:eastAsia="宋体" w:cs="Times New Roman"/>
          <w:color w:val="auto"/>
          <w:kern w:val="2"/>
          <w:sz w:val="28"/>
          <w:szCs w:val="28"/>
          <w:highlight w:val="none"/>
          <w:lang w:val="en-US" w:eastAsia="zh-CN" w:bidi="ar-SA"/>
        </w:rPr>
        <w:t>、未作为共同产权人的配偶及其未成年子女），因继承、</w:t>
      </w:r>
      <w:r>
        <w:rPr>
          <w:rFonts w:hint="eastAsia" w:ascii="宋体" w:hAnsi="宋体" w:cs="Times New Roman"/>
          <w:color w:val="auto"/>
          <w:kern w:val="2"/>
          <w:sz w:val="28"/>
          <w:szCs w:val="28"/>
          <w:highlight w:val="none"/>
          <w:lang w:val="en-US" w:eastAsia="zh-CN" w:bidi="ar-SA"/>
        </w:rPr>
        <w:t>遗赠、</w:t>
      </w:r>
      <w:r>
        <w:rPr>
          <w:rFonts w:hint="eastAsia" w:ascii="宋体" w:hAnsi="宋体" w:eastAsia="宋体" w:cs="Times New Roman"/>
          <w:color w:val="auto"/>
          <w:kern w:val="2"/>
          <w:sz w:val="28"/>
          <w:szCs w:val="28"/>
          <w:highlight w:val="none"/>
          <w:lang w:val="en-US" w:eastAsia="zh-CN" w:bidi="ar-SA"/>
        </w:rPr>
        <w:t>离婚析产等</w:t>
      </w:r>
      <w:r>
        <w:rPr>
          <w:rFonts w:hint="eastAsia" w:ascii="宋体" w:hAnsi="宋体" w:cs="Times New Roman"/>
          <w:color w:val="auto"/>
          <w:kern w:val="2"/>
          <w:sz w:val="28"/>
          <w:szCs w:val="28"/>
          <w:highlight w:val="none"/>
          <w:lang w:val="en-US" w:eastAsia="zh-CN" w:bidi="ar-SA"/>
        </w:rPr>
        <w:t>方式</w:t>
      </w:r>
      <w:r>
        <w:rPr>
          <w:rFonts w:hint="eastAsia" w:ascii="宋体" w:hAnsi="宋体" w:eastAsia="宋体" w:cs="Times New Roman"/>
          <w:color w:val="auto"/>
          <w:kern w:val="2"/>
          <w:sz w:val="28"/>
          <w:szCs w:val="28"/>
          <w:highlight w:val="none"/>
          <w:lang w:val="en-US" w:eastAsia="zh-CN" w:bidi="ar-SA"/>
        </w:rPr>
        <w:t>取得其他配售型保障性住房的，只能保留一套。超出一套的，应当在发生相关情形之日起</w:t>
      </w:r>
      <w:r>
        <w:rPr>
          <w:rFonts w:hint="eastAsia" w:hAnsi="宋体" w:eastAsia="宋体" w:cs="宋体"/>
          <w:color w:val="auto"/>
          <w:sz w:val="28"/>
          <w:szCs w:val="28"/>
          <w:highlight w:val="none"/>
          <w:u w:val="single"/>
          <w:lang w:val="en-US" w:eastAsia="zh-CN"/>
        </w:rPr>
        <w:t>*</w:t>
      </w:r>
      <w:r>
        <w:rPr>
          <w:rFonts w:hint="eastAsia" w:hAnsi="宋体" w:cs="宋体"/>
          <w:color w:val="auto"/>
          <w:sz w:val="28"/>
          <w:szCs w:val="28"/>
          <w:highlight w:val="none"/>
          <w:u w:val="single"/>
          <w:lang w:val="en-US" w:eastAsia="zh-CN"/>
        </w:rPr>
        <w:t xml:space="preserve"> </w:t>
      </w:r>
      <w:r>
        <w:rPr>
          <w:rFonts w:hint="eastAsia" w:ascii="宋体" w:hAnsi="宋体" w:eastAsia="宋体" w:cs="Times New Roman"/>
          <w:color w:val="auto"/>
          <w:kern w:val="2"/>
          <w:sz w:val="28"/>
          <w:szCs w:val="28"/>
          <w:highlight w:val="none"/>
          <w:lang w:val="en-US" w:eastAsia="zh-CN" w:bidi="ar-SA"/>
        </w:rPr>
        <w:t>日内主动提出回购申请，由</w:t>
      </w:r>
      <w:r>
        <w:rPr>
          <w:rFonts w:hint="eastAsia" w:ascii="宋体" w:hAnsi="宋体" w:cs="Times New Roman"/>
          <w:color w:val="auto"/>
          <w:kern w:val="2"/>
          <w:sz w:val="28"/>
          <w:szCs w:val="28"/>
          <w:highlight w:val="none"/>
          <w:lang w:val="en-US" w:eastAsia="zh-CN" w:bidi="ar-SA"/>
        </w:rPr>
        <w:t>出卖人</w:t>
      </w:r>
      <w:r>
        <w:rPr>
          <w:rFonts w:hint="eastAsia" w:ascii="宋体" w:hAnsi="宋体" w:eastAsia="宋体" w:cs="Times New Roman"/>
          <w:color w:val="auto"/>
          <w:kern w:val="2"/>
          <w:sz w:val="28"/>
          <w:szCs w:val="28"/>
          <w:highlight w:val="none"/>
          <w:lang w:val="en-US" w:eastAsia="zh-CN" w:bidi="ar-SA"/>
        </w:rPr>
        <w:t>回购。</w:t>
      </w:r>
    </w:p>
    <w:p>
      <w:pPr>
        <w:widowControl/>
        <w:topLinePunct/>
        <w:adjustRightInd w:val="0"/>
        <w:snapToGrid w:val="0"/>
        <w:spacing w:line="460" w:lineRule="exact"/>
        <w:ind w:firstLine="562" w:firstLineChars="20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第二十</w:t>
      </w:r>
      <w:r>
        <w:rPr>
          <w:rFonts w:hint="eastAsia" w:ascii="宋体" w:hAnsi="宋体" w:cs="Times New Roman"/>
          <w:b/>
          <w:bCs/>
          <w:color w:val="auto"/>
          <w:kern w:val="2"/>
          <w:sz w:val="28"/>
          <w:szCs w:val="28"/>
          <w:highlight w:val="none"/>
          <w:lang w:val="en-US" w:eastAsia="zh-CN" w:bidi="ar-SA"/>
        </w:rPr>
        <w:t>三</w:t>
      </w:r>
      <w:r>
        <w:rPr>
          <w:rFonts w:hint="eastAsia" w:ascii="宋体" w:hAnsi="宋体" w:eastAsia="宋体" w:cs="Times New Roman"/>
          <w:b/>
          <w:bCs/>
          <w:color w:val="auto"/>
          <w:kern w:val="2"/>
          <w:sz w:val="28"/>
          <w:szCs w:val="28"/>
          <w:highlight w:val="none"/>
          <w:lang w:val="en-US" w:eastAsia="zh-CN" w:bidi="ar-SA"/>
        </w:rPr>
        <w:t>条 回购价格</w:t>
      </w:r>
    </w:p>
    <w:p>
      <w:pPr>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配售型保障性住房回购价格按</w:t>
      </w:r>
      <w:r>
        <w:rPr>
          <w:rFonts w:hint="eastAsia" w:ascii="宋体" w:hAnsi="宋体" w:cs="Times New Roman"/>
          <w:color w:val="auto"/>
          <w:kern w:val="2"/>
          <w:sz w:val="28"/>
          <w:szCs w:val="28"/>
          <w:highlight w:val="none"/>
          <w:lang w:val="en-US" w:eastAsia="zh-CN" w:bidi="ar-SA"/>
        </w:rPr>
        <w:t>“首次配售价格+利息-房屋折旧”的原则核算，利息按照签订回购协议时国家公布的1年定期存款基准利率和房屋持有年限计算，不计复利；房屋折旧按照年折旧率2%的房屋持有年限计算</w:t>
      </w:r>
      <w:r>
        <w:rPr>
          <w:rFonts w:hint="eastAsia" w:ascii="宋体" w:hAnsi="宋体" w:eastAsia="宋体" w:cs="Times New Roman"/>
          <w:color w:val="auto"/>
          <w:kern w:val="2"/>
          <w:sz w:val="28"/>
          <w:szCs w:val="28"/>
          <w:highlight w:val="none"/>
          <w:lang w:val="en-US" w:eastAsia="zh-CN" w:bidi="ar-SA"/>
        </w:rPr>
        <w:t>。购房家庭（</w:t>
      </w:r>
      <w:r>
        <w:rPr>
          <w:rFonts w:hint="eastAsia" w:ascii="宋体" w:hAnsi="宋体" w:cs="Times New Roman"/>
          <w:color w:val="auto"/>
          <w:kern w:val="2"/>
          <w:sz w:val="28"/>
          <w:szCs w:val="28"/>
          <w:highlight w:val="none"/>
          <w:lang w:val="en-US" w:eastAsia="zh-CN" w:bidi="ar-SA"/>
        </w:rPr>
        <w:t>买受人</w:t>
      </w:r>
      <w:r>
        <w:rPr>
          <w:rFonts w:hint="eastAsia" w:ascii="宋体" w:hAnsi="宋体" w:eastAsia="宋体" w:cs="Times New Roman"/>
          <w:color w:val="auto"/>
          <w:kern w:val="2"/>
          <w:sz w:val="28"/>
          <w:szCs w:val="28"/>
          <w:highlight w:val="none"/>
          <w:lang w:val="en-US" w:eastAsia="zh-CN" w:bidi="ar-SA"/>
        </w:rPr>
        <w:t>、未作为共同产权人的配偶及其未成年子女）自行</w:t>
      </w:r>
      <w:r>
        <w:rPr>
          <w:rFonts w:hint="eastAsia" w:ascii="宋体" w:hAnsi="宋体" w:cs="Times New Roman"/>
          <w:color w:val="auto"/>
          <w:kern w:val="2"/>
          <w:sz w:val="28"/>
          <w:szCs w:val="28"/>
          <w:highlight w:val="none"/>
          <w:lang w:val="en-US" w:eastAsia="zh-CN" w:bidi="ar-SA"/>
        </w:rPr>
        <w:t>装饰</w:t>
      </w:r>
      <w:r>
        <w:rPr>
          <w:rFonts w:hint="eastAsia" w:ascii="宋体" w:hAnsi="宋体" w:eastAsia="宋体" w:cs="Times New Roman"/>
          <w:color w:val="auto"/>
          <w:kern w:val="2"/>
          <w:sz w:val="28"/>
          <w:szCs w:val="28"/>
          <w:highlight w:val="none"/>
          <w:lang w:val="en-US" w:eastAsia="zh-CN" w:bidi="ar-SA"/>
        </w:rPr>
        <w:t>装修费用不</w:t>
      </w:r>
      <w:r>
        <w:rPr>
          <w:rFonts w:hint="eastAsia" w:ascii="宋体" w:hAnsi="宋体" w:cs="Times New Roman"/>
          <w:color w:val="auto"/>
          <w:kern w:val="2"/>
          <w:sz w:val="28"/>
          <w:szCs w:val="28"/>
          <w:highlight w:val="none"/>
          <w:lang w:val="en-US" w:eastAsia="zh-CN" w:bidi="ar-SA"/>
        </w:rPr>
        <w:t>计算</w:t>
      </w:r>
      <w:r>
        <w:rPr>
          <w:rFonts w:hint="eastAsia" w:ascii="宋体" w:hAnsi="宋体" w:eastAsia="宋体" w:cs="Times New Roman"/>
          <w:color w:val="auto"/>
          <w:kern w:val="2"/>
          <w:sz w:val="28"/>
          <w:szCs w:val="28"/>
          <w:highlight w:val="none"/>
          <w:lang w:val="en-US" w:eastAsia="zh-CN" w:bidi="ar-SA"/>
        </w:rPr>
        <w:t>回购价格。</w:t>
      </w: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hint="eastAsia" w:ascii="黑体" w:hAnsi="宋体" w:eastAsia="黑体" w:cs="Times New Roman"/>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center"/>
        <w:textAlignment w:val="auto"/>
        <w:rPr>
          <w:rFonts w:ascii="黑体" w:hAnsi="宋体" w:eastAsia="黑体" w:cs="Times New Roman"/>
          <w:color w:val="auto"/>
          <w:kern w:val="2"/>
          <w:sz w:val="28"/>
          <w:szCs w:val="28"/>
          <w:highlight w:val="none"/>
          <w:lang w:val="en-US" w:eastAsia="zh-CN" w:bidi="ar-SA"/>
        </w:rPr>
      </w:pPr>
      <w:r>
        <w:rPr>
          <w:rFonts w:hint="eastAsia" w:ascii="黑体" w:hAnsi="宋体" w:eastAsia="黑体" w:cs="Times New Roman"/>
          <w:color w:val="auto"/>
          <w:kern w:val="2"/>
          <w:sz w:val="28"/>
          <w:szCs w:val="28"/>
          <w:highlight w:val="none"/>
          <w:lang w:val="en-US" w:eastAsia="zh-CN" w:bidi="ar-SA"/>
        </w:rPr>
        <w:t>第九章  其他事项</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 xml:space="preserve">第二十四条 </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建筑物区分所有权</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（一）买受人对其建筑物专有部分享有占有、使用、收益和处分的权利。</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（二）以下部位归业主共有：</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1.建筑物的基础、承重结构、外墙、屋顶等基本结构部分，通道、楼梯、大堂等公共通行部分，消防、公共照明等附属设施、设备，避难层、设备层或者设备间等结构部分；</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该住房所在建筑区划内的道路（属于城镇公共道路的除外）、绿地（属于城镇公共绿地或者明示属于个人的除外）、占用业主共有的道路或者其他场地用于停放汽车的车位、其他公共场所、公用设施和物业服务用房；</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u w:val="single"/>
          <w:lang w:val="en-US" w:eastAsia="zh-CN" w:bidi="ar-SA"/>
        </w:rPr>
      </w:pPr>
      <w:r>
        <w:rPr>
          <w:rFonts w:hint="eastAsia" w:ascii="宋体" w:hAnsi="宋体" w:eastAsia="宋体" w:cs="Times New Roman"/>
          <w:color w:val="auto"/>
          <w:kern w:val="2"/>
          <w:sz w:val="28"/>
          <w:szCs w:val="28"/>
          <w:highlight w:val="none"/>
          <w:lang w:val="en-US" w:eastAsia="zh-CN" w:bidi="ar-SA"/>
        </w:rPr>
        <w:t>3.</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（三）双方对其他配套设施约定如下：</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1.规划的车位、车库：</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2.会所：</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第二十五条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税费</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双方应当按照国家的有关规定，向相应部门缴纳因该住房买卖发生的税费。因合同约定面积与实测面积差异，导致买受人不能享受税收优惠政策而增加的税收负担，由</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承担。</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第二十六条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配售和使用承诺</w:t>
      </w:r>
      <w:r>
        <w:rPr>
          <w:rFonts w:ascii="宋体" w:hAnsi="宋体" w:eastAsia="宋体" w:cs="Times New Roman"/>
          <w:b/>
          <w:color w:val="auto"/>
          <w:kern w:val="2"/>
          <w:sz w:val="28"/>
          <w:szCs w:val="28"/>
          <w:highlight w:val="none"/>
          <w:lang w:val="en-US" w:eastAsia="zh-CN" w:bidi="ar-SA"/>
        </w:rPr>
        <w:t xml:space="preserve"> </w:t>
      </w:r>
    </w:p>
    <w:p>
      <w:pPr>
        <w:pStyle w:val="2"/>
        <w:tabs>
          <w:tab w:val="left" w:pos="1155"/>
        </w:tabs>
        <w:spacing w:line="460" w:lineRule="exact"/>
        <w:ind w:firstLine="560" w:firstLineChars="200"/>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olor w:val="auto"/>
          <w:sz w:val="28"/>
          <w:szCs w:val="28"/>
          <w:highlight w:val="none"/>
          <w:lang w:val="en-US" w:eastAsia="zh-CN"/>
        </w:rPr>
        <w:t>1</w:t>
      </w:r>
      <w:r>
        <w:rPr>
          <w:rFonts w:hint="eastAsia" w:ascii="宋体" w:hAnsi="宋体" w:eastAsia="宋体"/>
          <w:color w:val="auto"/>
          <w:sz w:val="28"/>
          <w:szCs w:val="28"/>
          <w:highlight w:val="none"/>
          <w:lang w:eastAsia="zh-CN"/>
        </w:rPr>
        <w:t>.出卖人承诺按照《宜昌市配售型保障性住房管理办法》相关要求进行配售、办理</w:t>
      </w:r>
      <w:r>
        <w:rPr>
          <w:rFonts w:hint="eastAsia" w:ascii="宋体" w:hAnsi="宋体" w:eastAsia="宋体"/>
          <w:color w:val="auto"/>
          <w:sz w:val="28"/>
          <w:szCs w:val="28"/>
          <w:highlight w:val="none"/>
          <w:u w:val="none"/>
          <w:lang w:eastAsia="zh-CN"/>
        </w:rPr>
        <w:t>不动产</w:t>
      </w:r>
      <w:r>
        <w:rPr>
          <w:rFonts w:hint="eastAsia" w:ascii="宋体" w:hAnsi="宋体" w:eastAsia="宋体"/>
          <w:color w:val="auto"/>
          <w:sz w:val="28"/>
          <w:szCs w:val="28"/>
          <w:highlight w:val="none"/>
          <w:lang w:eastAsia="zh-CN"/>
        </w:rPr>
        <w:t>登记，不擅自改变该房屋使用性质。不擅自改变与该房屋有关的共用部位和设施的使用性质。</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w:t>
      </w:r>
      <w:r>
        <w:rPr>
          <w:rFonts w:ascii="宋体" w:hAnsi="宋体" w:eastAsia="宋体" w:cs="Times New Roman"/>
          <w:color w:val="auto"/>
          <w:kern w:val="2"/>
          <w:sz w:val="28"/>
          <w:szCs w:val="28"/>
          <w:highlight w:val="none"/>
          <w:lang w:val="en-US" w:eastAsia="zh-CN" w:bidi="ar-SA"/>
        </w:rPr>
        <w:t>出卖人承诺不采取分割拆零销售、返本销售或者变相返本销售</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lang w:val="en-US" w:eastAsia="zh-CN" w:bidi="ar-SA"/>
        </w:rPr>
        <w:t>售后包租或者变相售后包租的方式销售</w:t>
      </w:r>
      <w:r>
        <w:rPr>
          <w:rFonts w:hint="eastAsia" w:ascii="宋体" w:hAnsi="宋体" w:eastAsia="宋体" w:cs="Times New Roman"/>
          <w:color w:val="auto"/>
          <w:kern w:val="2"/>
          <w:sz w:val="28"/>
          <w:szCs w:val="28"/>
          <w:highlight w:val="none"/>
          <w:lang w:val="en-US" w:eastAsia="zh-CN" w:bidi="ar-SA"/>
        </w:rPr>
        <w:t>配售型保障性住房</w:t>
      </w:r>
      <w:r>
        <w:rPr>
          <w:rFonts w:ascii="宋体" w:hAnsi="宋体" w:eastAsia="宋体" w:cs="Times New Roman"/>
          <w:color w:val="auto"/>
          <w:kern w:val="2"/>
          <w:sz w:val="28"/>
          <w:szCs w:val="28"/>
          <w:highlight w:val="none"/>
          <w:lang w:val="en-US" w:eastAsia="zh-CN" w:bidi="ar-SA"/>
        </w:rPr>
        <w:t>。</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2.出卖人承诺按照规划用途进行建设和出售，不改变配售型保障性住房使用性质，并按照规划用途办理</w:t>
      </w:r>
      <w:r>
        <w:rPr>
          <w:rFonts w:hint="eastAsia" w:ascii="宋体" w:hAnsi="宋体" w:eastAsia="宋体" w:cs="Times New Roman"/>
          <w:color w:val="auto"/>
          <w:kern w:val="2"/>
          <w:sz w:val="28"/>
          <w:szCs w:val="28"/>
          <w:highlight w:val="none"/>
          <w:u w:val="none"/>
          <w:lang w:val="en-US" w:eastAsia="zh-CN" w:bidi="ar-SA"/>
        </w:rPr>
        <w:t>不动产</w:t>
      </w:r>
      <w:r>
        <w:rPr>
          <w:rFonts w:hint="eastAsia" w:ascii="宋体" w:hAnsi="宋体" w:eastAsia="宋体" w:cs="Times New Roman"/>
          <w:color w:val="auto"/>
          <w:kern w:val="2"/>
          <w:sz w:val="28"/>
          <w:szCs w:val="28"/>
          <w:highlight w:val="none"/>
          <w:lang w:val="en-US" w:eastAsia="zh-CN" w:bidi="ar-SA"/>
        </w:rPr>
        <w:t>登记。出卖人不得擅自改变与该配售型保障性住房有关的共用部位和设施的使用性质。</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3.出卖人承诺对住房的销售，不涉及依法或者依规划属于买受人共有的共用部位和设施的处分。</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4.出卖人承诺已将规划区内可能对买受人日常生活造成负面影响的各项不利因素告知买受人。具体内容见附件十一。</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5.买受人使用该住房期间，不得擅自改变该住房的用途、建筑主体结构和承重结构。</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6.</w:t>
      </w:r>
      <w:r>
        <w:rPr>
          <w:rFonts w:ascii="宋体" w:hAnsi="宋体" w:eastAsia="宋体" w:cs="Times New Roman"/>
          <w:color w:val="auto"/>
          <w:kern w:val="2"/>
          <w:sz w:val="28"/>
          <w:szCs w:val="28"/>
          <w:highlight w:val="none"/>
          <w:lang w:val="en-US" w:eastAsia="zh-CN" w:bidi="ar-SA"/>
        </w:rPr>
        <w:t>出卖人保证</w:t>
      </w:r>
      <w:r>
        <w:rPr>
          <w:rFonts w:hint="eastAsia" w:ascii="宋体" w:hAnsi="宋体" w:eastAsia="宋体" w:cs="Times New Roman"/>
          <w:color w:val="auto"/>
          <w:kern w:val="2"/>
          <w:sz w:val="28"/>
          <w:szCs w:val="28"/>
          <w:highlight w:val="none"/>
          <w:lang w:val="en-US" w:eastAsia="zh-CN" w:bidi="ar-SA"/>
        </w:rPr>
        <w:t>配售的住房</w:t>
      </w:r>
      <w:r>
        <w:rPr>
          <w:rFonts w:ascii="宋体" w:hAnsi="宋体" w:eastAsia="宋体" w:cs="Times New Roman"/>
          <w:color w:val="auto"/>
          <w:kern w:val="2"/>
          <w:sz w:val="28"/>
          <w:szCs w:val="28"/>
          <w:highlight w:val="none"/>
          <w:lang w:val="en-US" w:eastAsia="zh-CN" w:bidi="ar-SA"/>
        </w:rPr>
        <w:t>没有产权纠纷。因出卖人原因，造成该</w:t>
      </w:r>
      <w:r>
        <w:rPr>
          <w:rFonts w:hint="eastAsia" w:ascii="宋体" w:hAnsi="宋体" w:eastAsia="宋体" w:cs="Times New Roman"/>
          <w:color w:val="auto"/>
          <w:kern w:val="2"/>
          <w:sz w:val="28"/>
          <w:szCs w:val="28"/>
          <w:highlight w:val="none"/>
          <w:lang w:val="en-US" w:eastAsia="zh-CN" w:bidi="ar-SA"/>
        </w:rPr>
        <w:t>住房</w:t>
      </w:r>
      <w:r>
        <w:rPr>
          <w:rFonts w:ascii="宋体" w:hAnsi="宋体" w:eastAsia="宋体" w:cs="Times New Roman"/>
          <w:color w:val="auto"/>
          <w:kern w:val="2"/>
          <w:sz w:val="28"/>
          <w:szCs w:val="28"/>
          <w:highlight w:val="none"/>
          <w:lang w:val="en-US" w:eastAsia="zh-CN" w:bidi="ar-SA"/>
        </w:rPr>
        <w:t>不能办</w:t>
      </w:r>
      <w:r>
        <w:rPr>
          <w:rFonts w:ascii="宋体" w:hAnsi="宋体" w:eastAsia="宋体" w:cs="Times New Roman"/>
          <w:color w:val="auto"/>
          <w:kern w:val="2"/>
          <w:sz w:val="28"/>
          <w:szCs w:val="28"/>
          <w:highlight w:val="none"/>
          <w:u w:val="none"/>
          <w:lang w:val="en-US" w:eastAsia="zh-CN" w:bidi="ar-SA"/>
        </w:rPr>
        <w:t>理</w:t>
      </w:r>
      <w:r>
        <w:rPr>
          <w:rFonts w:hint="eastAsia" w:ascii="宋体" w:hAnsi="宋体" w:eastAsia="宋体" w:cs="Times New Roman"/>
          <w:color w:val="auto"/>
          <w:kern w:val="2"/>
          <w:sz w:val="28"/>
          <w:szCs w:val="28"/>
          <w:highlight w:val="none"/>
          <w:u w:val="none"/>
          <w:lang w:val="en-US" w:eastAsia="zh-CN" w:bidi="ar-SA"/>
        </w:rPr>
        <w:t>不动产</w:t>
      </w:r>
      <w:r>
        <w:rPr>
          <w:rFonts w:ascii="宋体" w:hAnsi="宋体" w:eastAsia="宋体" w:cs="Times New Roman"/>
          <w:color w:val="auto"/>
          <w:kern w:val="2"/>
          <w:sz w:val="28"/>
          <w:szCs w:val="28"/>
          <w:highlight w:val="none"/>
          <w:lang w:val="en-US" w:eastAsia="zh-CN" w:bidi="ar-SA"/>
        </w:rPr>
        <w:t>登记，由出卖人承担全部责任</w:t>
      </w:r>
      <w:r>
        <w:rPr>
          <w:rFonts w:hint="eastAsia" w:ascii="宋体" w:hAnsi="宋体" w:eastAsia="宋体" w:cs="Times New Roman"/>
          <w:color w:val="auto"/>
          <w:kern w:val="2"/>
          <w:sz w:val="28"/>
          <w:szCs w:val="28"/>
          <w:highlight w:val="none"/>
          <w:lang w:val="en-US" w:eastAsia="zh-CN" w:bidi="ar-SA"/>
        </w:rPr>
        <w:t>，买受人可以要求解除合同，并赔偿损失。</w:t>
      </w:r>
    </w:p>
    <w:p>
      <w:pPr>
        <w:pStyle w:val="2"/>
        <w:keepNext w:val="0"/>
        <w:keepLines w:val="0"/>
        <w:pageBreakBefore w:val="0"/>
        <w:tabs>
          <w:tab w:val="left" w:pos="1155"/>
        </w:tabs>
        <w:kinsoku/>
        <w:wordWrap/>
        <w:overflowPunct/>
        <w:topLinePunct w:val="0"/>
        <w:bidi w:val="0"/>
        <w:adjustRightInd w:val="0"/>
        <w:snapToGrid/>
        <w:spacing w:before="0" w:line="460" w:lineRule="exact"/>
        <w:ind w:left="0" w:firstLine="560" w:firstLineChars="200"/>
        <w:jc w:val="both"/>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7.出卖人擅自向未取得配售型保障性住房申请资格的家庭出售配售型保障性住房、擅自调整配售型保障性住房配售价格，或出现其他违反《宜昌市配售型保障性住房管理办法》行为的，主动接受住房保障、市场监管等相关部门处罚。</w:t>
      </w:r>
    </w:p>
    <w:p>
      <w:pPr>
        <w:pStyle w:val="2"/>
        <w:keepNext w:val="0"/>
        <w:keepLines w:val="0"/>
        <w:pageBreakBefore w:val="0"/>
        <w:tabs>
          <w:tab w:val="left" w:pos="1155"/>
        </w:tabs>
        <w:kinsoku/>
        <w:wordWrap/>
        <w:overflowPunct/>
        <w:topLinePunct w:val="0"/>
        <w:bidi w:val="0"/>
        <w:adjustRightInd w:val="0"/>
        <w:snapToGrid/>
        <w:spacing w:before="0" w:line="460" w:lineRule="exact"/>
        <w:ind w:left="0" w:firstLine="560" w:firstLineChars="200"/>
        <w:jc w:val="both"/>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8.买受人承诺若以瞒报信息、弄虚作假等手段骗取配售型保障性住房的，由出卖人解除合同、收回房屋，并按照</w:t>
      </w:r>
      <w:r>
        <w:rPr>
          <w:rFonts w:hint="eastAsia" w:hAnsi="宋体" w:eastAsia="宋体" w:cs="宋体"/>
          <w:color w:val="auto"/>
          <w:sz w:val="28"/>
          <w:szCs w:val="28"/>
          <w:highlight w:val="none"/>
          <w:u w:val="single"/>
          <w:lang w:val="en-US" w:eastAsia="zh-CN"/>
        </w:rPr>
        <w:t>*</w:t>
      </w:r>
      <w:r>
        <w:rPr>
          <w:rFonts w:hint="eastAsia" w:ascii="宋体" w:hAnsi="宋体" w:eastAsia="宋体"/>
          <w:color w:val="auto"/>
          <w:sz w:val="28"/>
          <w:szCs w:val="28"/>
          <w:highlight w:val="none"/>
          <w:u w:val="single"/>
          <w:lang w:eastAsia="zh-CN"/>
        </w:rPr>
        <w:t xml:space="preserve">   </w:t>
      </w:r>
      <w:r>
        <w:rPr>
          <w:rFonts w:ascii="宋体" w:hAnsi="宋体" w:eastAsia="宋体"/>
          <w:color w:val="auto"/>
          <w:sz w:val="28"/>
          <w:szCs w:val="28"/>
          <w:highlight w:val="none"/>
          <w:u w:val="single"/>
          <w:lang w:eastAsia="zh-CN"/>
        </w:rPr>
        <w:t xml:space="preserve"> </w:t>
      </w:r>
      <w:r>
        <w:rPr>
          <w:rFonts w:hint="eastAsia" w:ascii="宋体" w:hAnsi="宋体" w:eastAsia="宋体"/>
          <w:color w:val="auto"/>
          <w:sz w:val="28"/>
          <w:szCs w:val="28"/>
          <w:highlight w:val="none"/>
          <w:u w:val="none"/>
          <w:lang w:eastAsia="zh-CN"/>
        </w:rPr>
        <w:t>方式追究违约责任。自发现之日起</w:t>
      </w:r>
      <w:r>
        <w:rPr>
          <w:rFonts w:hint="eastAsia" w:ascii="宋体" w:hAnsi="宋体" w:eastAsia="宋体"/>
          <w:color w:val="auto"/>
          <w:sz w:val="28"/>
          <w:szCs w:val="28"/>
          <w:highlight w:val="none"/>
          <w:u w:val="none"/>
          <w:lang w:val="en-US" w:eastAsia="zh-CN"/>
        </w:rPr>
        <w:t>5年内不得再次申请购买配售型保障性住房。</w:t>
      </w:r>
    </w:p>
    <w:p>
      <w:pPr>
        <w:keepNext w:val="0"/>
        <w:keepLines w:val="0"/>
        <w:pageBreakBefore w:val="0"/>
        <w:widowControl w:val="0"/>
        <w:tabs>
          <w:tab w:val="left" w:pos="1155"/>
        </w:tabs>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9.</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第二十七条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送达</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出卖人和买受人保证在本合同中记载的通讯地址、联系电话均真实有效。任何根据本合同发出的文件，均应采用书面形式，以【邮政快递】【邮寄挂号信】【</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】方式送达对方。任何一方变更通讯地址、联系电话的，应在变更之日起</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日内书面通知对方。变更的一方未履行通知义务导致送达不能的，应承担相应的法律责任。</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第二十八条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买受人信息保护</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出卖人对买受人信息负有保密义务。非因法律、法规规定或国家安全机关、公安机关、检察机关、审判机关、纪检监察部门执行公务的需要，未经买受人书面同意，出卖人及其销售人员和相关工作人员不得对外披露买受人信息，或将买受人信息用于履行本合同之外的其他用途。</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第二十九条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争议解决方式</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本合同在履行过程中发生的争议，由双方当事人协商解决，也可通过消费者协会等相关机构调解；经当事人和解、调解后争议仍无法解决或者未就先行调解达成一致的，按照下列第</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种方式解决：</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1.提交</w:t>
      </w:r>
      <w:r>
        <w:rPr>
          <w:rFonts w:hint="eastAsia"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仲裁委员会仲裁。</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2.依法向房屋所在地人民法院起诉。</w:t>
      </w:r>
    </w:p>
    <w:p>
      <w:pPr>
        <w:keepNext w:val="0"/>
        <w:keepLines w:val="0"/>
        <w:pageBreakBefore w:val="0"/>
        <w:widowControl w:val="0"/>
        <w:kinsoku/>
        <w:wordWrap/>
        <w:overflowPunct/>
        <w:topLinePunct w:val="0"/>
        <w:bidi w:val="0"/>
        <w:adjustRightInd w:val="0"/>
        <w:snapToGrid/>
        <w:spacing w:before="0" w:line="500" w:lineRule="exact"/>
        <w:ind w:left="0" w:firstLine="562" w:firstLineChars="200"/>
        <w:jc w:val="both"/>
        <w:textAlignment w:val="auto"/>
        <w:rPr>
          <w:rFonts w:ascii="宋体" w:hAnsi="宋体" w:eastAsia="宋体" w:cs="Times New Roman"/>
          <w:b/>
          <w:color w:val="auto"/>
          <w:kern w:val="2"/>
          <w:sz w:val="28"/>
          <w:szCs w:val="28"/>
          <w:highlight w:val="none"/>
          <w:lang w:val="en-US" w:eastAsia="zh-CN" w:bidi="ar-SA"/>
        </w:rPr>
      </w:pPr>
      <w:r>
        <w:rPr>
          <w:rFonts w:hint="eastAsia" w:ascii="宋体" w:hAnsi="宋体" w:eastAsia="宋体" w:cs="Times New Roman"/>
          <w:b/>
          <w:color w:val="auto"/>
          <w:kern w:val="2"/>
          <w:sz w:val="28"/>
          <w:szCs w:val="28"/>
          <w:highlight w:val="none"/>
          <w:lang w:val="en-US" w:eastAsia="zh-CN" w:bidi="ar-SA"/>
        </w:rPr>
        <w:t>第三十条</w:t>
      </w:r>
      <w:r>
        <w:rPr>
          <w:rFonts w:ascii="宋体" w:hAnsi="宋体" w:eastAsia="宋体" w:cs="Times New Roman"/>
          <w:b/>
          <w:color w:val="auto"/>
          <w:kern w:val="2"/>
          <w:sz w:val="28"/>
          <w:szCs w:val="28"/>
          <w:highlight w:val="none"/>
          <w:lang w:val="en-US" w:eastAsia="zh-CN" w:bidi="ar-SA"/>
        </w:rPr>
        <w:t xml:space="preserve"> </w:t>
      </w:r>
      <w:r>
        <w:rPr>
          <w:rFonts w:hint="eastAsia" w:ascii="宋体" w:hAnsi="宋体" w:eastAsia="宋体" w:cs="Times New Roman"/>
          <w:b/>
          <w:color w:val="auto"/>
          <w:kern w:val="2"/>
          <w:sz w:val="28"/>
          <w:szCs w:val="28"/>
          <w:highlight w:val="none"/>
          <w:lang w:val="en-US" w:eastAsia="zh-CN" w:bidi="ar-SA"/>
        </w:rPr>
        <w:t xml:space="preserve"> 合同生效</w:t>
      </w:r>
    </w:p>
    <w:p>
      <w:pPr>
        <w:keepNext w:val="0"/>
        <w:keepLines w:val="0"/>
        <w:pageBreakBefore w:val="0"/>
        <w:widowControl w:val="0"/>
        <w:kinsoku/>
        <w:wordWrap/>
        <w:overflowPunct/>
        <w:topLinePunct w:val="0"/>
        <w:bidi w:val="0"/>
        <w:adjustRightInd w:val="0"/>
        <w:snapToGrid/>
        <w:spacing w:before="0" w:line="500" w:lineRule="exact"/>
        <w:ind w:left="0" w:firstLine="536" w:firstLineChars="200"/>
        <w:jc w:val="both"/>
        <w:textAlignment w:val="auto"/>
        <w:rPr>
          <w:rFonts w:ascii="宋体" w:hAnsi="宋体" w:eastAsia="宋体" w:cs="Times New Roman"/>
          <w:color w:val="auto"/>
          <w:spacing w:val="-6"/>
          <w:kern w:val="2"/>
          <w:sz w:val="28"/>
          <w:szCs w:val="28"/>
          <w:highlight w:val="none"/>
          <w:lang w:val="en-US" w:eastAsia="zh-CN" w:bidi="ar-SA"/>
        </w:rPr>
      </w:pPr>
      <w:r>
        <w:rPr>
          <w:rFonts w:hint="eastAsia" w:ascii="宋体" w:hAnsi="宋体" w:eastAsia="宋体" w:cs="Times New Roman"/>
          <w:color w:val="auto"/>
          <w:spacing w:val="-6"/>
          <w:kern w:val="2"/>
          <w:sz w:val="28"/>
          <w:szCs w:val="28"/>
          <w:highlight w:val="none"/>
          <w:lang w:val="en-US" w:eastAsia="zh-CN" w:bidi="ar-SA"/>
        </w:rPr>
        <w:t>本合同自双方签字或盖章之日起生效。本合同的解除应当采用书面形式。</w:t>
      </w:r>
    </w:p>
    <w:p>
      <w:pPr>
        <w:keepNext w:val="0"/>
        <w:keepLines w:val="0"/>
        <w:pageBreakBefore w:val="0"/>
        <w:widowControl w:val="0"/>
        <w:kinsoku/>
        <w:wordWrap/>
        <w:overflowPunct/>
        <w:topLinePunct w:val="0"/>
        <w:bidi w:val="0"/>
        <w:adjustRightInd w:val="0"/>
        <w:snapToGrid/>
        <w:spacing w:before="0" w:line="500" w:lineRule="exact"/>
        <w:ind w:left="0" w:firstLine="560" w:firstLineChars="200"/>
        <w:jc w:val="both"/>
        <w:textAlignment w:val="auto"/>
        <w:rPr>
          <w:rFonts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本合同及附件共</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页，一式</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份，其中出卖人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份，买受人</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份，【</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份，【</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w:t>
      </w:r>
      <w:r>
        <w:rPr>
          <w:rFonts w:ascii="宋体" w:hAnsi="宋体" w:eastAsia="宋体" w:cs="Times New Roman"/>
          <w:color w:val="auto"/>
          <w:kern w:val="2"/>
          <w:sz w:val="28"/>
          <w:szCs w:val="28"/>
          <w:highlight w:val="none"/>
          <w:u w:val="single"/>
          <w:lang w:val="en-US" w:eastAsia="zh-CN" w:bidi="ar-SA"/>
        </w:rPr>
        <w:t>_</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u w:val="single"/>
          <w:lang w:val="en-US" w:eastAsia="zh-CN" w:bidi="ar-SA"/>
        </w:rPr>
        <w:t xml:space="preserve">   </w:t>
      </w:r>
      <w:r>
        <w:rPr>
          <w:rFonts w:ascii="宋体" w:hAnsi="宋体" w:eastAsia="宋体" w:cs="Times New Roman"/>
          <w:color w:val="auto"/>
          <w:kern w:val="2"/>
          <w:sz w:val="28"/>
          <w:szCs w:val="28"/>
          <w:highlight w:val="none"/>
          <w:u w:val="single"/>
          <w:lang w:val="en-US" w:eastAsia="zh-CN" w:bidi="ar-SA"/>
        </w:rPr>
        <w:t xml:space="preserve"> </w:t>
      </w:r>
      <w:r>
        <w:rPr>
          <w:rFonts w:hint="eastAsia" w:ascii="宋体" w:hAnsi="宋体" w:eastAsia="宋体" w:cs="Times New Roman"/>
          <w:color w:val="auto"/>
          <w:kern w:val="2"/>
          <w:sz w:val="28"/>
          <w:szCs w:val="28"/>
          <w:highlight w:val="none"/>
          <w:lang w:val="en-US" w:eastAsia="zh-CN" w:bidi="ar-SA"/>
        </w:rPr>
        <w:t>份。合同附件与本合同具有同等法律效力。</w:t>
      </w:r>
    </w:p>
    <w:p>
      <w:pPr>
        <w:keepNext w:val="0"/>
        <w:keepLines w:val="0"/>
        <w:pageBreakBefore w:val="0"/>
        <w:widowControl w:val="0"/>
        <w:kinsoku/>
        <w:wordWrap/>
        <w:overflowPunct/>
        <w:topLinePunct w:val="0"/>
        <w:bidi w:val="0"/>
        <w:adjustRightInd w:val="0"/>
        <w:snapToGrid/>
        <w:spacing w:before="0" w:line="500" w:lineRule="exact"/>
        <w:jc w:val="both"/>
        <w:textAlignment w:val="auto"/>
        <w:rPr>
          <w:rFonts w:ascii="宋体" w:hAnsi="宋体" w:eastAsia="宋体" w:cs="Times New Roman"/>
          <w:color w:val="auto"/>
          <w:kern w:val="2"/>
          <w:sz w:val="28"/>
          <w:szCs w:val="28"/>
          <w:highlight w:val="none"/>
          <w:lang w:val="en-US" w:eastAsia="zh-CN" w:bidi="ar-SA"/>
        </w:rPr>
      </w:pPr>
    </w:p>
    <w:p>
      <w:pPr>
        <w:widowControl/>
        <w:jc w:val="left"/>
        <w:rPr>
          <w:rFonts w:ascii="宋体" w:hAnsi="宋体" w:eastAsia="宋体" w:cs="Times New Roman"/>
          <w:color w:val="auto"/>
          <w:sz w:val="28"/>
          <w:szCs w:val="28"/>
          <w:highlight w:val="none"/>
          <w:lang w:eastAsia="zh-CN"/>
        </w:rPr>
      </w:pPr>
      <w:r>
        <w:rPr>
          <w:rFonts w:ascii="宋体" w:hAnsi="宋体" w:cs="Times New Roman"/>
          <w:color w:val="auto"/>
          <w:sz w:val="28"/>
          <w:szCs w:val="28"/>
          <w:highlight w:val="none"/>
        </w:rPr>
        <w:br w:type="page"/>
      </w:r>
    </w:p>
    <w:p>
      <w:pPr>
        <w:keepNext w:val="0"/>
        <w:keepLines w:val="0"/>
        <w:pageBreakBefore w:val="0"/>
        <w:widowControl w:val="0"/>
        <w:kinsoku/>
        <w:wordWrap/>
        <w:overflowPunct/>
        <w:topLinePunct w:val="0"/>
        <w:bidi w:val="0"/>
        <w:adjustRightInd w:val="0"/>
        <w:snapToGrid/>
        <w:spacing w:before="0" w:line="500" w:lineRule="exact"/>
        <w:ind w:left="0" w:firstLine="120" w:firstLineChars="50"/>
        <w:jc w:val="both"/>
        <w:textAlignment w:val="auto"/>
        <w:rPr>
          <w:rFonts w:ascii="宋体" w:hAnsi="宋体" w:eastAsia="宋体" w:cs="Times New Roman"/>
          <w:color w:val="auto"/>
          <w:spacing w:val="-20"/>
          <w:kern w:val="2"/>
          <w:sz w:val="28"/>
          <w:szCs w:val="28"/>
          <w:highlight w:val="none"/>
          <w:lang w:val="en-US" w:eastAsia="zh-CN" w:bidi="ar-SA"/>
        </w:rPr>
      </w:pPr>
      <w:r>
        <w:rPr>
          <w:rFonts w:hint="eastAsia" w:ascii="宋体" w:hAnsi="宋体" w:eastAsia="宋体" w:cs="Times New Roman"/>
          <w:color w:val="auto"/>
          <w:spacing w:val="-20"/>
          <w:kern w:val="2"/>
          <w:sz w:val="28"/>
          <w:szCs w:val="28"/>
          <w:highlight w:val="none"/>
          <w:lang w:val="en-US" w:eastAsia="zh-CN" w:bidi="ar-SA"/>
        </w:rPr>
        <w:t>出卖人（签字或盖章）：</w:t>
      </w:r>
      <w:r>
        <w:rPr>
          <w:rFonts w:hint="eastAsia" w:ascii="Times New Roman" w:hAnsi="宋体" w:eastAsia="宋体" w:cs="宋体"/>
          <w:color w:val="auto"/>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买受人（签字或盖章）：</w:t>
      </w:r>
      <w:r>
        <w:rPr>
          <w:rFonts w:hint="eastAsia" w:ascii="Times New Roman" w:hAnsi="宋体" w:eastAsia="宋体" w:cs="宋体"/>
          <w:color w:val="auto"/>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hint="default" w:ascii="宋体" w:hAnsi="宋体" w:eastAsia="宋体" w:cs="Times New Roman"/>
          <w:color w:val="auto"/>
          <w:spacing w:val="-20"/>
          <w:kern w:val="2"/>
          <w:sz w:val="28"/>
          <w:szCs w:val="28"/>
          <w:highlight w:val="none"/>
          <w:lang w:val="en-US" w:eastAsia="zh-CN" w:bidi="ar-SA"/>
        </w:rPr>
      </w:pPr>
      <w:r>
        <w:rPr>
          <w:rFonts w:hint="eastAsia" w:ascii="宋体" w:hAnsi="宋体" w:eastAsia="宋体" w:cs="Times New Roman"/>
          <w:color w:val="auto"/>
          <w:spacing w:val="-20"/>
          <w:kern w:val="2"/>
          <w:sz w:val="28"/>
          <w:szCs w:val="28"/>
          <w:highlight w:val="none"/>
          <w:lang w:val="en-US" w:eastAsia="zh-CN" w:bidi="ar-SA"/>
        </w:rPr>
        <w:t>【法定代表人】（签字或盖章）：</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【法定代表人】（签字或盖章）：</w:t>
      </w:r>
      <w:r>
        <w:rPr>
          <w:rFonts w:hint="eastAsia" w:ascii="宋体" w:hAnsi="宋体" w:eastAsia="宋体" w:cs="Times New Roman"/>
          <w:color w:val="auto"/>
          <w:spacing w:val="-20"/>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ascii="宋体" w:hAnsi="宋体" w:eastAsia="宋体" w:cs="Times New Roman"/>
          <w:color w:val="auto"/>
          <w:spacing w:val="-20"/>
          <w:kern w:val="2"/>
          <w:sz w:val="28"/>
          <w:szCs w:val="28"/>
          <w:highlight w:val="none"/>
          <w:lang w:val="en-US" w:eastAsia="zh-CN" w:bidi="ar-SA"/>
        </w:rPr>
      </w:pPr>
      <w:r>
        <w:rPr>
          <w:rFonts w:hint="eastAsia" w:ascii="宋体" w:hAnsi="宋体" w:eastAsia="宋体" w:cs="Times New Roman"/>
          <w:color w:val="auto"/>
          <w:spacing w:val="-20"/>
          <w:kern w:val="2"/>
          <w:sz w:val="28"/>
          <w:szCs w:val="28"/>
          <w:highlight w:val="none"/>
          <w:lang w:val="en-US" w:eastAsia="zh-CN" w:bidi="ar-SA"/>
        </w:rPr>
        <w:t>【委托代理人】（签字或盖章）：</w:t>
      </w:r>
      <w:r>
        <w:rPr>
          <w:rFonts w:hint="eastAsia" w:ascii="宋体" w:hAnsi="宋体" w:eastAsia="宋体" w:cs="Times New Roman"/>
          <w:color w:val="auto"/>
          <w:spacing w:val="-20"/>
          <w:kern w:val="2"/>
          <w:sz w:val="28"/>
          <w:szCs w:val="28"/>
          <w:highlight w:val="none"/>
          <w:u w:val="singl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leftChars="0" w:firstLine="240" w:firstLineChars="100"/>
        <w:jc w:val="both"/>
        <w:textAlignment w:val="auto"/>
        <w:rPr>
          <w:rFonts w:ascii="宋体" w:hAnsi="宋体" w:eastAsia="宋体" w:cs="Times New Roman"/>
          <w:color w:val="auto"/>
          <w:spacing w:val="-20"/>
          <w:kern w:val="2"/>
          <w:sz w:val="28"/>
          <w:szCs w:val="28"/>
          <w:highlight w:val="none"/>
          <w:lang w:val="en-US" w:eastAsia="zh-CN" w:bidi="ar-SA"/>
        </w:rPr>
      </w:pPr>
      <w:r>
        <w:rPr>
          <w:rFonts w:hint="eastAsia" w:ascii="宋体" w:hAnsi="宋体" w:eastAsia="宋体"/>
          <w:color w:val="auto"/>
          <w:spacing w:val="-20"/>
          <w:sz w:val="28"/>
          <w:szCs w:val="28"/>
          <w:highlight w:val="none"/>
          <w:lang w:eastAsia="zh-CN"/>
        </w:rPr>
        <w:t>联系电话：</w:t>
      </w:r>
      <w:r>
        <w:rPr>
          <w:rFonts w:hint="eastAsia" w:hAnsi="宋体" w:eastAsia="宋体" w:cs="宋体"/>
          <w:color w:val="auto"/>
          <w:sz w:val="28"/>
          <w:szCs w:val="28"/>
          <w:highlight w:val="none"/>
          <w:u w:val="single"/>
          <w:lang w:val="en-US" w:eastAsia="zh-CN"/>
        </w:rPr>
        <w:t>*</w:t>
      </w:r>
      <w:r>
        <w:rPr>
          <w:rFonts w:hint="eastAsia" w:ascii="宋体" w:hAnsi="宋体" w:eastAsia="宋体"/>
          <w:color w:val="auto"/>
          <w:spacing w:val="-20"/>
          <w:sz w:val="28"/>
          <w:szCs w:val="28"/>
          <w:highlight w:val="none"/>
          <w:u w:val="single"/>
          <w:lang w:val="en-US" w:eastAsia="zh-CN"/>
        </w:rPr>
        <w:t xml:space="preserve">                             </w:t>
      </w:r>
      <w:r>
        <w:rPr>
          <w:rFonts w:hint="eastAsia" w:ascii="宋体" w:hAnsi="宋体" w:eastAsia="宋体"/>
          <w:color w:val="auto"/>
          <w:spacing w:val="-20"/>
          <w:sz w:val="28"/>
          <w:szCs w:val="28"/>
          <w:highlight w:val="none"/>
          <w:u w:val="single"/>
          <w:lang w:eastAsia="zh-CN"/>
        </w:rPr>
        <w:t xml:space="preserve"> </w:t>
      </w:r>
      <w:r>
        <w:rPr>
          <w:rFonts w:hint="eastAsia" w:ascii="宋体" w:hAnsi="宋体" w:eastAsia="宋体"/>
          <w:color w:val="auto"/>
          <w:spacing w:val="-20"/>
          <w:sz w:val="28"/>
          <w:szCs w:val="28"/>
          <w:highlight w:val="none"/>
          <w:u w:val="single"/>
          <w:lang w:val="en-US" w:eastAsia="zh-CN"/>
        </w:rPr>
        <w:t xml:space="preserve"> </w:t>
      </w:r>
      <w:r>
        <w:rPr>
          <w:rFonts w:hint="eastAsia" w:ascii="宋体" w:hAnsi="宋体" w:eastAsia="宋体"/>
          <w:color w:val="auto"/>
          <w:spacing w:val="-20"/>
          <w:sz w:val="28"/>
          <w:szCs w:val="28"/>
          <w:highlight w:val="none"/>
          <w:lang w:val="en-US" w:eastAsia="zh-CN"/>
        </w:rPr>
        <w:t xml:space="preserve"> 联系电话：</w:t>
      </w:r>
      <w:r>
        <w:rPr>
          <w:rFonts w:hint="eastAsia" w:hAnsi="宋体" w:eastAsia="宋体" w:cs="宋体"/>
          <w:color w:val="auto"/>
          <w:sz w:val="28"/>
          <w:szCs w:val="28"/>
          <w:highlight w:val="none"/>
          <w:u w:val="single"/>
          <w:lang w:val="en-US" w:eastAsia="zh-CN"/>
        </w:rPr>
        <w:t>*</w:t>
      </w:r>
      <w:r>
        <w:rPr>
          <w:rFonts w:hint="eastAsia" w:ascii="宋体" w:hAnsi="宋体" w:eastAsia="宋体"/>
          <w:color w:val="auto"/>
          <w:spacing w:val="-20"/>
          <w:sz w:val="28"/>
          <w:szCs w:val="28"/>
          <w:highlight w:val="none"/>
          <w:u w:val="single"/>
          <w:lang w:val="en-US" w:eastAsia="zh-CN"/>
        </w:rPr>
        <w:t xml:space="preserve">                             </w:t>
      </w:r>
      <w:r>
        <w:rPr>
          <w:rFonts w:hint="eastAsia" w:ascii="宋体" w:hAnsi="宋体" w:eastAsia="宋体"/>
          <w:color w:val="auto"/>
          <w:spacing w:val="-20"/>
          <w:sz w:val="28"/>
          <w:szCs w:val="28"/>
          <w:highlight w:val="none"/>
          <w:u w:val="single"/>
          <w:lang w:eastAsia="zh-CN"/>
        </w:rPr>
        <w:t xml:space="preserve"> </w:t>
      </w:r>
      <w:r>
        <w:rPr>
          <w:rFonts w:hint="eastAsia" w:ascii="宋体" w:hAnsi="宋体" w:eastAsia="宋体" w:cs="Times New Roman"/>
          <w:color w:val="auto"/>
          <w:spacing w:val="-20"/>
          <w:kern w:val="2"/>
          <w:sz w:val="28"/>
          <w:szCs w:val="28"/>
          <w:highlight w:val="non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ascii="宋体" w:hAnsi="宋体" w:eastAsia="宋体" w:cs="Times New Roman"/>
          <w:color w:val="auto"/>
          <w:spacing w:val="-20"/>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ascii="宋体" w:hAnsi="宋体" w:eastAsia="宋体" w:cs="Times New Roman"/>
          <w:color w:val="auto"/>
          <w:spacing w:val="-20"/>
          <w:kern w:val="2"/>
          <w:sz w:val="28"/>
          <w:szCs w:val="28"/>
          <w:highlight w:val="none"/>
          <w:lang w:val="en-US" w:eastAsia="zh-CN" w:bidi="ar-SA"/>
        </w:rPr>
      </w:pPr>
      <w:r>
        <w:rPr>
          <w:rFonts w:hint="eastAsia" w:ascii="宋体" w:hAnsi="宋体" w:eastAsia="宋体" w:cs="Times New Roman"/>
          <w:color w:val="auto"/>
          <w:spacing w:val="-20"/>
          <w:kern w:val="2"/>
          <w:sz w:val="28"/>
          <w:szCs w:val="28"/>
          <w:highlight w:val="none"/>
          <w:lang w:val="en-US" w:eastAsia="zh-CN" w:bidi="ar-SA"/>
        </w:rPr>
        <w:t>签订时间：</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 xml:space="preserve">            签订时间：</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ind w:left="0"/>
        <w:jc w:val="both"/>
        <w:textAlignment w:val="auto"/>
        <w:rPr>
          <w:rFonts w:ascii="宋体" w:hAnsi="宋体" w:eastAsia="宋体" w:cs="Times New Roman"/>
          <w:color w:val="auto"/>
          <w:spacing w:val="-20"/>
          <w:kern w:val="2"/>
          <w:sz w:val="28"/>
          <w:szCs w:val="28"/>
          <w:highlight w:val="none"/>
          <w:u w:val="single"/>
          <w:lang w:val="en-US" w:eastAsia="zh-CN" w:bidi="ar-SA"/>
        </w:rPr>
      </w:pPr>
      <w:r>
        <w:rPr>
          <w:rFonts w:hint="eastAsia" w:ascii="宋体" w:hAnsi="宋体" w:eastAsia="宋体" w:cs="Times New Roman"/>
          <w:color w:val="auto"/>
          <w:spacing w:val="-20"/>
          <w:kern w:val="2"/>
          <w:sz w:val="28"/>
          <w:szCs w:val="28"/>
          <w:highlight w:val="none"/>
          <w:lang w:val="en-US" w:eastAsia="zh-CN" w:bidi="ar-SA"/>
        </w:rPr>
        <w:t>签订地点：</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 xml:space="preserve">            签订地点：</w:t>
      </w:r>
      <w:r>
        <w:rPr>
          <w:rFonts w:hint="eastAsia" w:ascii="Times New Roman" w:hAnsi="宋体" w:eastAsia="宋体" w:cs="宋体"/>
          <w:color w:val="auto"/>
          <w:kern w:val="2"/>
          <w:sz w:val="28"/>
          <w:szCs w:val="28"/>
          <w:highlight w:val="none"/>
          <w:u w:val="single"/>
          <w:lang w:val="en-US" w:eastAsia="zh-CN" w:bidi="ar-SA"/>
        </w:rPr>
        <w:t>*</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u w:val="single"/>
          <w:lang w:val="en-US" w:eastAsia="zh-CN" w:bidi="ar-SA"/>
        </w:rPr>
        <w:t xml:space="preserve">     </w:t>
      </w:r>
      <w:r>
        <w:rPr>
          <w:rFonts w:hint="eastAsia" w:ascii="宋体" w:hAnsi="宋体" w:eastAsia="宋体" w:cs="Times New Roman"/>
          <w:color w:val="auto"/>
          <w:spacing w:val="-20"/>
          <w:kern w:val="2"/>
          <w:sz w:val="28"/>
          <w:szCs w:val="28"/>
          <w:highlight w:val="none"/>
          <w:lang w:val="en-US" w:eastAsia="zh-CN" w:bidi="ar-SA"/>
        </w:rPr>
        <w:t xml:space="preserve">   </w:t>
      </w:r>
    </w:p>
    <w:p>
      <w:pPr>
        <w:keepNext w:val="0"/>
        <w:keepLines w:val="0"/>
        <w:pageBreakBefore w:val="0"/>
        <w:widowControl w:val="0"/>
        <w:kinsoku/>
        <w:wordWrap/>
        <w:overflowPunct/>
        <w:topLinePunct w:val="0"/>
        <w:bidi w:val="0"/>
        <w:adjustRightInd w:val="0"/>
        <w:snapToGrid/>
        <w:spacing w:before="0" w:line="500" w:lineRule="exact"/>
        <w:jc w:val="both"/>
        <w:textAlignment w:val="auto"/>
        <w:rPr>
          <w:rFonts w:ascii="宋体" w:hAnsi="宋体" w:eastAsia="宋体" w:cs="Times New Roman"/>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jc w:val="both"/>
        <w:textAlignment w:val="auto"/>
        <w:rPr>
          <w:rFonts w:ascii="宋体" w:hAnsi="宋体" w:eastAsia="宋体" w:cs="Times New Roman"/>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jc w:val="both"/>
        <w:textAlignment w:val="auto"/>
        <w:rPr>
          <w:rFonts w:ascii="宋体" w:hAnsi="宋体" w:eastAsia="宋体" w:cs="Times New Roman"/>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before="0" w:line="500" w:lineRule="exact"/>
        <w:jc w:val="both"/>
        <w:textAlignment w:val="auto"/>
        <w:rPr>
          <w:rFonts w:ascii="宋体" w:hAnsi="宋体" w:eastAsia="宋体" w:cs="Times New Roman"/>
          <w:color w:val="auto"/>
          <w:kern w:val="2"/>
          <w:sz w:val="28"/>
          <w:szCs w:val="28"/>
          <w:highlight w:val="none"/>
          <w:lang w:val="en-US" w:eastAsia="zh-CN" w:bidi="ar-SA"/>
        </w:rPr>
      </w:pPr>
    </w:p>
    <w:p>
      <w:pPr>
        <w:keepNext w:val="0"/>
        <w:keepLines w:val="0"/>
        <w:pageBreakBefore w:val="0"/>
        <w:widowControl/>
        <w:kinsoku/>
        <w:wordWrap/>
        <w:overflowPunct/>
        <w:topLinePunct w:val="0"/>
        <w:bidi w:val="0"/>
        <w:snapToGrid/>
        <w:spacing w:line="500" w:lineRule="exact"/>
        <w:jc w:val="left"/>
        <w:textAlignment w:val="auto"/>
        <w:rPr>
          <w:rFonts w:ascii="黑体" w:hAnsi="Times New Roman" w:eastAsia="黑体" w:cs="宋体"/>
          <w:b/>
          <w:color w:val="auto"/>
          <w:kern w:val="0"/>
          <w:sz w:val="28"/>
          <w:szCs w:val="28"/>
          <w:highlight w:val="none"/>
        </w:rPr>
      </w:pPr>
      <w:r>
        <w:rPr>
          <w:rFonts w:ascii="宋体" w:hAnsi="宋体" w:cs="Times New Roman"/>
          <w:color w:val="auto"/>
          <w:sz w:val="28"/>
          <w:szCs w:val="28"/>
          <w:highlight w:val="none"/>
        </w:rPr>
        <w:br w:type="page"/>
      </w:r>
      <w:r>
        <w:rPr>
          <w:rFonts w:hint="eastAsia" w:ascii="黑体" w:hAnsi="Times New Roman" w:eastAsia="黑体" w:cs="Times New Roman"/>
          <w:b/>
          <w:color w:val="auto"/>
          <w:kern w:val="0"/>
          <w:sz w:val="28"/>
          <w:szCs w:val="28"/>
          <w:highlight w:val="none"/>
        </w:rPr>
        <w:t xml:space="preserve">附件一 </w:t>
      </w:r>
      <w:r>
        <w:rPr>
          <w:rFonts w:hint="eastAsia" w:ascii="黑体" w:hAnsi="Times New Roman" w:eastAsia="黑体" w:cs="Times New Roman"/>
          <w:b/>
          <w:color w:val="auto"/>
          <w:kern w:val="0"/>
          <w:sz w:val="28"/>
          <w:szCs w:val="28"/>
          <w:highlight w:val="none"/>
          <w:lang w:val="en-US" w:eastAsia="zh-CN"/>
        </w:rPr>
        <w:t xml:space="preserve"> </w:t>
      </w:r>
      <w:r>
        <w:rPr>
          <w:rFonts w:hint="eastAsia" w:ascii="黑体" w:hAnsi="Times New Roman" w:eastAsia="黑体" w:cs="Times New Roman"/>
          <w:b/>
          <w:color w:val="auto"/>
          <w:kern w:val="0"/>
          <w:sz w:val="28"/>
          <w:szCs w:val="28"/>
          <w:highlight w:val="none"/>
        </w:rPr>
        <w:t>房屋平面图</w:t>
      </w:r>
      <w:r>
        <w:rPr>
          <w:rFonts w:hint="eastAsia" w:ascii="黑体" w:hAnsi="Times New Roman" w:eastAsia="黑体" w:cs="Times New Roman"/>
          <w:b/>
          <w:color w:val="auto"/>
          <w:kern w:val="0"/>
          <w:sz w:val="28"/>
          <w:szCs w:val="28"/>
          <w:highlight w:val="none"/>
          <w:lang w:eastAsia="zh-CN"/>
        </w:rPr>
        <w:t>（</w:t>
      </w:r>
      <w:r>
        <w:rPr>
          <w:rFonts w:hint="eastAsia" w:ascii="黑体" w:hAnsi="Times New Roman" w:eastAsia="黑体" w:cs="Times New Roman"/>
          <w:b/>
          <w:color w:val="auto"/>
          <w:kern w:val="0"/>
          <w:sz w:val="28"/>
          <w:szCs w:val="28"/>
          <w:highlight w:val="none"/>
        </w:rPr>
        <w:t>应当标明方位</w:t>
      </w:r>
      <w:r>
        <w:rPr>
          <w:rFonts w:hint="eastAsia" w:ascii="黑体" w:hAnsi="Times New Roman" w:eastAsia="黑体" w:cs="Times New Roman"/>
          <w:b/>
          <w:color w:val="auto"/>
          <w:kern w:val="0"/>
          <w:sz w:val="28"/>
          <w:szCs w:val="28"/>
          <w:highlight w:val="none"/>
          <w:lang w:eastAsia="zh-CN"/>
        </w:rPr>
        <w:t>）</w:t>
      </w:r>
      <w:r>
        <w:rPr>
          <w:rFonts w:hint="eastAsia" w:ascii="黑体" w:hAnsi="Times New Roman" w:eastAsia="黑体" w:cs="宋体"/>
          <w:b/>
          <w:color w:val="auto"/>
          <w:kern w:val="0"/>
          <w:sz w:val="28"/>
          <w:szCs w:val="28"/>
          <w:highlight w:val="none"/>
        </w:rPr>
        <w:t xml:space="preserve"> </w:t>
      </w:r>
    </w:p>
    <w:p>
      <w:pPr>
        <w:keepNext w:val="0"/>
        <w:keepLines w:val="0"/>
        <w:pageBreakBefore w:val="0"/>
        <w:kinsoku/>
        <w:wordWrap/>
        <w:overflowPunct/>
        <w:topLinePunct w:val="0"/>
        <w:bidi w:val="0"/>
        <w:adjustRightInd w:val="0"/>
        <w:snapToGrid/>
        <w:spacing w:line="50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1.房屋分层分户图</w:t>
      </w:r>
      <w:r>
        <w:rPr>
          <w:rFonts w:hint="eastAsia" w:ascii="宋体" w:hAnsi="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应当标明详细尺寸</w:t>
      </w:r>
      <w:r>
        <w:rPr>
          <w:rFonts w:hint="eastAsia" w:ascii="宋体" w:hAnsi="宋体" w:cs="宋体"/>
          <w:color w:val="auto"/>
          <w:kern w:val="0"/>
          <w:sz w:val="28"/>
          <w:szCs w:val="28"/>
          <w:highlight w:val="none"/>
          <w:lang w:eastAsia="zh-CN"/>
        </w:rPr>
        <w:t>）</w:t>
      </w:r>
    </w:p>
    <w:p>
      <w:pPr>
        <w:keepNext w:val="0"/>
        <w:keepLines w:val="0"/>
        <w:pageBreakBefore w:val="0"/>
        <w:kinsoku/>
        <w:wordWrap/>
        <w:overflowPunct/>
        <w:topLinePunct w:val="0"/>
        <w:bidi w:val="0"/>
        <w:adjustRightInd w:val="0"/>
        <w:snapToGrid/>
        <w:spacing w:line="500" w:lineRule="exact"/>
        <w:ind w:firstLine="560" w:firstLineChars="200"/>
        <w:textAlignment w:val="auto"/>
        <w:rPr>
          <w:rFonts w:hint="eastAsia" w:ascii="Times New Roman" w:hAnsi="宋体" w:eastAsia="宋体" w:cs="Times New Roman"/>
          <w:b/>
          <w:bCs/>
          <w:color w:val="auto"/>
          <w:sz w:val="28"/>
          <w:szCs w:val="28"/>
          <w:highlight w:val="none"/>
          <w:lang w:eastAsia="zh-CN"/>
        </w:rPr>
      </w:pPr>
      <w:r>
        <w:rPr>
          <w:rFonts w:hint="eastAsia" w:ascii="宋体" w:hAnsi="宋体" w:eastAsia="宋体" w:cs="宋体"/>
          <w:color w:val="auto"/>
          <w:kern w:val="0"/>
          <w:sz w:val="28"/>
          <w:szCs w:val="28"/>
          <w:highlight w:val="none"/>
        </w:rPr>
        <w:t>2.建设工程规划方案总平面图</w:t>
      </w:r>
      <w:r>
        <w:rPr>
          <w:rFonts w:hint="eastAsia" w:ascii="Times New Roman" w:hAnsi="宋体" w:cs="Times New Roman"/>
          <w:b/>
          <w:bCs/>
          <w:color w:val="auto"/>
          <w:sz w:val="28"/>
          <w:szCs w:val="28"/>
          <w:highlight w:val="none"/>
          <w:lang w:eastAsia="zh-CN"/>
        </w:rPr>
        <w:t>（附清晰完整的总</w:t>
      </w:r>
      <w:r>
        <w:rPr>
          <w:rFonts w:hint="eastAsia" w:ascii="Times New Roman" w:hAnsi="宋体" w:cs="Times New Roman"/>
          <w:b/>
          <w:bCs/>
          <w:color w:val="auto"/>
          <w:sz w:val="28"/>
          <w:szCs w:val="28"/>
          <w:highlight w:val="none"/>
        </w:rPr>
        <w:t>平面图</w:t>
      </w:r>
      <w:r>
        <w:rPr>
          <w:rFonts w:hint="eastAsia" w:ascii="Times New Roman" w:hAnsi="宋体" w:cs="Times New Roman"/>
          <w:b/>
          <w:bCs/>
          <w:color w:val="auto"/>
          <w:sz w:val="28"/>
          <w:szCs w:val="28"/>
          <w:highlight w:val="none"/>
          <w:lang w:eastAsia="zh-CN"/>
        </w:rPr>
        <w:t>，且与规划部门审批通过的总平面图保持一致，沙盘等宣传物料也应与之保持一致）</w:t>
      </w:r>
    </w:p>
    <w:p>
      <w:pPr>
        <w:keepNext w:val="0"/>
        <w:keepLines w:val="0"/>
        <w:pageBreakBefore w:val="0"/>
        <w:widowControl w:val="0"/>
        <w:kinsoku/>
        <w:wordWrap/>
        <w:overflowPunct/>
        <w:topLinePunct w:val="0"/>
        <w:bidi w:val="0"/>
        <w:adjustRightInd w:val="0"/>
        <w:snapToGrid/>
        <w:spacing w:line="500" w:lineRule="exact"/>
        <w:jc w:val="both"/>
        <w:textAlignment w:val="auto"/>
        <w:rPr>
          <w:rFonts w:hint="eastAsia" w:ascii="宋体" w:hAnsi="宋体" w:eastAsia="宋体" w:cs="Courier New"/>
          <w:b/>
          <w:bCs/>
          <w:color w:val="auto"/>
          <w:kern w:val="2"/>
          <w:sz w:val="28"/>
          <w:szCs w:val="28"/>
          <w:highlight w:val="none"/>
          <w:lang w:val="en-US" w:eastAsia="zh-CN" w:bidi="ar-SA"/>
        </w:rPr>
      </w:pPr>
    </w:p>
    <w:p>
      <w:pPr>
        <w:keepNext w:val="0"/>
        <w:keepLines w:val="0"/>
        <w:pageBreakBefore w:val="0"/>
        <w:kinsoku/>
        <w:wordWrap/>
        <w:overflowPunct/>
        <w:topLinePunct w:val="0"/>
        <w:bidi w:val="0"/>
        <w:adjustRightInd w:val="0"/>
        <w:snapToGrid/>
        <w:spacing w:line="500" w:lineRule="exact"/>
        <w:ind w:firstLine="562" w:firstLineChars="200"/>
        <w:textAlignment w:val="auto"/>
        <w:rPr>
          <w:rFonts w:hint="eastAsia" w:ascii="Times New Roman" w:hAnsi="宋体" w:eastAsia="宋体" w:cs="Times New Roman"/>
          <w:b/>
          <w:bCs/>
          <w:color w:val="auto"/>
          <w:sz w:val="28"/>
          <w:szCs w:val="28"/>
          <w:highlight w:val="none"/>
          <w:lang w:eastAsia="zh-CN"/>
        </w:rPr>
      </w:pPr>
      <w:r>
        <w:rPr>
          <w:rFonts w:hint="eastAsia" w:ascii="黑体" w:hAnsi="宋体" w:eastAsia="黑体" w:cs="宋体"/>
          <w:b/>
          <w:color w:val="auto"/>
          <w:kern w:val="0"/>
          <w:sz w:val="28"/>
          <w:szCs w:val="28"/>
          <w:highlight w:val="none"/>
        </w:rPr>
        <w:br w:type="page"/>
      </w: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黑体" w:hAnsi="宋体" w:eastAsia="黑体" w:cs="宋体"/>
          <w:b/>
          <w:color w:val="auto"/>
          <w:kern w:val="0"/>
          <w:sz w:val="28"/>
          <w:szCs w:val="28"/>
          <w:highlight w:val="none"/>
          <w:lang w:val="en-US" w:eastAsia="zh-CN"/>
        </w:rPr>
      </w:pPr>
      <w:r>
        <w:rPr>
          <w:rFonts w:hint="eastAsia" w:ascii="黑体" w:hAnsi="宋体" w:eastAsia="黑体" w:cs="宋体"/>
          <w:b/>
          <w:color w:val="auto"/>
          <w:kern w:val="0"/>
          <w:sz w:val="28"/>
          <w:szCs w:val="28"/>
          <w:highlight w:val="none"/>
          <w:lang w:val="en-US" w:eastAsia="zh-CN"/>
        </w:rPr>
        <w:t>附件二  关于车位车库租售方案主要内容的约定</w:t>
      </w: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w:t>
      </w:r>
      <w:r>
        <w:rPr>
          <w:rFonts w:hint="eastAsia" w:ascii="宋体" w:hAnsi="宋体" w:eastAsia="宋体" w:cs="宋体"/>
          <w:b/>
          <w:bCs/>
          <w:sz w:val="28"/>
          <w:szCs w:val="28"/>
          <w:lang w:eastAsia="zh-CN"/>
        </w:rPr>
        <w:t>车位车库基本情况</w:t>
      </w:r>
      <w:r>
        <w:rPr>
          <w:rFonts w:hint="eastAsia" w:ascii="宋体" w:hAnsi="宋体" w:eastAsia="宋体" w:cs="宋体"/>
          <w:b/>
          <w:bCs/>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1.数量及分布：本小区规划的车位车库分布于：</w:t>
      </w:r>
      <w:r>
        <w:rPr>
          <w:rFonts w:hint="eastAsia" w:ascii="宋体" w:hAnsi="宋体" w:eastAsia="宋体" w:cs="宋体"/>
          <w:sz w:val="28"/>
          <w:szCs w:val="28"/>
        </w:rPr>
        <w:t>□</w:t>
      </w:r>
      <w:r>
        <w:rPr>
          <w:rFonts w:hint="eastAsia" w:ascii="宋体" w:hAnsi="宋体" w:eastAsia="宋体" w:cs="宋体"/>
          <w:sz w:val="28"/>
          <w:szCs w:val="28"/>
          <w:lang w:val="en-US" w:eastAsia="zh-CN"/>
        </w:rPr>
        <w:t>地面、</w:t>
      </w:r>
      <w:r>
        <w:rPr>
          <w:rFonts w:hint="eastAsia" w:ascii="宋体" w:hAnsi="宋体" w:eastAsia="宋体" w:cs="宋体"/>
          <w:sz w:val="28"/>
          <w:szCs w:val="28"/>
        </w:rPr>
        <w:t>□</w:t>
      </w:r>
      <w:r>
        <w:rPr>
          <w:rFonts w:hint="eastAsia" w:ascii="宋体" w:hAnsi="宋体" w:eastAsia="宋体" w:cs="宋体"/>
          <w:sz w:val="28"/>
          <w:szCs w:val="28"/>
          <w:lang w:val="en-US" w:eastAsia="zh-CN"/>
        </w:rPr>
        <w:t>地下一层、</w:t>
      </w:r>
      <w:r>
        <w:rPr>
          <w:rFonts w:hint="eastAsia" w:ascii="宋体" w:hAnsi="宋体" w:eastAsia="宋体" w:cs="宋体"/>
          <w:sz w:val="28"/>
          <w:szCs w:val="28"/>
        </w:rPr>
        <w:sym w:font="Wingdings 2" w:char="00A3"/>
      </w:r>
      <w:r>
        <w:rPr>
          <w:rFonts w:hint="eastAsia" w:ascii="宋体" w:hAnsi="宋体" w:eastAsia="宋体" w:cs="宋体"/>
          <w:sz w:val="28"/>
          <w:szCs w:val="28"/>
          <w:lang w:val="en-US" w:eastAsia="zh-CN"/>
        </w:rPr>
        <w:t>地下二层、</w:t>
      </w:r>
      <w:r>
        <w:rPr>
          <w:rFonts w:hint="eastAsia" w:ascii="宋体" w:hAnsi="宋体" w:eastAsia="宋体" w:cs="宋体"/>
          <w:sz w:val="28"/>
          <w:szCs w:val="28"/>
        </w:rPr>
        <w:sym w:font="Wingdings 2" w:char="00A3"/>
      </w:r>
      <w:r>
        <w:rPr>
          <w:rFonts w:hint="eastAsia" w:ascii="宋体" w:hAnsi="宋体" w:eastAsia="宋体" w:cs="宋体"/>
          <w:sz w:val="28"/>
          <w:szCs w:val="28"/>
          <w:lang w:val="en-US" w:eastAsia="zh-CN"/>
        </w:rPr>
        <w:t>地下三层、</w:t>
      </w:r>
      <w:r>
        <w:rPr>
          <w:rFonts w:hint="eastAsia" w:ascii="宋体" w:hAnsi="宋体" w:eastAsia="宋体" w:cs="宋体"/>
          <w:sz w:val="28"/>
          <w:szCs w:val="28"/>
        </w:rPr>
        <w:sym w:font="Wingdings 2" w:char="00A3"/>
      </w:r>
      <w:r>
        <w:rPr>
          <w:rFonts w:hint="eastAsia" w:ascii="宋体" w:hAnsi="宋体" w:eastAsia="宋体" w:cs="宋体"/>
          <w:sz w:val="28"/>
          <w:szCs w:val="28"/>
          <w:lang w:val="en-US" w:eastAsia="zh-CN"/>
        </w:rPr>
        <w:t>地下四层；总计车位车库</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其中地上</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地下</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2.功能分配</w:t>
      </w:r>
      <w:r>
        <w:rPr>
          <w:rFonts w:hint="eastAsia" w:ascii="宋体" w:hAnsi="宋体" w:eastAsia="宋体" w:cs="宋体"/>
          <w:sz w:val="28"/>
          <w:szCs w:val="28"/>
        </w:rPr>
        <w:t>：</w:t>
      </w:r>
      <w:r>
        <w:rPr>
          <w:rFonts w:hint="eastAsia" w:ascii="宋体" w:hAnsi="宋体" w:eastAsia="宋体" w:cs="宋体"/>
          <w:sz w:val="28"/>
          <w:szCs w:val="28"/>
          <w:lang w:eastAsia="zh-CN"/>
        </w:rPr>
        <w:t>项目总体车位规划配比</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r>
        <w:rPr>
          <w:rFonts w:hint="eastAsia" w:ascii="宋体" w:hAnsi="宋体" w:eastAsia="宋体" w:cs="宋体"/>
          <w:sz w:val="28"/>
          <w:szCs w:val="28"/>
          <w:lang w:val="en-US" w:eastAsia="zh-CN"/>
        </w:rPr>
        <w:t>，其中住宅</w:t>
      </w:r>
      <w:r>
        <w:rPr>
          <w:rFonts w:hint="eastAsia" w:ascii="宋体" w:hAnsi="宋体" w:eastAsia="宋体" w:cs="宋体"/>
          <w:sz w:val="28"/>
          <w:szCs w:val="28"/>
        </w:rPr>
        <w:t>规划配比</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%，分配</w:t>
      </w:r>
      <w:r>
        <w:rPr>
          <w:rFonts w:hint="eastAsia" w:ascii="宋体" w:hAnsi="宋体" w:eastAsia="宋体" w:cs="宋体"/>
          <w:sz w:val="28"/>
          <w:szCs w:val="28"/>
          <w:lang w:val="en-US" w:eastAsia="zh-CN"/>
        </w:rPr>
        <w:t>车位</w:t>
      </w:r>
      <w:r>
        <w:rPr>
          <w:rFonts w:hint="eastAsia" w:ascii="宋体" w:hAnsi="宋体" w:eastAsia="宋体" w:cs="宋体"/>
          <w:sz w:val="28"/>
          <w:szCs w:val="28"/>
        </w:rPr>
        <w:t>数量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w:t>
      </w:r>
      <w:r>
        <w:rPr>
          <w:rFonts w:hint="eastAsia" w:ascii="宋体" w:hAnsi="宋体" w:eastAsia="宋体" w:cs="宋体"/>
          <w:sz w:val="28"/>
          <w:szCs w:val="28"/>
          <w:lang w:eastAsia="zh-CN"/>
        </w:rPr>
        <w:t>；</w:t>
      </w:r>
      <w:r>
        <w:rPr>
          <w:rFonts w:hint="eastAsia" w:ascii="宋体" w:hAnsi="宋体" w:eastAsia="宋体" w:cs="宋体"/>
          <w:sz w:val="28"/>
          <w:szCs w:val="28"/>
        </w:rPr>
        <w:t>商业</w:t>
      </w:r>
      <w:r>
        <w:rPr>
          <w:rFonts w:hint="eastAsia" w:ascii="宋体" w:hAnsi="宋体" w:eastAsia="宋体" w:cs="宋体"/>
          <w:sz w:val="28"/>
          <w:szCs w:val="28"/>
          <w:lang w:val="en-US" w:eastAsia="zh-CN"/>
        </w:rPr>
        <w:t>/</w:t>
      </w:r>
      <w:r>
        <w:rPr>
          <w:rFonts w:hint="eastAsia" w:ascii="宋体" w:hAnsi="宋体" w:eastAsia="宋体" w:cs="宋体"/>
          <w:sz w:val="28"/>
          <w:szCs w:val="28"/>
        </w:rPr>
        <w:t>办公</w:t>
      </w:r>
      <w:r>
        <w:rPr>
          <w:rFonts w:hint="eastAsia" w:ascii="宋体" w:hAnsi="宋体" w:eastAsia="宋体" w:cs="宋体"/>
          <w:sz w:val="28"/>
          <w:szCs w:val="28"/>
          <w:lang w:val="en-US" w:eastAsia="zh-CN"/>
        </w:rPr>
        <w:t>车位</w:t>
      </w:r>
      <w:r>
        <w:rPr>
          <w:rFonts w:hint="eastAsia" w:ascii="宋体" w:hAnsi="宋体" w:eastAsia="宋体" w:cs="宋体"/>
          <w:sz w:val="28"/>
          <w:szCs w:val="28"/>
        </w:rPr>
        <w:t>规划配比</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%，分配</w:t>
      </w:r>
      <w:r>
        <w:rPr>
          <w:rFonts w:hint="eastAsia" w:ascii="宋体" w:hAnsi="宋体" w:eastAsia="宋体" w:cs="宋体"/>
          <w:sz w:val="28"/>
          <w:szCs w:val="28"/>
          <w:lang w:val="en-US" w:eastAsia="zh-CN"/>
        </w:rPr>
        <w:t>车位</w:t>
      </w:r>
      <w:r>
        <w:rPr>
          <w:rFonts w:hint="eastAsia" w:ascii="宋体" w:hAnsi="宋体" w:eastAsia="宋体" w:cs="宋体"/>
          <w:sz w:val="28"/>
          <w:szCs w:val="28"/>
        </w:rPr>
        <w:t>数量</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3.车位权属性质：规划许可的专有车位</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个</w:t>
      </w:r>
      <w:r>
        <w:rPr>
          <w:rFonts w:hint="eastAsia" w:ascii="宋体" w:hAnsi="宋体" w:eastAsia="宋体" w:cs="宋体"/>
          <w:sz w:val="28"/>
          <w:szCs w:val="28"/>
          <w:highlight w:val="none"/>
          <w:lang w:eastAsia="zh-CN"/>
        </w:rPr>
        <w:t>，产权车位</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个，</w:t>
      </w:r>
      <w:r>
        <w:rPr>
          <w:rFonts w:hint="eastAsia" w:ascii="宋体" w:hAnsi="宋体" w:eastAsia="宋体" w:cs="宋体"/>
          <w:sz w:val="28"/>
          <w:szCs w:val="28"/>
          <w:highlight w:val="none"/>
          <w:lang w:val="en-US" w:eastAsia="zh-CN"/>
        </w:rPr>
        <w:t>人防车位</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个</w:t>
      </w:r>
      <w:r>
        <w:rPr>
          <w:rFonts w:hint="eastAsia" w:ascii="宋体" w:hAnsi="宋体" w:eastAsia="宋体" w:cs="宋体"/>
          <w:sz w:val="28"/>
          <w:szCs w:val="28"/>
          <w:highlight w:val="none"/>
          <w:lang w:eastAsia="zh-CN"/>
        </w:rPr>
        <w:t>，共有车位</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个。</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4.车位位置：住宅和商业/办公配比的车位（区分专有车位和人防车位）空间位置详见附图。</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位于人防工程范围内</w:t>
      </w:r>
      <w:r>
        <w:rPr>
          <w:rFonts w:hint="eastAsia" w:ascii="宋体" w:hAnsi="宋体" w:eastAsia="宋体" w:cs="宋体"/>
          <w:sz w:val="28"/>
          <w:szCs w:val="28"/>
          <w:lang w:val="en-US" w:eastAsia="zh-CN"/>
        </w:rPr>
        <w:t>的</w:t>
      </w:r>
      <w:r>
        <w:rPr>
          <w:rFonts w:hint="eastAsia" w:ascii="宋体" w:hAnsi="宋体" w:eastAsia="宋体" w:cs="宋体"/>
          <w:sz w:val="28"/>
          <w:szCs w:val="28"/>
        </w:rPr>
        <w:t>车位，按照国家规定，平时使用不得影响人民防空工程的防空效能，战时或紧急状态下由政府统一调配使用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在与人防车位租户签订租赁协议时，需明确注明此条款</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二、关于车位车库租赁主要内容的约定</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color w:val="auto"/>
          <w:sz w:val="28"/>
          <w:szCs w:val="28"/>
          <w:highlight w:val="none"/>
          <w:lang w:eastAsia="zh-CN"/>
        </w:rPr>
        <w:t>双方约定用于出租的车位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个。</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租赁方式及收费标准</w:t>
      </w:r>
      <w:r>
        <w:rPr>
          <w:rFonts w:hint="eastAsia" w:ascii="宋体" w:hAnsi="宋体" w:eastAsia="宋体" w:cs="宋体"/>
          <w:sz w:val="28"/>
          <w:szCs w:val="28"/>
          <w:highlight w:val="none"/>
          <w:lang w:eastAsia="zh-CN"/>
        </w:rPr>
        <w:t>（不超过发改部门审批通过的前期物业服务收费标准）</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）年租</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是否提供</w:t>
      </w:r>
      <w:r>
        <w:rPr>
          <w:rFonts w:hint="eastAsia" w:ascii="宋体" w:hAnsi="宋体" w:eastAsia="宋体" w:cs="宋体"/>
          <w:sz w:val="28"/>
          <w:szCs w:val="28"/>
        </w:rPr>
        <w:t>固定车位：□是 □否</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租金标准：住宅车位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元/年，商业/办公车位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元/年；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（2）月租：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是否提供</w:t>
      </w:r>
      <w:r>
        <w:rPr>
          <w:rFonts w:hint="eastAsia" w:ascii="宋体" w:hAnsi="宋体" w:eastAsia="宋体" w:cs="宋体"/>
          <w:sz w:val="28"/>
          <w:szCs w:val="28"/>
        </w:rPr>
        <w:t xml:space="preserve">固定车位：□是 □否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租金标准：住宅车位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元/月，商业/办公车位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元/月。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临时出租：</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是否提供</w:t>
      </w:r>
      <w:r>
        <w:rPr>
          <w:rFonts w:hint="eastAsia" w:ascii="宋体" w:hAnsi="宋体" w:eastAsia="宋体" w:cs="宋体"/>
          <w:sz w:val="28"/>
          <w:szCs w:val="28"/>
        </w:rPr>
        <w:t>固定车位：</w:t>
      </w:r>
      <w:r>
        <w:rPr>
          <w:rFonts w:hint="eastAsia" w:ascii="宋体" w:hAnsi="宋体" w:eastAsia="宋体" w:cs="宋体"/>
          <w:sz w:val="28"/>
          <w:szCs w:val="28"/>
        </w:rPr>
        <w:sym w:font="Wingdings 2" w:char="00A3"/>
      </w:r>
      <w:r>
        <w:rPr>
          <w:rFonts w:hint="eastAsia" w:ascii="宋体" w:hAnsi="宋体" w:eastAsia="宋体" w:cs="宋体"/>
          <w:sz w:val="28"/>
          <w:szCs w:val="28"/>
        </w:rPr>
        <w:t xml:space="preserve">是 □否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租金标准：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元/小时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0.5小时内免费，超出0.5小时不足1小时按照1小时计算，</w:t>
      </w:r>
      <w:r>
        <w:rPr>
          <w:rFonts w:hint="eastAsia" w:ascii="宋体" w:hAnsi="宋体" w:eastAsia="宋体" w:cs="宋体"/>
          <w:sz w:val="28"/>
          <w:szCs w:val="28"/>
        </w:rPr>
        <w:t>24小时封顶</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元。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以上租金标准</w:t>
      </w:r>
      <w:r>
        <w:rPr>
          <w:rFonts w:hint="eastAsia" w:ascii="宋体" w:hAnsi="宋体" w:eastAsia="宋体" w:cs="宋体"/>
          <w:sz w:val="28"/>
          <w:szCs w:val="28"/>
        </w:rPr>
        <w:t>有效期：自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停车服务费</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元/月·个</w:t>
      </w:r>
      <w:r>
        <w:rPr>
          <w:rFonts w:hint="eastAsia" w:ascii="宋体" w:hAnsi="宋体" w:eastAsia="宋体" w:cs="宋体"/>
          <w:sz w:val="28"/>
          <w:szCs w:val="28"/>
          <w:highlight w:val="none"/>
          <w:lang w:eastAsia="zh-CN"/>
        </w:rPr>
        <w:t>（有效期至</w:t>
      </w:r>
      <w:r>
        <w:rPr>
          <w:rFonts w:hint="eastAsia" w:ascii="宋体" w:hAnsi="宋体" w:eastAsia="宋体" w:cs="宋体"/>
          <w:color w:val="auto"/>
          <w:sz w:val="28"/>
          <w:szCs w:val="28"/>
          <w:highlight w:val="none"/>
          <w:lang w:eastAsia="zh-CN"/>
        </w:rPr>
        <w:t>业主委员会与新选聘的物业服务企业签订的物业服务合同生效时止</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 xml:space="preserve">.价格调整方式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（调整程序应包含协商议定、成本核算及公示公告等）</w:t>
      </w:r>
      <w:r>
        <w:rPr>
          <w:rFonts w:hint="eastAsia" w:ascii="宋体" w:hAnsi="宋体" w:eastAsia="宋体" w:cs="宋体"/>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三、关于车位车库销售主要内容的约定</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1.双方约定</w:t>
      </w:r>
      <w:r>
        <w:rPr>
          <w:rFonts w:hint="eastAsia" w:ascii="宋体" w:hAnsi="宋体" w:eastAsia="宋体" w:cs="宋体"/>
          <w:color w:val="auto"/>
          <w:sz w:val="28"/>
          <w:szCs w:val="28"/>
          <w:highlight w:val="none"/>
          <w:lang w:eastAsia="zh-CN"/>
        </w:rPr>
        <w:t>用于出售的地下车位</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个（地上车位及人防工程车位不得出售）</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建筑区划内，规划用于停放汽车的车位、车库应当首先满足业主的需要，</w:t>
      </w:r>
      <w:r>
        <w:rPr>
          <w:rFonts w:hint="eastAsia" w:ascii="宋体" w:hAnsi="宋体" w:eastAsia="宋体" w:cs="宋体"/>
          <w:color w:val="auto"/>
          <w:sz w:val="28"/>
          <w:szCs w:val="28"/>
          <w:highlight w:val="none"/>
          <w:lang w:eastAsia="zh-CN"/>
        </w:rPr>
        <w:t>用于出售的车位，未售出前应优先向小区业主出租，不能以“只售不租”等理由拒绝提供停车服务。</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.销售信息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（1）出售时间：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日起；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（2）出售方式：□公开摇号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□顺序选购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□其他____________；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（3）售价：</w:t>
      </w:r>
      <w:r>
        <w:rPr>
          <w:rFonts w:hint="eastAsia" w:ascii="宋体" w:hAnsi="宋体" w:eastAsia="宋体" w:cs="宋体"/>
          <w:sz w:val="28"/>
          <w:szCs w:val="28"/>
          <w:lang w:eastAsia="zh-CN"/>
        </w:rPr>
        <w:t>不超过</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元/个</w:t>
      </w:r>
      <w:r>
        <w:rPr>
          <w:rFonts w:hint="eastAsia" w:ascii="宋体" w:hAnsi="宋体" w:eastAsia="宋体" w:cs="宋体"/>
          <w:sz w:val="28"/>
          <w:szCs w:val="28"/>
          <w:lang w:eastAsia="zh-CN"/>
        </w:rPr>
        <w:t>（以车位买卖合同网签为准）。</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停车服务费</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同租赁方案第</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条。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 xml:space="preserve">.价格调整方式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（调整程序应包含协商议定、成本核算及公示公告等）</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三、其他约定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1.本方案需与土地出让条件及规划审批文件</w:t>
      </w:r>
      <w:r>
        <w:rPr>
          <w:rFonts w:hint="eastAsia" w:ascii="宋体" w:hAnsi="宋体" w:eastAsia="宋体" w:cs="宋体"/>
          <w:sz w:val="28"/>
          <w:szCs w:val="28"/>
          <w:lang w:val="en-US" w:eastAsia="zh-CN"/>
        </w:rPr>
        <w:t>保持</w:t>
      </w:r>
      <w:r>
        <w:rPr>
          <w:rFonts w:hint="eastAsia" w:ascii="宋体" w:hAnsi="宋体" w:eastAsia="宋体" w:cs="宋体"/>
          <w:sz w:val="28"/>
          <w:szCs w:val="28"/>
        </w:rPr>
        <w:t xml:space="preserve">一致；  </w:t>
      </w:r>
    </w:p>
    <w:p>
      <w:pPr>
        <w:keepNext w:val="0"/>
        <w:keepLines w:val="0"/>
        <w:pageBreakBefore w:val="0"/>
        <w:widowControl w:val="0"/>
        <w:kinsoku/>
        <w:wordWrap/>
        <w:overflowPunct/>
        <w:topLinePunct w:val="0"/>
        <w:autoSpaceDE/>
        <w:autoSpaceDN/>
        <w:bidi w:val="0"/>
        <w:adjustRightInd w:val="0"/>
        <w:snapToGrid w:val="0"/>
        <w:spacing w:line="400" w:lineRule="atLeas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未约定停车收费价格有效期的视为长期有效，未约定调整方式的不得擅自调价。</w:t>
      </w: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atLeas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附图：车库车位总平面布置图</w:t>
      </w:r>
      <w:r>
        <w:rPr>
          <w:rFonts w:hint="eastAsia" w:ascii="宋体" w:hAnsi="宋体" w:eastAsia="宋体" w:cs="宋体"/>
          <w:sz w:val="28"/>
          <w:szCs w:val="28"/>
          <w:lang w:val="en-US" w:eastAsia="zh-CN"/>
        </w:rPr>
        <w:t>（需区分住宅车位、商业办公车位、专有车位和人防车位）</w:t>
      </w:r>
    </w:p>
    <w:p>
      <w:pPr>
        <w:keepNext w:val="0"/>
        <w:keepLines w:val="0"/>
        <w:pageBreakBefore w:val="0"/>
        <w:numPr>
          <w:ilvl w:val="0"/>
          <w:numId w:val="0"/>
        </w:numPr>
        <w:kinsoku/>
        <w:wordWrap/>
        <w:overflowPunct/>
        <w:topLinePunct w:val="0"/>
        <w:bidi w:val="0"/>
        <w:adjustRightInd w:val="0"/>
        <w:snapToGrid/>
        <w:spacing w:line="500" w:lineRule="exact"/>
        <w:ind w:firstLine="0" w:firstLineChars="0"/>
        <w:textAlignment w:val="auto"/>
        <w:rPr>
          <w:rFonts w:hint="default" w:ascii="宋体" w:hAnsi="宋体" w:eastAsia="宋体" w:cs="宋体"/>
          <w:b w:val="0"/>
          <w:color w:val="auto"/>
          <w:kern w:val="0"/>
          <w:sz w:val="28"/>
          <w:szCs w:val="28"/>
          <w:highlight w:val="none"/>
          <w:lang w:val="en-US" w:eastAsia="zh-CN"/>
        </w:rPr>
      </w:pP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黑体" w:hAnsi="宋体" w:eastAsia="黑体" w:cs="宋体"/>
          <w:b/>
          <w:color w:val="auto"/>
          <w:kern w:val="0"/>
          <w:sz w:val="28"/>
          <w:szCs w:val="28"/>
          <w:highlight w:val="none"/>
        </w:rPr>
      </w:pP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宋体" w:hAnsi="宋体" w:cs="宋体"/>
          <w:color w:val="auto"/>
          <w:kern w:val="0"/>
          <w:sz w:val="28"/>
          <w:szCs w:val="28"/>
          <w:highlight w:val="none"/>
          <w:lang w:eastAsia="zh-CN"/>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三</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 xml:space="preserve"> 关于该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共用部位的具体说明</w:t>
      </w:r>
      <w:r>
        <w:rPr>
          <w:rFonts w:hint="eastAsia" w:ascii="黑体" w:hAnsi="宋体" w:eastAsia="黑体" w:cs="宋体"/>
          <w:b/>
          <w:color w:val="auto"/>
          <w:kern w:val="0"/>
          <w:sz w:val="28"/>
          <w:szCs w:val="28"/>
          <w:highlight w:val="none"/>
          <w:lang w:eastAsia="zh-CN"/>
        </w:rPr>
        <w:t>（</w:t>
      </w:r>
      <w:r>
        <w:rPr>
          <w:rFonts w:hint="eastAsia" w:ascii="黑体" w:hAnsi="宋体" w:eastAsia="黑体" w:cs="宋体"/>
          <w:b/>
          <w:color w:val="auto"/>
          <w:kern w:val="0"/>
          <w:sz w:val="28"/>
          <w:szCs w:val="28"/>
          <w:highlight w:val="none"/>
        </w:rPr>
        <w:t>可附图说明</w:t>
      </w:r>
      <w:r>
        <w:rPr>
          <w:rFonts w:hint="eastAsia" w:ascii="黑体" w:hAnsi="宋体" w:eastAsia="黑体" w:cs="宋体"/>
          <w:b/>
          <w:color w:val="auto"/>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纳入该</w:t>
      </w:r>
      <w:r>
        <w:rPr>
          <w:rFonts w:hint="eastAsia" w:ascii="宋体" w:hAnsi="宋体" w:cs="宋体"/>
          <w:color w:val="auto"/>
          <w:kern w:val="0"/>
          <w:sz w:val="28"/>
          <w:szCs w:val="28"/>
          <w:highlight w:val="none"/>
          <w:lang w:eastAsia="zh-CN"/>
        </w:rPr>
        <w:t>住房</w:t>
      </w:r>
      <w:r>
        <w:rPr>
          <w:rFonts w:hint="eastAsia" w:ascii="宋体" w:hAnsi="宋体" w:eastAsia="宋体" w:cs="宋体"/>
          <w:color w:val="auto"/>
          <w:kern w:val="0"/>
          <w:sz w:val="28"/>
          <w:szCs w:val="28"/>
          <w:highlight w:val="none"/>
        </w:rPr>
        <w:t>分摊的共用部位</w:t>
      </w:r>
      <w:r>
        <w:rPr>
          <w:rFonts w:hint="eastAsia" w:ascii="宋体" w:hAnsi="宋体" w:cs="宋体"/>
          <w:color w:val="auto"/>
          <w:kern w:val="0"/>
          <w:sz w:val="28"/>
          <w:szCs w:val="28"/>
          <w:highlight w:val="none"/>
          <w:lang w:eastAsia="zh-CN"/>
        </w:rPr>
        <w:t>（分为所购房屋同层及其他典型共用部位）</w:t>
      </w:r>
      <w:r>
        <w:rPr>
          <w:rFonts w:hint="eastAsia" w:ascii="宋体" w:hAnsi="宋体" w:eastAsia="宋体" w:cs="宋体"/>
          <w:color w:val="auto"/>
          <w:kern w:val="0"/>
          <w:sz w:val="28"/>
          <w:szCs w:val="28"/>
          <w:highlight w:val="none"/>
        </w:rPr>
        <w:t>的名称、面积</w:t>
      </w:r>
      <w:r>
        <w:rPr>
          <w:rFonts w:hint="eastAsia" w:ascii="宋体" w:hAnsi="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所在位置</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cs="宋体"/>
          <w:color w:val="auto"/>
          <w:kern w:val="0"/>
          <w:sz w:val="28"/>
          <w:szCs w:val="28"/>
          <w:highlight w:val="none"/>
          <w:u w:val="none"/>
          <w:lang w:eastAsia="zh-CN"/>
        </w:rPr>
      </w:pPr>
      <w:r>
        <w:rPr>
          <w:rFonts w:hint="eastAsia" w:ascii="宋体" w:hAnsi="宋体" w:cs="宋体"/>
          <w:color w:val="auto"/>
          <w:kern w:val="0"/>
          <w:sz w:val="28"/>
          <w:szCs w:val="28"/>
          <w:highlight w:val="none"/>
          <w:u w:val="none"/>
          <w:lang w:eastAsia="zh-CN"/>
        </w:rPr>
        <w:t>一、</w:t>
      </w:r>
      <w:r>
        <w:rPr>
          <w:rFonts w:hint="eastAsia" w:ascii="宋体" w:hAnsi="宋体" w:cs="宋体"/>
          <w:color w:val="auto"/>
          <w:kern w:val="0"/>
          <w:sz w:val="28"/>
          <w:szCs w:val="28"/>
          <w:highlight w:val="none"/>
          <w:lang w:eastAsia="zh-CN"/>
        </w:rPr>
        <w:t>所购房屋同层共用部分</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lang w:val="en-US" w:eastAsia="zh-CN"/>
        </w:rPr>
        <w:t>1.</w:t>
      </w:r>
      <w:r>
        <w:rPr>
          <w:rFonts w:hint="eastAsia" w:ascii="宋体" w:hAnsi="宋体" w:cs="宋体"/>
          <w:color w:val="auto"/>
          <w:kern w:val="0"/>
          <w:sz w:val="28"/>
          <w:szCs w:val="28"/>
          <w:highlight w:val="none"/>
          <w:lang w:eastAsia="zh-CN"/>
        </w:rPr>
        <w:t>走廊通道：</w:t>
      </w:r>
      <w:r>
        <w:rPr>
          <w:rFonts w:hint="eastAsia" w:ascii="宋体" w:hAnsi="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2.设备间：</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3.请说明该楼层供水、强弱电、暖通、消防设备间情况：</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lang w:eastAsia="zh-CN"/>
        </w:rPr>
        <w:t>二、其他典型共用部分</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b w:val="0"/>
          <w:color w:val="auto"/>
          <w:kern w:val="0"/>
          <w:sz w:val="28"/>
          <w:szCs w:val="28"/>
          <w:highlight w:val="none"/>
          <w:lang w:val="en-US" w:eastAsia="zh-CN"/>
        </w:rPr>
        <w:t>1.架空层：</w:t>
      </w:r>
      <w:r>
        <w:rPr>
          <w:rFonts w:hint="eastAsia" w:ascii="宋体" w:hAnsi="宋体" w:eastAsia="宋体" w:cs="宋体"/>
          <w:color w:val="auto"/>
          <w:kern w:val="0"/>
          <w:sz w:val="28"/>
          <w:szCs w:val="28"/>
          <w:highlight w:val="none"/>
          <w:u w:val="single"/>
        </w:rPr>
        <w:t>*</w:t>
      </w:r>
      <w:r>
        <w:rPr>
          <w:rFonts w:hint="eastAsia" w:ascii="宋体" w:hAnsi="宋体" w:cs="宋体"/>
          <w:b w:val="0"/>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w:t>
      </w:r>
      <w:r>
        <w:rPr>
          <w:rFonts w:hint="eastAsia" w:ascii="宋体" w:hAnsi="宋体" w:cs="宋体"/>
          <w:color w:val="auto"/>
          <w:kern w:val="0"/>
          <w:sz w:val="28"/>
          <w:szCs w:val="28"/>
          <w:highlight w:val="none"/>
          <w:lang w:eastAsia="zh-CN"/>
        </w:rPr>
        <w:t>大堂：</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3.</w:t>
      </w:r>
      <w:r>
        <w:rPr>
          <w:rFonts w:hint="eastAsia" w:ascii="宋体" w:hAnsi="宋体" w:cs="宋体"/>
          <w:color w:val="auto"/>
          <w:kern w:val="0"/>
          <w:sz w:val="28"/>
          <w:szCs w:val="28"/>
          <w:highlight w:val="none"/>
          <w:u w:val="none"/>
          <w:lang w:eastAsia="zh-CN"/>
        </w:rPr>
        <w:t>物业服务用房：</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lang w:val="en-US" w:eastAsia="zh-CN"/>
        </w:rPr>
        <w:t>4.</w:t>
      </w:r>
      <w:r>
        <w:rPr>
          <w:rFonts w:hint="eastAsia" w:ascii="宋体" w:hAnsi="宋体" w:cs="宋体"/>
          <w:color w:val="auto"/>
          <w:kern w:val="0"/>
          <w:sz w:val="28"/>
          <w:szCs w:val="28"/>
          <w:highlight w:val="none"/>
          <w:lang w:eastAsia="zh-CN"/>
        </w:rPr>
        <w:t>楼梯间：</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b w:val="0"/>
          <w:color w:val="auto"/>
          <w:kern w:val="0"/>
          <w:sz w:val="28"/>
          <w:szCs w:val="28"/>
          <w:highlight w:val="none"/>
          <w:u w:val="single"/>
          <w:lang w:val="en-US" w:eastAsia="zh-CN"/>
        </w:rPr>
      </w:pPr>
      <w:r>
        <w:rPr>
          <w:rFonts w:hint="eastAsia" w:ascii="宋体" w:hAnsi="宋体" w:cs="宋体"/>
          <w:b w:val="0"/>
          <w:color w:val="auto"/>
          <w:kern w:val="0"/>
          <w:sz w:val="28"/>
          <w:szCs w:val="28"/>
          <w:highlight w:val="none"/>
          <w:lang w:val="en-US" w:eastAsia="zh-CN"/>
        </w:rPr>
        <w:t>5.</w:t>
      </w:r>
      <w:r>
        <w:rPr>
          <w:rFonts w:hint="eastAsia" w:ascii="宋体" w:hAnsi="宋体" w:eastAsia="宋体" w:cs="宋体"/>
          <w:b w:val="0"/>
          <w:color w:val="auto"/>
          <w:kern w:val="0"/>
          <w:sz w:val="28"/>
          <w:szCs w:val="28"/>
          <w:highlight w:val="none"/>
          <w:lang w:val="en-US" w:eastAsia="zh-CN"/>
        </w:rPr>
        <w:t>电梯间</w:t>
      </w:r>
      <w:r>
        <w:rPr>
          <w:rFonts w:hint="eastAsia" w:ascii="宋体" w:hAnsi="宋体" w:cs="宋体"/>
          <w:b w:val="0"/>
          <w:color w:val="auto"/>
          <w:kern w:val="0"/>
          <w:sz w:val="28"/>
          <w:szCs w:val="28"/>
          <w:highlight w:val="none"/>
          <w:lang w:val="en-US" w:eastAsia="zh-CN"/>
        </w:rPr>
        <w:t>：</w:t>
      </w:r>
      <w:r>
        <w:rPr>
          <w:rFonts w:hint="eastAsia" w:ascii="宋体" w:hAnsi="宋体" w:eastAsia="宋体" w:cs="宋体"/>
          <w:color w:val="auto"/>
          <w:kern w:val="0"/>
          <w:sz w:val="28"/>
          <w:szCs w:val="28"/>
          <w:highlight w:val="none"/>
          <w:u w:val="single"/>
        </w:rPr>
        <w:t>*</w:t>
      </w:r>
      <w:r>
        <w:rPr>
          <w:rFonts w:hint="eastAsia" w:ascii="宋体" w:hAnsi="宋体" w:cs="宋体"/>
          <w:b w:val="0"/>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b w:val="0"/>
          <w:color w:val="auto"/>
          <w:kern w:val="0"/>
          <w:sz w:val="28"/>
          <w:szCs w:val="28"/>
          <w:highlight w:val="none"/>
          <w:u w:val="single"/>
          <w:lang w:val="en-US" w:eastAsia="zh-CN"/>
        </w:rPr>
      </w:pPr>
      <w:r>
        <w:rPr>
          <w:rFonts w:hint="eastAsia" w:ascii="宋体" w:hAnsi="宋体" w:cs="宋体"/>
          <w:b w:val="0"/>
          <w:color w:val="auto"/>
          <w:kern w:val="0"/>
          <w:sz w:val="28"/>
          <w:szCs w:val="28"/>
          <w:highlight w:val="none"/>
          <w:u w:val="none"/>
          <w:lang w:val="en-US" w:eastAsia="zh-CN"/>
        </w:rPr>
        <w:t>6.避难层：</w:t>
      </w:r>
      <w:r>
        <w:rPr>
          <w:rFonts w:hint="eastAsia" w:ascii="宋体" w:hAnsi="宋体" w:eastAsia="宋体" w:cs="宋体"/>
          <w:color w:val="auto"/>
          <w:kern w:val="0"/>
          <w:sz w:val="28"/>
          <w:szCs w:val="28"/>
          <w:highlight w:val="none"/>
          <w:u w:val="single"/>
        </w:rPr>
        <w:t>*</w:t>
      </w:r>
      <w:r>
        <w:rPr>
          <w:rFonts w:hint="eastAsia" w:ascii="宋体" w:hAnsi="宋体" w:cs="宋体"/>
          <w:b w:val="0"/>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b w:val="0"/>
          <w:color w:val="auto"/>
          <w:kern w:val="0"/>
          <w:sz w:val="28"/>
          <w:szCs w:val="28"/>
          <w:highlight w:val="none"/>
          <w:u w:val="none"/>
          <w:lang w:val="en-US" w:eastAsia="zh-CN"/>
        </w:rPr>
        <w:t>7.外墙：</w:t>
      </w:r>
      <w:r>
        <w:rPr>
          <w:rFonts w:hint="eastAsia" w:ascii="宋体" w:hAnsi="宋体" w:eastAsia="宋体" w:cs="宋体"/>
          <w:color w:val="auto"/>
          <w:kern w:val="0"/>
          <w:sz w:val="28"/>
          <w:szCs w:val="28"/>
          <w:highlight w:val="none"/>
          <w:u w:val="single"/>
        </w:rPr>
        <w:t>*</w:t>
      </w:r>
      <w:r>
        <w:rPr>
          <w:rFonts w:hint="eastAsia" w:ascii="宋体" w:hAnsi="宋体" w:cs="宋体"/>
          <w:b w:val="0"/>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8.屋顶：</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left="0" w:leftChars="0" w:firstLine="560" w:firstLineChars="200"/>
        <w:textAlignment w:val="auto"/>
        <w:rPr>
          <w:rFonts w:hint="eastAsia"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9.设备间：</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single"/>
          <w:lang w:val="en-US" w:eastAsia="zh-CN"/>
        </w:rPr>
        <w:t xml:space="preserve">...（请说明该楼栋水、强弱电、消防、排风、消毒设备间情况）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cs="宋体"/>
          <w:color w:val="auto"/>
          <w:kern w:val="0"/>
          <w:sz w:val="28"/>
          <w:szCs w:val="28"/>
          <w:highlight w:val="none"/>
          <w:u w:val="none"/>
          <w:lang w:val="en-US" w:eastAsia="zh-CN"/>
        </w:rPr>
      </w:pPr>
      <w:r>
        <w:rPr>
          <w:rFonts w:hint="eastAsia" w:ascii="宋体" w:hAnsi="宋体" w:cs="宋体"/>
          <w:color w:val="auto"/>
          <w:kern w:val="0"/>
          <w:sz w:val="28"/>
          <w:szCs w:val="28"/>
          <w:highlight w:val="none"/>
          <w:u w:val="none"/>
          <w:lang w:val="en-US" w:eastAsia="zh-CN"/>
        </w:rPr>
        <w:t>10.道路情况：（须附图说明）</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名称：</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长度：</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m，宽度：</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m，厚度：</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m，道路等级：</w:t>
      </w:r>
      <w:r>
        <w:rPr>
          <w:rFonts w:hint="eastAsia" w:ascii="宋体" w:hAnsi="宋体" w:eastAsia="宋体" w:cs="宋体"/>
          <w:color w:val="auto"/>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val="0"/>
        <w:snapToGrid/>
        <w:spacing w:line="440" w:lineRule="exact"/>
        <w:ind w:left="559" w:leftChars="266" w:firstLine="0" w:firstLineChars="0"/>
        <w:jc w:val="left"/>
        <w:textAlignment w:val="auto"/>
        <w:rPr>
          <w:rFonts w:hint="eastAsia"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道路类型（沥青、砼、砖铺路面）:</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adjustRightInd w:val="0"/>
        <w:spacing w:line="440" w:lineRule="exact"/>
        <w:ind w:firstLine="560" w:firstLineChars="200"/>
        <w:rPr>
          <w:rFonts w:hint="default" w:ascii="Times New Roman" w:hAnsi="Times New Roman" w:cs="Times New Roman"/>
          <w:lang w:val="en-US" w:eastAsia="zh-CN"/>
        </w:rPr>
      </w:pP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none"/>
          <w:lang w:val="en-US" w:eastAsia="zh-CN"/>
        </w:rPr>
      </w:pPr>
      <w:r>
        <w:rPr>
          <w:rFonts w:hint="eastAsia" w:ascii="宋体" w:hAnsi="宋体" w:cs="宋体"/>
          <w:color w:val="auto"/>
          <w:kern w:val="0"/>
          <w:sz w:val="28"/>
          <w:szCs w:val="28"/>
          <w:highlight w:val="none"/>
          <w:u w:val="none"/>
          <w:lang w:val="en-US" w:eastAsia="zh-CN"/>
        </w:rPr>
        <w:t>11.绿化情况（须附图说明）：</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default"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位置：</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面积：</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宋体" w:hAnsi="宋体" w:cs="宋体"/>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绿植名称及数量：</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kinsoku/>
        <w:wordWrap/>
        <w:overflowPunct/>
        <w:topLinePunct w:val="0"/>
        <w:bidi w:val="0"/>
        <w:adjustRightInd w:val="0"/>
        <w:snapToGrid/>
        <w:spacing w:line="440" w:lineRule="exact"/>
        <w:ind w:firstLine="560" w:firstLineChars="200"/>
        <w:textAlignment w:val="auto"/>
        <w:rPr>
          <w:rFonts w:hint="default" w:ascii="宋体" w:hAnsi="宋体" w:eastAsia="宋体" w:cs="宋体"/>
          <w:b w:val="0"/>
          <w:color w:val="auto"/>
          <w:kern w:val="0"/>
          <w:sz w:val="28"/>
          <w:szCs w:val="28"/>
          <w:highlight w:val="none"/>
          <w:u w:val="single"/>
          <w:lang w:val="en-US" w:eastAsia="zh-CN"/>
        </w:rPr>
      </w:pPr>
      <w:r>
        <w:rPr>
          <w:rFonts w:hint="eastAsia" w:ascii="宋体" w:hAnsi="宋体" w:cs="宋体"/>
          <w:color w:val="auto"/>
          <w:kern w:val="0"/>
          <w:sz w:val="28"/>
          <w:szCs w:val="28"/>
          <w:highlight w:val="none"/>
          <w:u w:val="none"/>
          <w:lang w:val="en-US" w:eastAsia="zh-CN"/>
        </w:rPr>
        <w:t>12.车位车库情况（须附图说明车库出入口、车位位置，车位的产权归属，及周边建筑物、设备设施情况）：</w:t>
      </w:r>
      <w:r>
        <w:rPr>
          <w:rFonts w:hint="eastAsia" w:ascii="宋体" w:hAnsi="宋体" w:eastAsia="宋体" w:cs="宋体"/>
          <w:color w:val="auto"/>
          <w:kern w:val="0"/>
          <w:sz w:val="28"/>
          <w:szCs w:val="28"/>
          <w:highlight w:val="none"/>
          <w:u w:val="single"/>
        </w:rPr>
        <w:t>*</w:t>
      </w:r>
      <w:r>
        <w:rPr>
          <w:rFonts w:hint="eastAsia" w:ascii="宋体" w:hAnsi="宋体" w:cs="宋体"/>
          <w:color w:val="auto"/>
          <w:kern w:val="0"/>
          <w:sz w:val="28"/>
          <w:szCs w:val="28"/>
          <w:highlight w:val="none"/>
          <w:u w:val="single"/>
          <w:lang w:val="en-US" w:eastAsia="zh-CN"/>
        </w:rPr>
        <w:t xml:space="preserve">                           </w:t>
      </w:r>
    </w:p>
    <w:p>
      <w:pPr>
        <w:keepNext w:val="0"/>
        <w:keepLines w:val="0"/>
        <w:pageBreakBefore w:val="0"/>
        <w:kinsoku/>
        <w:wordWrap/>
        <w:overflowPunct/>
        <w:topLinePunct w:val="0"/>
        <w:bidi w:val="0"/>
        <w:adjustRightInd/>
        <w:snapToGrid/>
        <w:spacing w:line="240" w:lineRule="auto"/>
        <w:textAlignment w:val="auto"/>
        <w:rPr>
          <w:rFonts w:ascii="黑体" w:hAnsi="Times New Roman" w:eastAsia="黑体" w:cs="宋体"/>
          <w:b/>
          <w:color w:val="auto"/>
          <w:kern w:val="0"/>
          <w:sz w:val="28"/>
          <w:szCs w:val="28"/>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四</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 xml:space="preserve"> 抵押权人同意该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转让的证明及关于抵押的相关约定</w:t>
      </w:r>
    </w:p>
    <w:p>
      <w:pPr>
        <w:keepNext w:val="0"/>
        <w:keepLines w:val="0"/>
        <w:pageBreakBefore w:val="0"/>
        <w:kinsoku/>
        <w:wordWrap/>
        <w:overflowPunct/>
        <w:topLinePunct w:val="0"/>
        <w:bidi w:val="0"/>
        <w:adjustRightInd w:val="0"/>
        <w:snapToGrid/>
        <w:spacing w:line="50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1.抵押权人同意该</w:t>
      </w:r>
      <w:r>
        <w:rPr>
          <w:rFonts w:hint="eastAsia" w:ascii="宋体" w:hAnsi="宋体" w:cs="宋体"/>
          <w:color w:val="auto"/>
          <w:kern w:val="2"/>
          <w:sz w:val="28"/>
          <w:szCs w:val="28"/>
          <w:highlight w:val="none"/>
          <w:lang w:eastAsia="zh-CN"/>
        </w:rPr>
        <w:t>住房</w:t>
      </w:r>
      <w:r>
        <w:rPr>
          <w:rFonts w:hint="eastAsia" w:ascii="宋体" w:hAnsi="宋体" w:eastAsia="宋体" w:cs="宋体"/>
          <w:color w:val="auto"/>
          <w:kern w:val="2"/>
          <w:sz w:val="28"/>
          <w:szCs w:val="28"/>
          <w:highlight w:val="none"/>
        </w:rPr>
        <w:t>转让的证明</w:t>
      </w:r>
      <w:r>
        <w:rPr>
          <w:rFonts w:hint="eastAsia" w:ascii="宋体" w:hAnsi="宋体" w:cs="宋体"/>
          <w:color w:val="auto"/>
          <w:kern w:val="2"/>
          <w:sz w:val="28"/>
          <w:szCs w:val="28"/>
          <w:highlight w:val="none"/>
          <w:lang w:eastAsia="zh-CN"/>
        </w:rPr>
        <w:t>（须列明土地、房屋等抵押情况，未列明的视为无抵押）</w:t>
      </w:r>
    </w:p>
    <w:p>
      <w:pPr>
        <w:keepNext w:val="0"/>
        <w:keepLines w:val="0"/>
        <w:pageBreakBefore w:val="0"/>
        <w:kinsoku/>
        <w:wordWrap/>
        <w:overflowPunct/>
        <w:topLinePunct w:val="0"/>
        <w:bidi w:val="0"/>
        <w:adjustRightInd w:val="0"/>
        <w:snapToGrid/>
        <w:spacing w:line="500" w:lineRule="exact"/>
        <w:ind w:firstLine="560" w:firstLineChars="200"/>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2.关于抵押的其他约定</w:t>
      </w:r>
    </w:p>
    <w:p>
      <w:pPr>
        <w:keepNext w:val="0"/>
        <w:keepLines w:val="0"/>
        <w:pageBreakBefore w:val="0"/>
        <w:kinsoku/>
        <w:wordWrap/>
        <w:overflowPunct/>
        <w:topLinePunct w:val="0"/>
        <w:bidi w:val="0"/>
        <w:adjustRightInd w:val="0"/>
        <w:snapToGrid/>
        <w:spacing w:line="500" w:lineRule="exact"/>
        <w:textAlignment w:val="auto"/>
        <w:rPr>
          <w:rFonts w:hint="eastAsia" w:ascii="黑体" w:hAnsi="宋体" w:eastAsia="黑体" w:cs="宋体"/>
          <w:b/>
          <w:color w:val="auto"/>
          <w:kern w:val="0"/>
          <w:sz w:val="28"/>
          <w:szCs w:val="28"/>
          <w:highlight w:val="none"/>
        </w:rPr>
      </w:pPr>
    </w:p>
    <w:p>
      <w:pPr>
        <w:keepNext w:val="0"/>
        <w:keepLines w:val="0"/>
        <w:pageBreakBefore w:val="0"/>
        <w:kinsoku/>
        <w:wordWrap/>
        <w:overflowPunct/>
        <w:topLinePunct w:val="0"/>
        <w:bidi w:val="0"/>
        <w:adjustRightInd/>
        <w:snapToGrid/>
        <w:spacing w:line="240" w:lineRule="auto"/>
        <w:textAlignment w:val="auto"/>
        <w:rPr>
          <w:rFonts w:hint="eastAsia"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五</w:t>
      </w:r>
      <w:r>
        <w:rPr>
          <w:rFonts w:hint="eastAsia" w:ascii="黑体" w:hAnsi="宋体" w:eastAsia="黑体" w:cs="宋体"/>
          <w:b/>
          <w:color w:val="auto"/>
          <w:kern w:val="0"/>
          <w:sz w:val="28"/>
          <w:szCs w:val="28"/>
          <w:highlight w:val="none"/>
        </w:rPr>
        <w:t xml:space="preserve"> </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价款的计价方式、总价款、付款方式及期限的具体约定</w:t>
      </w:r>
    </w:p>
    <w:p>
      <w:pPr>
        <w:keepNext w:val="0"/>
        <w:keepLines w:val="0"/>
        <w:pageBreakBefore w:val="0"/>
        <w:kinsoku/>
        <w:wordWrap/>
        <w:overflowPunct/>
        <w:topLinePunct w:val="0"/>
        <w:bidi w:val="0"/>
        <w:adjustRightInd w:val="0"/>
        <w:snapToGrid/>
        <w:spacing w:line="500" w:lineRule="exact"/>
        <w:textAlignment w:val="auto"/>
        <w:rPr>
          <w:rFonts w:hint="eastAsia" w:ascii="黑体" w:hAnsi="宋体" w:eastAsia="黑体" w:cs="宋体"/>
          <w:b/>
          <w:color w:val="auto"/>
          <w:kern w:val="0"/>
          <w:sz w:val="28"/>
          <w:szCs w:val="28"/>
          <w:highlight w:val="none"/>
        </w:rPr>
      </w:pPr>
    </w:p>
    <w:p>
      <w:pPr>
        <w:keepNext w:val="0"/>
        <w:keepLines w:val="0"/>
        <w:pageBreakBefore w:val="0"/>
        <w:kinsoku/>
        <w:wordWrap/>
        <w:overflowPunct/>
        <w:topLinePunct w:val="0"/>
        <w:bidi w:val="0"/>
        <w:adjustRightInd/>
        <w:snapToGrid/>
        <w:spacing w:line="240" w:lineRule="auto"/>
        <w:textAlignment w:val="auto"/>
        <w:rPr>
          <w:rFonts w:hint="eastAsia"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六</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 xml:space="preserve"> 关于本项目内相关设施、设备的具体约定</w:t>
      </w:r>
    </w:p>
    <w:tbl>
      <w:tblPr>
        <w:tblStyle w:val="8"/>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199"/>
        <w:gridCol w:w="942"/>
        <w:gridCol w:w="5440"/>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名称</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品牌</w:t>
            </w:r>
          </w:p>
        </w:tc>
        <w:tc>
          <w:tcPr>
            <w:tcW w:w="54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规格及性能参数情况</w:t>
            </w:r>
          </w:p>
        </w:tc>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给水管道</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填写提示：分别说明主、分支管直径、材质、压力等数据</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排水管道</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r>
              <w:rPr>
                <w:rFonts w:hint="eastAsia" w:ascii="宋体" w:hAnsi="宋体" w:cs="宋体"/>
                <w:i w:val="0"/>
                <w:color w:val="auto"/>
                <w:sz w:val="22"/>
                <w:szCs w:val="22"/>
                <w:highlight w:val="none"/>
                <w:u w:val="none"/>
                <w:lang w:eastAsia="zh-CN"/>
              </w:rPr>
              <w:t>同上</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消防管道</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r>
              <w:rPr>
                <w:rFonts w:hint="eastAsia" w:ascii="宋体" w:hAnsi="宋体" w:cs="宋体"/>
                <w:i w:val="0"/>
                <w:color w:val="auto"/>
                <w:sz w:val="22"/>
                <w:szCs w:val="22"/>
                <w:highlight w:val="none"/>
                <w:u w:val="none"/>
                <w:lang w:eastAsia="zh-CN"/>
              </w:rPr>
              <w:t>同上</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燃气管道</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nil"/>
              <w:left w:val="nil"/>
              <w:bottom w:val="nil"/>
              <w:right w:val="single" w:color="auto"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r>
              <w:rPr>
                <w:rFonts w:hint="eastAsia" w:ascii="宋体" w:hAnsi="宋体" w:cs="宋体"/>
                <w:i w:val="0"/>
                <w:color w:val="auto"/>
                <w:sz w:val="22"/>
                <w:szCs w:val="22"/>
                <w:highlight w:val="none"/>
                <w:u w:val="none"/>
                <w:lang w:eastAsia="zh-CN"/>
              </w:rPr>
              <w:t>同上</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室外</w:t>
            </w:r>
            <w:r>
              <w:rPr>
                <w:rFonts w:hint="eastAsia" w:ascii="宋体" w:hAnsi="宋体" w:eastAsia="宋体" w:cs="宋体"/>
                <w:i w:val="0"/>
                <w:color w:val="auto"/>
                <w:kern w:val="0"/>
                <w:sz w:val="22"/>
                <w:szCs w:val="22"/>
                <w:highlight w:val="none"/>
                <w:u w:val="none"/>
                <w:lang w:val="en-US" w:eastAsia="zh-CN" w:bidi="ar"/>
              </w:rPr>
              <w:t>电缆</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填写提示：分别说明主、分支电缆，屋内电线的型号、规格、材质等情况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6</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室内电线</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填写提示：分别说明屋内电线的型号、规格、材质等情况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7</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电话线路</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填写提示：说明线缆、设备情况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8</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网络线路</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填写提示：说明线缆、设备情况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9</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路灯</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w:t>
            </w:r>
            <w:r>
              <w:rPr>
                <w:rFonts w:hint="eastAsia" w:ascii="宋体" w:hAnsi="宋体" w:cs="宋体"/>
                <w:i w:val="0"/>
                <w:color w:val="auto"/>
                <w:kern w:val="0"/>
                <w:sz w:val="22"/>
                <w:szCs w:val="22"/>
                <w:highlight w:val="none"/>
                <w:u w:val="none"/>
                <w:lang w:val="en-US" w:eastAsia="zh-CN" w:bidi="ar"/>
              </w:rPr>
              <w:t>说明</w:t>
            </w:r>
            <w:r>
              <w:rPr>
                <w:rFonts w:hint="eastAsia" w:ascii="宋体" w:hAnsi="宋体" w:eastAsia="宋体" w:cs="宋体"/>
                <w:i w:val="0"/>
                <w:color w:val="auto"/>
                <w:kern w:val="0"/>
                <w:sz w:val="22"/>
                <w:szCs w:val="22"/>
                <w:highlight w:val="none"/>
                <w:u w:val="none"/>
                <w:lang w:val="en-US" w:eastAsia="zh-CN" w:bidi="ar"/>
              </w:rPr>
              <w:t>安装位置、密度等情况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10</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公共区域</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室内</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照明</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w:t>
            </w:r>
            <w:r>
              <w:rPr>
                <w:rFonts w:hint="eastAsia" w:ascii="宋体" w:hAnsi="宋体" w:cs="宋体"/>
                <w:i w:val="0"/>
                <w:color w:val="auto"/>
                <w:kern w:val="0"/>
                <w:sz w:val="22"/>
                <w:szCs w:val="22"/>
                <w:highlight w:val="none"/>
                <w:u w:val="none"/>
                <w:lang w:val="en-US" w:eastAsia="zh-CN" w:bidi="ar"/>
              </w:rPr>
              <w:t>说明</w:t>
            </w:r>
            <w:r>
              <w:rPr>
                <w:rFonts w:hint="eastAsia" w:ascii="宋体" w:hAnsi="宋体" w:eastAsia="宋体" w:cs="宋体"/>
                <w:i w:val="0"/>
                <w:color w:val="auto"/>
                <w:kern w:val="0"/>
                <w:sz w:val="22"/>
                <w:szCs w:val="22"/>
                <w:highlight w:val="none"/>
                <w:u w:val="none"/>
                <w:lang w:val="en-US" w:eastAsia="zh-CN" w:bidi="ar"/>
              </w:rPr>
              <w:t>安装位置、</w:t>
            </w:r>
            <w:r>
              <w:rPr>
                <w:rFonts w:hint="eastAsia" w:ascii="宋体" w:hAnsi="宋体" w:cs="宋体"/>
                <w:i w:val="0"/>
                <w:color w:val="auto"/>
                <w:kern w:val="0"/>
                <w:sz w:val="22"/>
                <w:szCs w:val="22"/>
                <w:highlight w:val="none"/>
                <w:u w:val="none"/>
                <w:lang w:val="en-US" w:eastAsia="zh-CN" w:bidi="ar"/>
              </w:rPr>
              <w:t>布置参数</w:t>
            </w:r>
            <w:r>
              <w:rPr>
                <w:rFonts w:hint="eastAsia" w:ascii="宋体" w:hAnsi="宋体" w:eastAsia="宋体" w:cs="宋体"/>
                <w:i w:val="0"/>
                <w:color w:val="auto"/>
                <w:kern w:val="0"/>
                <w:sz w:val="22"/>
                <w:szCs w:val="22"/>
                <w:highlight w:val="none"/>
                <w:u w:val="none"/>
                <w:lang w:val="en-US" w:eastAsia="zh-CN" w:bidi="ar"/>
              </w:rPr>
              <w:t>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11</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小区门禁</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填写提示：说明主要功能（刷卡、人脸识别等），安装位置</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12</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单元门</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填写提示：说明材质、尺寸、功能（防火、防盗、人脸识别等）等情况*</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cs="宋体"/>
                <w:i w:val="0"/>
                <w:color w:val="auto"/>
                <w:kern w:val="0"/>
                <w:sz w:val="22"/>
                <w:szCs w:val="22"/>
                <w:highlight w:val="none"/>
                <w:u w:val="none"/>
                <w:lang w:val="en-US" w:eastAsia="zh-CN" w:bidi="ar"/>
              </w:rPr>
              <w:t>13</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sz w:val="22"/>
                <w:szCs w:val="22"/>
                <w:highlight w:val="none"/>
                <w:u w:val="none"/>
                <w:lang w:eastAsia="zh-CN"/>
              </w:rPr>
            </w:pPr>
            <w:r>
              <w:rPr>
                <w:rFonts w:hint="eastAsia" w:ascii="宋体" w:hAnsi="宋体" w:cs="宋体"/>
                <w:i w:val="0"/>
                <w:color w:val="auto"/>
                <w:sz w:val="22"/>
                <w:szCs w:val="22"/>
                <w:highlight w:val="none"/>
                <w:u w:val="none"/>
                <w:lang w:eastAsia="zh-CN"/>
              </w:rPr>
              <w:t>电梯</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sz w:val="22"/>
                <w:szCs w:val="22"/>
                <w:highlight w:val="none"/>
                <w:u w:val="none"/>
                <w:lang w:val="en-US"/>
              </w:rPr>
            </w:pPr>
            <w:r>
              <w:rPr>
                <w:rFonts w:hint="eastAsia" w:ascii="宋体" w:hAnsi="宋体" w:eastAsia="宋体" w:cs="宋体"/>
                <w:i w:val="0"/>
                <w:color w:val="auto"/>
                <w:kern w:val="0"/>
                <w:sz w:val="22"/>
                <w:szCs w:val="22"/>
                <w:highlight w:val="none"/>
                <w:u w:val="none"/>
                <w:lang w:val="en-US" w:eastAsia="zh-CN" w:bidi="ar"/>
              </w:rPr>
              <w:t>填写提示：</w:t>
            </w:r>
            <w:r>
              <w:rPr>
                <w:rFonts w:hint="eastAsia" w:ascii="宋体" w:hAnsi="宋体" w:cs="宋体"/>
                <w:i w:val="0"/>
                <w:color w:val="auto"/>
                <w:kern w:val="0"/>
                <w:sz w:val="22"/>
                <w:szCs w:val="22"/>
                <w:highlight w:val="none"/>
                <w:u w:val="none"/>
                <w:lang w:val="en-US" w:eastAsia="zh-CN" w:bidi="ar"/>
              </w:rPr>
              <w:t>说明尺寸、载重量、功能（载货、载人等）</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w:t>
            </w:r>
            <w:r>
              <w:rPr>
                <w:rFonts w:hint="eastAsia" w:ascii="宋体" w:hAnsi="宋体" w:cs="宋体"/>
                <w:i w:val="0"/>
                <w:color w:val="auto"/>
                <w:kern w:val="0"/>
                <w:sz w:val="22"/>
                <w:szCs w:val="22"/>
                <w:highlight w:val="none"/>
                <w:u w:val="none"/>
                <w:lang w:val="en-US" w:eastAsia="zh-CN" w:bidi="ar"/>
              </w:rPr>
              <w:t>4</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监控系统</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填写提示：简述监控覆盖范围、主要功能、使用权限等情况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en-US" w:eastAsia="zh-CN"/>
              </w:rPr>
              <w:t>5</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color w:val="auto"/>
                <w:kern w:val="0"/>
                <w:sz w:val="22"/>
                <w:szCs w:val="22"/>
                <w:highlight w:val="none"/>
              </w:rPr>
              <w:t>快递柜</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color w:val="auto"/>
                <w:kern w:val="0"/>
                <w:sz w:val="28"/>
                <w:szCs w:val="28"/>
                <w:highlight w:val="none"/>
                <w:u w:val="none"/>
                <w:lang w:val="en-US" w:eastAsia="zh-CN" w:bidi="ar-SA"/>
              </w:rPr>
            </w:pPr>
          </w:p>
        </w:tc>
        <w:tc>
          <w:tcPr>
            <w:tcW w:w="5440" w:type="dxa"/>
            <w:tcBorders>
              <w:top w:val="single" w:color="000000" w:sz="4" w:space="0"/>
              <w:left w:val="single" w:color="000000" w:sz="4" w:space="0"/>
              <w:bottom w:val="single" w:color="000000" w:sz="4" w:space="0"/>
              <w:right w:val="single" w:color="auto" w:sz="4" w:space="0"/>
            </w:tcBorders>
            <w:noWrap/>
            <w:vAlign w:val="center"/>
          </w:tcPr>
          <w:p>
            <w:pPr>
              <w:widowControl/>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color w:val="auto"/>
                <w:kern w:val="0"/>
                <w:sz w:val="22"/>
                <w:szCs w:val="22"/>
                <w:highlight w:val="none"/>
              </w:rPr>
              <w:t>填写提示：说明安装位置、可存储快递数量等情况</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16</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消防设施</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填写提示：说明已安装消防设施功能、数量、位置等情况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17</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健身设施</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both"/>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填写提示：说明功能、数量、位置等情况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18</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儿童游乐设施</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填写提示：说明功能、数量、位置等情况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19</w:t>
            </w:r>
          </w:p>
        </w:tc>
        <w:tc>
          <w:tcPr>
            <w:tcW w:w="11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center"/>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适老化</w:t>
            </w:r>
          </w:p>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配套设施</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440" w:type="dxa"/>
            <w:tcBorders>
              <w:top w:val="single" w:color="000000" w:sz="4" w:space="0"/>
              <w:left w:val="single" w:color="000000" w:sz="4" w:space="0"/>
              <w:bottom w:val="single" w:color="000000" w:sz="4" w:space="0"/>
              <w:right w:val="single" w:color="auto" w:sz="4" w:space="0"/>
            </w:tcBorders>
            <w:noWrap/>
            <w:vAlign w:val="center"/>
          </w:tcPr>
          <w:p>
            <w:pPr>
              <w:keepNext w:val="0"/>
              <w:keepLines w:val="0"/>
              <w:widowControl/>
              <w:suppressLineNumbers w:val="0"/>
              <w:spacing w:line="240" w:lineRule="exact"/>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填写提示：说明规格、功能、数量、位置等情况</w:t>
            </w:r>
            <w:r>
              <w:rPr>
                <w:rFonts w:hint="eastAsia" w:ascii="宋体" w:hAnsi="宋体" w:eastAsia="宋体" w:cs="宋体"/>
                <w:color w:val="auto"/>
                <w:kern w:val="0"/>
                <w:sz w:val="28"/>
                <w:szCs w:val="28"/>
                <w:highlight w:val="none"/>
                <w:u w:val="none"/>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47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0"/>
                <w:sz w:val="22"/>
                <w:szCs w:val="22"/>
                <w:highlight w:val="none"/>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000000"/>
                <w:sz w:val="22"/>
                <w:szCs w:val="22"/>
                <w:highlight w:val="none"/>
                <w:u w:val="none"/>
                <w:lang w:val="en-US" w:eastAsia="zh-CN"/>
              </w:rPr>
              <w:t>...</w:t>
            </w:r>
          </w:p>
        </w:tc>
        <w:tc>
          <w:tcPr>
            <w:tcW w:w="94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c>
          <w:tcPr>
            <w:tcW w:w="5440" w:type="dxa"/>
            <w:tcBorders>
              <w:top w:val="single" w:color="000000" w:sz="4" w:space="0"/>
              <w:left w:val="single" w:color="000000" w:sz="4" w:space="0"/>
              <w:bottom w:val="single" w:color="000000" w:sz="4" w:space="0"/>
              <w:right w:val="single" w:color="auto" w:sz="4" w:space="0"/>
            </w:tcBorders>
            <w:noWrap/>
            <w:vAlign w:val="center"/>
          </w:tcPr>
          <w:p>
            <w:pPr>
              <w:spacing w:line="240" w:lineRule="exact"/>
              <w:jc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000000"/>
                <w:sz w:val="22"/>
                <w:szCs w:val="22"/>
                <w:highlight w:val="none"/>
                <w:u w:val="none"/>
                <w:lang w:val="en-US" w:eastAsia="zh-CN"/>
              </w:rPr>
              <w:t>...</w:t>
            </w:r>
          </w:p>
        </w:tc>
        <w:tc>
          <w:tcPr>
            <w:tcW w:w="79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hint="eastAsia" w:ascii="宋体" w:hAnsi="宋体" w:eastAsia="宋体" w:cs="宋体"/>
                <w:i w:val="0"/>
                <w:color w:val="auto"/>
                <w:kern w:val="2"/>
                <w:sz w:val="22"/>
                <w:szCs w:val="22"/>
                <w:highlight w:val="none"/>
                <w:u w:val="none"/>
                <w:lang w:val="en-US" w:eastAsia="zh-CN" w:bidi="ar-SA"/>
              </w:rPr>
            </w:pPr>
          </w:p>
        </w:tc>
      </w:tr>
    </w:tbl>
    <w:p>
      <w:pPr>
        <w:keepNext w:val="0"/>
        <w:keepLines w:val="0"/>
        <w:pageBreakBefore w:val="0"/>
        <w:kinsoku/>
        <w:wordWrap/>
        <w:overflowPunct/>
        <w:topLinePunct w:val="0"/>
        <w:bidi w:val="0"/>
        <w:adjustRightInd w:val="0"/>
        <w:snapToGrid/>
        <w:spacing w:line="500" w:lineRule="exact"/>
        <w:textAlignment w:val="auto"/>
        <w:rPr>
          <w:rFonts w:hint="eastAsia" w:ascii="黑体" w:hAnsi="宋体" w:eastAsia="黑体" w:cs="宋体"/>
          <w:b/>
          <w:color w:val="auto"/>
          <w:kern w:val="0"/>
          <w:sz w:val="28"/>
          <w:szCs w:val="28"/>
          <w:highlight w:val="none"/>
          <w:lang w:eastAsia="zh-CN"/>
        </w:rPr>
      </w:pPr>
    </w:p>
    <w:p>
      <w:pPr>
        <w:keepNext w:val="0"/>
        <w:keepLines w:val="0"/>
        <w:pageBreakBefore w:val="0"/>
        <w:kinsoku/>
        <w:wordWrap/>
        <w:overflowPunct/>
        <w:topLinePunct w:val="0"/>
        <w:bidi w:val="0"/>
        <w:adjustRightInd w:val="0"/>
        <w:snapToGrid/>
        <w:spacing w:line="500" w:lineRule="exact"/>
        <w:textAlignment w:val="auto"/>
        <w:rPr>
          <w:rFonts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七</w:t>
      </w:r>
      <w:r>
        <w:rPr>
          <w:rFonts w:hint="eastAsia" w:ascii="黑体" w:hAnsi="宋体" w:eastAsia="黑体" w:cs="宋体"/>
          <w:b/>
          <w:color w:val="auto"/>
          <w:kern w:val="0"/>
          <w:sz w:val="28"/>
          <w:szCs w:val="28"/>
          <w:highlight w:val="none"/>
        </w:rPr>
        <w:t xml:space="preserve"> </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关于装饰装修及相关设备标准的约定</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交付的住房达不到本附件约定装修标准的，按照本合同第十条第（三）款约定处理。出卖人未经双方约定增加的装置、装修、装饰，视为无条件赠送给买受人。</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双方就装饰装修主要材料和设备的品牌、产地、规格、数量等内容约定如下：</w:t>
      </w: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一、建筑节能</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1.外墙采用</w:t>
      </w:r>
      <w:r>
        <w:rPr>
          <w:rFonts w:hint="eastAsia" w:ascii="宋体" w:hAnsi="宋体" w:eastAsia="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体系。</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2.外窗采用</w:t>
      </w:r>
      <w:r>
        <w:rPr>
          <w:rFonts w:hint="eastAsia" w:ascii="宋体" w:hAnsi="宋体" w:eastAsia="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窗。</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3.屋面按照</w:t>
      </w:r>
      <w:r>
        <w:rPr>
          <w:rFonts w:hint="eastAsia" w:ascii="宋体" w:hAnsi="宋体" w:eastAsia="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保温材料。</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4.其他节能措施</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二、装饰、设备标准（须注明主要材料及约定交付设施设备的品牌）</w:t>
      </w:r>
    </w:p>
    <w:tbl>
      <w:tblPr>
        <w:tblStyle w:val="8"/>
        <w:tblW w:w="9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593"/>
        <w:gridCol w:w="1756"/>
        <w:gridCol w:w="1800"/>
        <w:gridCol w:w="1037"/>
        <w:gridCol w:w="1042"/>
        <w:gridCol w:w="1481"/>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22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装饰、设备信息表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区域</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序号</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内容</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装修（装置）类别</w:t>
            </w:r>
          </w:p>
        </w:tc>
        <w:tc>
          <w:tcPr>
            <w:tcW w:w="10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品牌</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产地</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规格、级别、型号</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客厅</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涂料、灯带</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防盗门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门锁</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cs="宋体"/>
                <w:b/>
                <w:bCs/>
                <w:i/>
                <w:iCs/>
                <w:color w:val="auto"/>
                <w:kern w:val="0"/>
                <w:sz w:val="22"/>
                <w:szCs w:val="22"/>
                <w:highlight w:val="none"/>
                <w:u w:val="none"/>
                <w:lang w:val="en-US" w:eastAsia="zh-CN" w:bidi="ar"/>
              </w:rPr>
              <w:t>指纹密码</w:t>
            </w:r>
            <w:r>
              <w:rPr>
                <w:rFonts w:hint="eastAsia" w:ascii="宋体" w:hAnsi="宋体" w:eastAsia="宋体" w:cs="宋体"/>
                <w:b/>
                <w:bCs/>
                <w:i/>
                <w:iCs/>
                <w:color w:val="auto"/>
                <w:kern w:val="0"/>
                <w:sz w:val="22"/>
                <w:szCs w:val="22"/>
                <w:highlight w:val="none"/>
                <w:u w:val="none"/>
                <w:lang w:val="en-US" w:eastAsia="zh-CN" w:bidi="ar"/>
              </w:rPr>
              <w:t>锁</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铝合金玻璃窗</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玄关柜、鞋柜</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灯</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餐厅</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涂料、灯带</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玻璃推拉门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门锁</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cs="宋体"/>
                <w:b/>
                <w:bCs/>
                <w:i/>
                <w:iCs/>
                <w:color w:val="auto"/>
                <w:kern w:val="0"/>
                <w:sz w:val="22"/>
                <w:szCs w:val="22"/>
                <w:highlight w:val="none"/>
                <w:u w:val="none"/>
                <w:lang w:val="en-US" w:eastAsia="zh-CN" w:bidi="ar"/>
              </w:rPr>
              <w:t>机械</w:t>
            </w:r>
            <w:r>
              <w:rPr>
                <w:rFonts w:hint="eastAsia" w:ascii="宋体" w:hAnsi="宋体" w:eastAsia="宋体" w:cs="宋体"/>
                <w:b/>
                <w:bCs/>
                <w:i/>
                <w:iCs/>
                <w:color w:val="auto"/>
                <w:kern w:val="0"/>
                <w:sz w:val="22"/>
                <w:szCs w:val="22"/>
                <w:highlight w:val="none"/>
                <w:u w:val="none"/>
                <w:lang w:val="en-US" w:eastAsia="zh-CN" w:bidi="ar"/>
              </w:rPr>
              <w:t>锁</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铝合金玻璃窗</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餐桌</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照明灯</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卧室</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涂料、灯带</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实木门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门锁</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cs="宋体"/>
                <w:b/>
                <w:bCs/>
                <w:i/>
                <w:iCs/>
                <w:color w:val="auto"/>
                <w:kern w:val="0"/>
                <w:sz w:val="22"/>
                <w:szCs w:val="22"/>
                <w:highlight w:val="none"/>
                <w:u w:val="none"/>
                <w:lang w:val="en-US" w:eastAsia="zh-CN" w:bidi="ar"/>
              </w:rPr>
              <w:t>机械</w:t>
            </w:r>
            <w:r>
              <w:rPr>
                <w:rFonts w:hint="eastAsia" w:ascii="宋体" w:hAnsi="宋体" w:eastAsia="宋体" w:cs="宋体"/>
                <w:b/>
                <w:bCs/>
                <w:i/>
                <w:iCs/>
                <w:color w:val="auto"/>
                <w:kern w:val="0"/>
                <w:sz w:val="22"/>
                <w:szCs w:val="22"/>
                <w:highlight w:val="none"/>
                <w:u w:val="none"/>
                <w:lang w:val="en-US" w:eastAsia="zh-CN" w:bidi="ar"/>
              </w:rPr>
              <w:t>锁</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铝合金玻璃窗</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床</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电视机</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厨房</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铝扣板</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玻璃推拉门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门锁</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cs="宋体"/>
                <w:b/>
                <w:bCs/>
                <w:i/>
                <w:iCs/>
                <w:color w:val="auto"/>
                <w:kern w:val="0"/>
                <w:sz w:val="22"/>
                <w:szCs w:val="22"/>
                <w:highlight w:val="none"/>
                <w:u w:val="none"/>
                <w:lang w:val="en-US" w:eastAsia="zh-CN" w:bidi="ar"/>
              </w:rPr>
              <w:t>机械</w:t>
            </w:r>
            <w:r>
              <w:rPr>
                <w:rFonts w:hint="eastAsia" w:ascii="宋体" w:hAnsi="宋体" w:eastAsia="宋体" w:cs="宋体"/>
                <w:b/>
                <w:bCs/>
                <w:i/>
                <w:iCs/>
                <w:color w:val="auto"/>
                <w:kern w:val="0"/>
                <w:sz w:val="22"/>
                <w:szCs w:val="22"/>
                <w:highlight w:val="none"/>
                <w:u w:val="none"/>
                <w:lang w:val="en-US" w:eastAsia="zh-CN" w:bidi="ar"/>
              </w:rPr>
              <w:t>锁</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铝合金玻璃窗</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燃气灶</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抽油烟机</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卫生间</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涂料、灯带</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实木门</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门锁</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cs="宋体"/>
                <w:b/>
                <w:bCs/>
                <w:i/>
                <w:iCs/>
                <w:color w:val="auto"/>
                <w:kern w:val="0"/>
                <w:sz w:val="22"/>
                <w:szCs w:val="22"/>
                <w:highlight w:val="none"/>
                <w:u w:val="none"/>
                <w:lang w:val="en-US" w:eastAsia="zh-CN" w:bidi="ar"/>
              </w:rPr>
              <w:t>机械</w:t>
            </w:r>
            <w:r>
              <w:rPr>
                <w:rFonts w:hint="eastAsia" w:ascii="宋体" w:hAnsi="宋体" w:eastAsia="宋体" w:cs="宋体"/>
                <w:b/>
                <w:bCs/>
                <w:i/>
                <w:iCs/>
                <w:color w:val="auto"/>
                <w:kern w:val="0"/>
                <w:sz w:val="22"/>
                <w:szCs w:val="22"/>
                <w:highlight w:val="none"/>
                <w:u w:val="none"/>
                <w:lang w:val="en-US" w:eastAsia="zh-CN" w:bidi="ar"/>
              </w:rPr>
              <w:t>锁</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铝合金玻璃窗</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洗脸盆、马桶</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排气扇</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阳台</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地面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瓷砖</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墙面</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3</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天花板（吊顶）</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涂料、灯带</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4</w:t>
            </w:r>
          </w:p>
        </w:tc>
        <w:tc>
          <w:tcPr>
            <w:tcW w:w="17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设备设施</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洗脸盆、马桶</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5</w:t>
            </w:r>
          </w:p>
        </w:tc>
        <w:tc>
          <w:tcPr>
            <w:tcW w:w="17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iCs/>
                <w:color w:val="auto"/>
                <w:sz w:val="22"/>
                <w:szCs w:val="22"/>
                <w:highlight w:val="none"/>
                <w:u w:val="none"/>
              </w:rPr>
            </w:pPr>
            <w:r>
              <w:rPr>
                <w:rFonts w:hint="eastAsia" w:ascii="宋体" w:hAnsi="宋体" w:eastAsia="宋体" w:cs="宋体"/>
                <w:b/>
                <w:bCs/>
                <w:i/>
                <w:iCs/>
                <w:color w:val="auto"/>
                <w:kern w:val="0"/>
                <w:sz w:val="22"/>
                <w:szCs w:val="22"/>
                <w:highlight w:val="none"/>
                <w:u w:val="none"/>
                <w:lang w:val="en-US" w:eastAsia="zh-CN" w:bidi="ar"/>
              </w:rPr>
              <w:t>排气扇</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lang w:val="en-US" w:eastAsia="zh-CN"/>
              </w:rPr>
            </w:pPr>
            <w:r>
              <w:rPr>
                <w:rFonts w:hint="eastAsia" w:ascii="宋体" w:hAnsi="宋体" w:eastAsia="宋体" w:cs="宋体"/>
                <w:i w:val="0"/>
                <w:color w:val="auto"/>
                <w:sz w:val="22"/>
                <w:szCs w:val="22"/>
                <w:highlight w:val="none"/>
                <w:u w:val="none"/>
                <w:lang w:val="en-US" w:eastAsia="zh-CN"/>
              </w:rPr>
              <w:t>6</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iCs/>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1</w:t>
            </w:r>
          </w:p>
        </w:tc>
        <w:tc>
          <w:tcPr>
            <w:tcW w:w="17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安防系统</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iCs/>
                <w:color w:val="auto"/>
                <w:sz w:val="22"/>
                <w:szCs w:val="22"/>
                <w:highlight w:val="none"/>
                <w:u w:val="none"/>
                <w:lang w:eastAsia="zh-CN"/>
              </w:rPr>
            </w:pPr>
            <w:r>
              <w:rPr>
                <w:rFonts w:hint="eastAsia" w:ascii="宋体" w:hAnsi="宋体" w:eastAsia="宋体" w:cs="宋体"/>
                <w:b/>
                <w:bCs/>
                <w:i/>
                <w:iCs/>
                <w:color w:val="auto"/>
                <w:sz w:val="22"/>
                <w:szCs w:val="22"/>
                <w:highlight w:val="none"/>
                <w:u w:val="none"/>
                <w:lang w:eastAsia="zh-CN"/>
              </w:rPr>
              <w:t>可视门铃</w:t>
            </w: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3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auto"/>
                <w:sz w:val="22"/>
                <w:szCs w:val="22"/>
                <w:highlight w:val="none"/>
                <w:u w:val="none"/>
              </w:rPr>
            </w:pPr>
          </w:p>
        </w:tc>
        <w:tc>
          <w:tcPr>
            <w:tcW w:w="5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2</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请填写其他装饰及设备情况</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c>
          <w:tcPr>
            <w:tcW w:w="1037"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042"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color w:val="auto"/>
                <w:kern w:val="2"/>
                <w:sz w:val="22"/>
                <w:szCs w:val="22"/>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2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adjustRightInd w:val="0"/>
              <w:snapToGrid/>
              <w:spacing w:line="500" w:lineRule="exact"/>
              <w:jc w:val="both"/>
              <w:textAlignment w:val="auto"/>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b/>
                <w:bCs/>
                <w:i w:val="0"/>
                <w:color w:val="auto"/>
                <w:kern w:val="0"/>
                <w:sz w:val="22"/>
                <w:szCs w:val="22"/>
                <w:highlight w:val="none"/>
                <w:u w:val="none"/>
                <w:lang w:val="en-US" w:eastAsia="zh-CN" w:bidi="ar"/>
              </w:rPr>
              <w:t>备注：装修（装置）类别填写内容（斜体加粗字体）为参照示例，请按照房屋实际情况填写</w:t>
            </w:r>
          </w:p>
        </w:tc>
      </w:tr>
    </w:tbl>
    <w:p>
      <w:pPr>
        <w:adjustRightInd w:val="0"/>
        <w:spacing w:line="500" w:lineRule="exact"/>
        <w:rPr>
          <w:rFonts w:hint="eastAsia" w:ascii="黑体" w:hAnsi="宋体" w:eastAsia="黑体" w:cs="宋体"/>
          <w:b/>
          <w:color w:val="auto"/>
          <w:kern w:val="0"/>
          <w:sz w:val="28"/>
          <w:szCs w:val="28"/>
          <w:highlight w:val="none"/>
        </w:rPr>
      </w:pPr>
    </w:p>
    <w:p>
      <w:pPr>
        <w:numPr>
          <w:ilvl w:val="0"/>
          <w:numId w:val="0"/>
        </w:numPr>
        <w:adjustRightInd/>
        <w:spacing w:line="240" w:lineRule="auto"/>
        <w:ind w:firstLine="0" w:firstLineChars="0"/>
        <w:rPr>
          <w:rFonts w:hint="eastAsia" w:ascii="Times New Roman" w:hAnsi="Times New Roman" w:cs="Times New Roman"/>
          <w:color w:val="auto"/>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八</w:t>
      </w:r>
      <w:r>
        <w:rPr>
          <w:rFonts w:hint="eastAsia" w:ascii="黑体" w:hAnsi="宋体" w:eastAsia="黑体" w:cs="宋体"/>
          <w:b/>
          <w:color w:val="auto"/>
          <w:kern w:val="0"/>
          <w:sz w:val="28"/>
          <w:szCs w:val="28"/>
          <w:highlight w:val="none"/>
        </w:rPr>
        <w:t xml:space="preserve">  关于保修范围、保修期限和保修责任的约定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根据《建设工程质量管理条例》《商品住宅实行住宅质量保证书和住宅使用说明书制度的规定》等规定，住宅保修期从开发企业将竣工验收的房屋交付用户使用之日起计算，保修期限不低于下列期限∶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（一）基础设施工程、房屋建筑的地基基础工程和主体结构工程为设计文件规定的该工程的合理使用年限；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（二）屋面防水工程、有防水要求的卫生间以及房间和外墙面的防渗漏为5年（出卖人承诺保修期:</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（三）墙面、厨房和卫生间地面、地下室、管道保修期为2年（出卖人承诺保修期∶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（四）墙面、顶棚抹灰层脱落、地面空鼓开裂、大面积起砂保修期为1年（出卖人承诺保修期∶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（五）卫生洁具保修期为1年（出卖人承诺保修期∶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（六）供热与供冷系统为2个采暖期、供冷期（出卖人承诺保修期∶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个采暖期</w:t>
      </w:r>
    </w:p>
    <w:p>
      <w:pPr>
        <w:keepNext w:val="0"/>
        <w:keepLines w:val="0"/>
        <w:pageBreakBefore w:val="0"/>
        <w:widowControl w:val="0"/>
        <w:kinsoku w:val="0"/>
        <w:wordWrap/>
        <w:overflowPunct/>
        <w:topLinePunct/>
        <w:autoSpaceDE w:val="0"/>
        <w:autoSpaceDN/>
        <w:bidi w:val="0"/>
        <w:adjustRightInd/>
        <w:snapToGrid/>
        <w:spacing w:line="500" w:lineRule="exact"/>
        <w:ind w:left="0" w:leftChars="0"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（七）灯具、电器开关保修期为0.5年（出卖人承诺保修期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八）电气管线、给排水管道以及设备安装和装修工程为2年（出卖人承诺保修期∶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（九）电梯质量保修期为1年（</w:t>
      </w:r>
      <w:r>
        <w:rPr>
          <w:rFonts w:hint="eastAsia" w:ascii="宋体" w:hAnsi="宋体" w:eastAsia="宋体" w:cs="宋体"/>
          <w:color w:val="auto"/>
          <w:sz w:val="28"/>
          <w:szCs w:val="28"/>
          <w:highlight w:val="none"/>
          <w:lang w:val="en-US" w:eastAsia="zh-CN"/>
        </w:rPr>
        <w:t>出卖人承诺保修期∶</w:t>
      </w:r>
      <w:r>
        <w:rPr>
          <w:rFonts w:hint="eastAsia" w:ascii="Times New Roman"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小标宋" w:cs="宋体"/>
          <w:color w:val="auto"/>
          <w:kern w:val="2"/>
          <w:sz w:val="28"/>
          <w:szCs w:val="28"/>
          <w:highlight w:val="none"/>
          <w:lang w:val="en-US" w:eastAsia="zh-CN" w:bidi="ar-SA"/>
        </w:rPr>
      </w:pPr>
      <w:bookmarkStart w:id="5" w:name="OLE_LINK3"/>
      <w:r>
        <w:rPr>
          <w:rFonts w:hint="eastAsia" w:ascii="宋体" w:hAnsi="宋体" w:eastAsia="宋体" w:cs="宋体"/>
          <w:color w:val="auto"/>
          <w:kern w:val="2"/>
          <w:sz w:val="28"/>
          <w:szCs w:val="28"/>
          <w:highlight w:val="none"/>
          <w:lang w:val="en-US" w:eastAsia="zh-CN" w:bidi="ar-SA"/>
        </w:rPr>
        <w:t>（十）消防设施的保修期限为</w:t>
      </w:r>
      <w:r>
        <w:rPr>
          <w:rFonts w:hint="eastAsia" w:ascii="Times New Roman" w:hAnsi="宋体" w:eastAsia="小标宋" w:cs="宋体"/>
          <w:color w:val="auto"/>
          <w:kern w:val="2"/>
          <w:sz w:val="28"/>
          <w:szCs w:val="28"/>
          <w:highlight w:val="none"/>
          <w:u w:val="single"/>
          <w:lang w:val="en-US" w:eastAsia="zh-CN" w:bidi="ar-SA"/>
        </w:rPr>
        <w:t>*</w:t>
      </w:r>
      <w:r>
        <w:rPr>
          <w:rFonts w:hint="eastAsia" w:ascii="宋体" w:hAnsi="宋体" w:eastAsia="小标宋"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商品住宅其他项目的保修期限按《商品住宅质量保证书》中的承诺执行。</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约定标准不得低于相应的国家强制性标准。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在保修期限和范围内的保修费用由出卖人负担，但因买受人使用不当或不可抗力等非出卖人原因造成的问题除外。</w:t>
      </w:r>
    </w:p>
    <w:bookmarkEnd w:id="5"/>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出卖人应在收到买受人通知后</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日内履行保修义务;出卖人对保修责任有异议的，应在收到买受人通知后</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日内通知买受人。买卖双方可委托双方认可且具有资质的监理单位予以</w:t>
      </w:r>
      <w:r>
        <w:rPr>
          <w:rFonts w:hint="eastAsia" w:ascii="宋体" w:hAnsi="宋体" w:cs="宋体"/>
          <w:color w:val="auto"/>
          <w:sz w:val="28"/>
          <w:szCs w:val="28"/>
          <w:highlight w:val="none"/>
          <w:lang w:val="en-US" w:eastAsia="zh-CN"/>
        </w:rPr>
        <w:t>裁</w:t>
      </w:r>
      <w:r>
        <w:rPr>
          <w:rFonts w:hint="eastAsia" w:ascii="宋体" w:hAnsi="宋体" w:eastAsia="宋体" w:cs="宋体"/>
          <w:color w:val="auto"/>
          <w:sz w:val="28"/>
          <w:szCs w:val="28"/>
          <w:highlight w:val="none"/>
          <w:lang w:val="en-US" w:eastAsia="zh-CN"/>
        </w:rPr>
        <w:t>定，也可</w:t>
      </w:r>
      <w:r>
        <w:rPr>
          <w:rFonts w:hint="eastAsia" w:ascii="宋体" w:hAnsi="宋体" w:cs="宋体"/>
          <w:color w:val="auto"/>
          <w:sz w:val="28"/>
          <w:szCs w:val="28"/>
          <w:highlight w:val="none"/>
          <w:lang w:val="en-US" w:eastAsia="zh-CN"/>
        </w:rPr>
        <w:t>委</w:t>
      </w:r>
      <w:r>
        <w:rPr>
          <w:rFonts w:hint="eastAsia" w:ascii="宋体" w:hAnsi="宋体" w:eastAsia="宋体" w:cs="宋体"/>
          <w:color w:val="auto"/>
          <w:sz w:val="28"/>
          <w:szCs w:val="28"/>
          <w:highlight w:val="none"/>
          <w:lang w:val="en-US" w:eastAsia="zh-CN"/>
        </w:rPr>
        <w:t>托有资质的建设工程质量检测机构予以检测，所有费用由责任方承担。</w:t>
      </w: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hint="eastAsia" w:ascii="黑体" w:hAnsi="宋体" w:eastAsia="黑体" w:cs="宋体"/>
          <w:b/>
          <w:color w:val="auto"/>
          <w:kern w:val="0"/>
          <w:sz w:val="28"/>
          <w:szCs w:val="28"/>
          <w:highlight w:val="none"/>
          <w:lang w:val="en-US" w:eastAsia="zh-CN" w:bidi="ar-SA"/>
        </w:rPr>
      </w:pPr>
    </w:p>
    <w:p>
      <w:pPr>
        <w:keepNext w:val="0"/>
        <w:keepLines w:val="0"/>
        <w:pageBreakBefore w:val="0"/>
        <w:kinsoku/>
        <w:wordWrap/>
        <w:overflowPunct/>
        <w:topLinePunct w:val="0"/>
        <w:bidi w:val="0"/>
        <w:adjustRightInd w:val="0"/>
        <w:snapToGrid/>
        <w:spacing w:line="500" w:lineRule="exact"/>
        <w:textAlignment w:val="auto"/>
        <w:rPr>
          <w:rFonts w:hint="eastAsia"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br w:type="page"/>
      </w:r>
      <w:r>
        <w:rPr>
          <w:rFonts w:hint="eastAsia" w:ascii="黑体" w:hAnsi="宋体" w:eastAsia="黑体" w:cs="宋体"/>
          <w:b/>
          <w:color w:val="auto"/>
          <w:kern w:val="0"/>
          <w:sz w:val="28"/>
          <w:szCs w:val="28"/>
          <w:highlight w:val="none"/>
        </w:rPr>
        <w:t>附件</w:t>
      </w:r>
      <w:r>
        <w:rPr>
          <w:rFonts w:hint="eastAsia" w:ascii="黑体" w:hAnsi="宋体" w:eastAsia="黑体" w:cs="宋体"/>
          <w:b/>
          <w:color w:val="auto"/>
          <w:kern w:val="0"/>
          <w:sz w:val="28"/>
          <w:szCs w:val="28"/>
          <w:highlight w:val="none"/>
          <w:lang w:eastAsia="zh-CN"/>
        </w:rPr>
        <w:t>九</w:t>
      </w:r>
      <w:r>
        <w:rPr>
          <w:rFonts w:hint="eastAsia" w:ascii="黑体" w:hAnsi="宋体" w:eastAsia="黑体" w:cs="宋体"/>
          <w:b/>
          <w:color w:val="auto"/>
          <w:kern w:val="0"/>
          <w:sz w:val="28"/>
          <w:szCs w:val="28"/>
          <w:highlight w:val="none"/>
        </w:rPr>
        <w:t xml:space="preserve">  关于质量担保的证明</w:t>
      </w: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hint="eastAsia" w:ascii="黑体" w:hAnsi="宋体" w:eastAsia="黑体" w:cs="宋体"/>
          <w:b/>
          <w:color w:val="auto"/>
          <w:kern w:val="0"/>
          <w:sz w:val="28"/>
          <w:szCs w:val="28"/>
          <w:highlight w:val="none"/>
          <w:lang w:val="en-US" w:eastAsia="zh-CN" w:bidi="ar-SA"/>
        </w:rPr>
      </w:pPr>
    </w:p>
    <w:p>
      <w:pPr>
        <w:keepNext w:val="0"/>
        <w:keepLines w:val="0"/>
        <w:pageBreakBefore w:val="0"/>
        <w:kinsoku/>
        <w:wordWrap/>
        <w:overflowPunct/>
        <w:topLinePunct w:val="0"/>
        <w:bidi w:val="0"/>
        <w:adjustRightInd w:val="0"/>
        <w:snapToGrid/>
        <w:spacing w:line="500" w:lineRule="exact"/>
        <w:textAlignment w:val="auto"/>
        <w:rPr>
          <w:rFonts w:ascii="黑体" w:hAnsi="宋体" w:eastAsia="黑体" w:cs="Times New Roman"/>
          <w:b/>
          <w:color w:val="auto"/>
          <w:sz w:val="28"/>
          <w:szCs w:val="28"/>
          <w:highlight w:val="none"/>
        </w:rPr>
      </w:pPr>
      <w:r>
        <w:rPr>
          <w:rFonts w:hint="eastAsia" w:ascii="黑体" w:hAnsi="Times New Roman" w:eastAsia="黑体" w:cs="Times New Roman"/>
          <w:b/>
          <w:color w:val="auto"/>
          <w:kern w:val="0"/>
          <w:sz w:val="28"/>
          <w:szCs w:val="28"/>
          <w:highlight w:val="none"/>
        </w:rPr>
        <w:br w:type="page"/>
      </w:r>
      <w:r>
        <w:rPr>
          <w:rFonts w:hint="eastAsia" w:ascii="黑体" w:hAnsi="Times New Roman" w:eastAsia="黑体" w:cs="Times New Roman"/>
          <w:b/>
          <w:color w:val="auto"/>
          <w:kern w:val="0"/>
          <w:sz w:val="28"/>
          <w:szCs w:val="28"/>
          <w:highlight w:val="none"/>
        </w:rPr>
        <w:t>附件</w:t>
      </w:r>
      <w:r>
        <w:rPr>
          <w:rFonts w:hint="eastAsia" w:ascii="黑体" w:hAnsi="Times New Roman" w:eastAsia="黑体" w:cs="Times New Roman"/>
          <w:b/>
          <w:color w:val="auto"/>
          <w:kern w:val="0"/>
          <w:sz w:val="28"/>
          <w:szCs w:val="28"/>
          <w:highlight w:val="none"/>
          <w:lang w:eastAsia="zh-CN"/>
        </w:rPr>
        <w:t>十</w:t>
      </w:r>
      <w:r>
        <w:rPr>
          <w:rFonts w:hint="eastAsia" w:ascii="黑体" w:hAnsi="Times New Roman" w:eastAsia="黑体" w:cs="Times New Roman"/>
          <w:b/>
          <w:color w:val="auto"/>
          <w:kern w:val="0"/>
          <w:sz w:val="28"/>
          <w:szCs w:val="28"/>
          <w:highlight w:val="none"/>
        </w:rPr>
        <w:t xml:space="preserve">  关于前期物业</w:t>
      </w:r>
      <w:r>
        <w:rPr>
          <w:rFonts w:hint="eastAsia" w:ascii="黑体" w:hAnsi="Times New Roman" w:eastAsia="黑体" w:cs="Times New Roman"/>
          <w:b/>
          <w:color w:val="auto"/>
          <w:kern w:val="0"/>
          <w:sz w:val="28"/>
          <w:szCs w:val="28"/>
          <w:highlight w:val="none"/>
          <w:lang w:eastAsia="zh-CN"/>
        </w:rPr>
        <w:t>服务</w:t>
      </w:r>
      <w:r>
        <w:rPr>
          <w:rFonts w:hint="eastAsia" w:ascii="黑体" w:hAnsi="Times New Roman" w:eastAsia="黑体" w:cs="Times New Roman"/>
          <w:b/>
          <w:color w:val="auto"/>
          <w:kern w:val="0"/>
          <w:sz w:val="28"/>
          <w:szCs w:val="28"/>
          <w:highlight w:val="none"/>
        </w:rPr>
        <w:t>的约定</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1.前期物业服务合同关键信息表（若</w:t>
      </w:r>
      <w:r>
        <w:rPr>
          <w:rFonts w:hint="eastAsia" w:ascii="宋体" w:hAnsi="宋体" w:eastAsia="宋体" w:cs="Courier New"/>
          <w:color w:val="auto"/>
          <w:kern w:val="2"/>
          <w:sz w:val="28"/>
          <w:szCs w:val="28"/>
          <w:highlight w:val="none"/>
          <w:lang w:val="en-US" w:eastAsia="zh-CN" w:bidi="ar-SA"/>
        </w:rPr>
        <w:t>业主委员会已新选聘物业服务企业，可填写现行有效的物业服务内容</w:t>
      </w:r>
      <w:r>
        <w:rPr>
          <w:rFonts w:hint="eastAsia" w:ascii="宋体" w:hAnsi="宋体" w:eastAsia="宋体" w:cs="宋体"/>
          <w:color w:val="auto"/>
          <w:kern w:val="0"/>
          <w:sz w:val="28"/>
          <w:szCs w:val="28"/>
          <w:highlight w:val="none"/>
          <w:lang w:val="en-US" w:eastAsia="zh-CN" w:bidi="ar-SA"/>
        </w:rPr>
        <w:t>）</w:t>
      </w:r>
    </w:p>
    <w:tbl>
      <w:tblPr>
        <w:tblStyle w:val="8"/>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6"/>
        <w:gridCol w:w="6119"/>
        <w:gridCol w:w="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922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32"/>
                <w:szCs w:val="32"/>
                <w:highlight w:val="none"/>
                <w:u w:val="none"/>
              </w:rPr>
            </w:pPr>
            <w:r>
              <w:rPr>
                <w:rFonts w:hint="eastAsia" w:ascii="宋体" w:hAnsi="宋体" w:eastAsia="宋体" w:cs="宋体"/>
                <w:i w:val="0"/>
                <w:color w:val="auto"/>
                <w:kern w:val="0"/>
                <w:sz w:val="32"/>
                <w:szCs w:val="32"/>
                <w:highlight w:val="none"/>
                <w:u w:val="none"/>
                <w:lang w:val="en-US" w:eastAsia="zh-CN" w:bidi="ar"/>
              </w:rPr>
              <w:t>前期物业合同要点说明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合同要点</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要点内容</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企业名称</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服务期限</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服务主要内容</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服务标准</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服务收费方式</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停车场收费方式</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装修保证金标准</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垃圾清运标准</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服务区域</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r>
              <w:rPr>
                <w:rFonts w:hint="eastAsia" w:ascii="Times New Roman" w:hAnsi="宋体" w:eastAsia="宋体" w:cs="宋体"/>
                <w:color w:val="auto"/>
                <w:kern w:val="0"/>
                <w:sz w:val="28"/>
                <w:szCs w:val="28"/>
                <w:highlight w:val="none"/>
                <w:lang w:eastAsia="zh-CN"/>
              </w:rPr>
              <w:t>（须附图说明）</w:t>
            </w:r>
            <w:r>
              <w:rPr>
                <w:rFonts w:hint="eastAsia" w:ascii="宋体" w:hAnsi="宋体" w:eastAsia="宋体" w:cs="宋体"/>
                <w:color w:val="auto"/>
                <w:kern w:val="0"/>
                <w:sz w:val="28"/>
                <w:szCs w:val="28"/>
                <w:highlight w:val="none"/>
                <w:u w:val="none"/>
              </w:rPr>
              <w:t>*</w:t>
            </w: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w:t>
            </w:r>
          </w:p>
        </w:tc>
        <w:tc>
          <w:tcPr>
            <w:tcW w:w="611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c>
          <w:tcPr>
            <w:tcW w:w="98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color w:val="auto"/>
                <w:sz w:val="22"/>
                <w:szCs w:val="22"/>
                <w:highlight w:val="none"/>
                <w:u w:val="none"/>
              </w:rPr>
            </w:pPr>
          </w:p>
        </w:tc>
      </w:tr>
    </w:tbl>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2.前期物业服务合同（应与经属地物业主管部门备案的前期物业服务合同保持一致。若</w:t>
      </w:r>
      <w:r>
        <w:rPr>
          <w:rFonts w:hint="eastAsia" w:ascii="宋体" w:hAnsi="宋体" w:eastAsia="宋体" w:cs="Courier New"/>
          <w:color w:val="auto"/>
          <w:kern w:val="2"/>
          <w:sz w:val="28"/>
          <w:szCs w:val="28"/>
          <w:highlight w:val="none"/>
          <w:lang w:val="en-US" w:eastAsia="zh-CN" w:bidi="ar-SA"/>
        </w:rPr>
        <w:t>业主委员会已新选聘物业服务企业，可上传现行有效的物业服务合同</w:t>
      </w:r>
      <w:r>
        <w:rPr>
          <w:rFonts w:hint="eastAsia" w:ascii="宋体" w:hAnsi="宋体" w:eastAsia="宋体" w:cs="宋体"/>
          <w:color w:val="auto"/>
          <w:kern w:val="0"/>
          <w:sz w:val="28"/>
          <w:szCs w:val="28"/>
          <w:highlight w:val="none"/>
          <w:lang w:val="en-US" w:eastAsia="zh-CN" w:bidi="ar-SA"/>
        </w:rPr>
        <w:t>）</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3.临时管理规约</w:t>
      </w:r>
    </w:p>
    <w:p>
      <w:pPr>
        <w:keepNext w:val="0"/>
        <w:keepLines w:val="0"/>
        <w:pageBreakBefore w:val="0"/>
        <w:kinsoku/>
        <w:wordWrap/>
        <w:overflowPunct/>
        <w:topLinePunct w:val="0"/>
        <w:bidi w:val="0"/>
        <w:adjustRightInd w:val="0"/>
        <w:snapToGrid/>
        <w:spacing w:line="500" w:lineRule="exact"/>
        <w:textAlignment w:val="auto"/>
        <w:rPr>
          <w:rFonts w:hint="eastAsia" w:ascii="黑体" w:hAnsi="宋体" w:eastAsia="黑体" w:cs="宋体"/>
          <w:b/>
          <w:color w:val="auto"/>
          <w:kern w:val="0"/>
          <w:sz w:val="28"/>
          <w:szCs w:val="28"/>
          <w:highlight w:val="none"/>
        </w:rPr>
        <w:sectPr>
          <w:footerReference r:id="rId6" w:type="default"/>
          <w:footerReference r:id="rId7" w:type="even"/>
          <w:type w:val="continuous"/>
          <w:pgSz w:w="11907" w:h="16840"/>
          <w:pgMar w:top="2098" w:right="1531" w:bottom="1985" w:left="1531" w:header="851" w:footer="1361" w:gutter="0"/>
          <w:pgNumType w:fmt="decimal"/>
          <w:cols w:space="720" w:num="1"/>
          <w:docGrid w:type="lines" w:linePitch="312" w:charSpace="0"/>
        </w:sectPr>
      </w:pPr>
    </w:p>
    <w:p>
      <w:pPr>
        <w:keepNext w:val="0"/>
        <w:keepLines w:val="0"/>
        <w:pageBreakBefore w:val="0"/>
        <w:widowControl w:val="0"/>
        <w:kinsoku/>
        <w:wordWrap/>
        <w:overflowPunct/>
        <w:topLinePunct w:val="0"/>
        <w:bidi w:val="0"/>
        <w:adjustRightInd w:val="0"/>
        <w:snapToGrid/>
        <w:spacing w:line="500" w:lineRule="exact"/>
        <w:jc w:val="both"/>
        <w:textAlignment w:val="auto"/>
        <w:rPr>
          <w:rFonts w:hint="eastAsia" w:ascii="黑体" w:hAnsi="宋体" w:eastAsia="黑体" w:cs="宋体"/>
          <w:b/>
          <w:color w:val="auto"/>
          <w:kern w:val="0"/>
          <w:sz w:val="28"/>
          <w:szCs w:val="28"/>
          <w:highlight w:val="none"/>
          <w:lang w:val="en-US" w:eastAsia="zh-CN" w:bidi="ar-SA"/>
        </w:rPr>
      </w:pPr>
      <w:r>
        <w:rPr>
          <w:rFonts w:hint="eastAsia" w:ascii="黑体" w:hAnsi="宋体" w:eastAsia="黑体" w:cs="宋体"/>
          <w:b/>
          <w:color w:val="auto"/>
          <w:kern w:val="0"/>
          <w:sz w:val="28"/>
          <w:szCs w:val="28"/>
          <w:highlight w:val="none"/>
          <w:lang w:val="en-US" w:eastAsia="zh-CN" w:bidi="ar-SA"/>
        </w:rPr>
        <w:t>附件十一  关于规划区内对买受人日常生活造成负面影响的各项不利因素的说明</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出卖人须告知包括但不限于：该住房公共管道检修口、配电箱、柱、梁等有遮挡或妨碍房屋正常使用的情况；房屋相邻处设置配电房、物业用房、垃圾箱、污水井等可能影响购房业主日常生活的公共配套设施布设情况；楼栋电梯是否可每层停靠、起止楼层是否同层设置等）</w:t>
      </w:r>
    </w:p>
    <w:p>
      <w:pPr>
        <w:keepNext w:val="0"/>
        <w:keepLines w:val="0"/>
        <w:pageBreakBefore w:val="0"/>
        <w:widowControl w:val="0"/>
        <w:kinsoku/>
        <w:wordWrap/>
        <w:overflowPunct/>
        <w:topLinePunct w:val="0"/>
        <w:bidi w:val="0"/>
        <w:adjustRightInd w:val="0"/>
        <w:snapToGrid/>
        <w:spacing w:line="500" w:lineRule="exact"/>
        <w:ind w:firstLine="560" w:firstLineChars="200"/>
        <w:jc w:val="both"/>
        <w:textAlignment w:val="auto"/>
        <w:rPr>
          <w:rFonts w:hint="eastAsia" w:ascii="宋体" w:hAnsi="宋体" w:eastAsia="宋体" w:cs="Courier New"/>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ascii="宋体" w:hAnsi="宋体" w:eastAsia="宋体" w:cs="Courier New"/>
          <w:b/>
          <w:color w:val="auto"/>
          <w:kern w:val="2"/>
          <w:sz w:val="28"/>
          <w:szCs w:val="28"/>
          <w:highlight w:val="none"/>
          <w:lang w:val="en-US" w:eastAsia="zh-CN" w:bidi="ar-SA"/>
        </w:rPr>
      </w:pPr>
    </w:p>
    <w:p>
      <w:pPr>
        <w:keepNext w:val="0"/>
        <w:keepLines w:val="0"/>
        <w:pageBreakBefore w:val="0"/>
        <w:widowControl/>
        <w:kinsoku/>
        <w:wordWrap/>
        <w:overflowPunct/>
        <w:topLinePunct w:val="0"/>
        <w:bidi w:val="0"/>
        <w:snapToGrid/>
        <w:spacing w:line="600" w:lineRule="exact"/>
        <w:jc w:val="left"/>
        <w:textAlignment w:val="auto"/>
        <w:rPr>
          <w:rFonts w:hint="eastAsia" w:ascii="黑体" w:hAnsi="Times New Roman" w:eastAsia="黑体" w:cs="Times New Roman"/>
          <w:b/>
          <w:color w:val="auto"/>
          <w:kern w:val="0"/>
          <w:sz w:val="28"/>
          <w:szCs w:val="28"/>
          <w:highlight w:val="none"/>
        </w:rPr>
      </w:pPr>
      <w:r>
        <w:rPr>
          <w:rFonts w:ascii="Times New Roman" w:hAnsi="宋体" w:cs="Times New Roman"/>
          <w:b/>
          <w:color w:val="auto"/>
          <w:sz w:val="28"/>
          <w:szCs w:val="28"/>
          <w:highlight w:val="none"/>
        </w:rPr>
        <w:br w:type="page"/>
      </w:r>
      <w:r>
        <w:rPr>
          <w:rFonts w:hint="eastAsia" w:ascii="Times New Roman" w:hAnsi="宋体" w:cs="Times New Roman"/>
          <w:b/>
          <w:color w:val="auto"/>
          <w:sz w:val="28"/>
          <w:szCs w:val="28"/>
          <w:highlight w:val="none"/>
          <w:lang w:val="en-US" w:eastAsia="zh-CN"/>
        </w:rPr>
        <w:t xml:space="preserve">    </w:t>
      </w:r>
      <w:r>
        <w:rPr>
          <w:rFonts w:hint="eastAsia" w:ascii="黑体" w:hAnsi="Times New Roman" w:eastAsia="黑体" w:cs="Times New Roman"/>
          <w:b/>
          <w:color w:val="auto"/>
          <w:kern w:val="0"/>
          <w:sz w:val="28"/>
          <w:szCs w:val="28"/>
          <w:highlight w:val="none"/>
        </w:rPr>
        <w:t>附件一</w:t>
      </w:r>
      <w:r>
        <w:rPr>
          <w:rFonts w:hint="eastAsia" w:ascii="黑体" w:hAnsi="Times New Roman" w:eastAsia="黑体" w:cs="Times New Roman"/>
          <w:b/>
          <w:color w:val="auto"/>
          <w:kern w:val="0"/>
          <w:sz w:val="28"/>
          <w:szCs w:val="28"/>
          <w:highlight w:val="none"/>
          <w:lang w:val="en-US" w:eastAsia="zh-CN"/>
        </w:rPr>
        <w:t xml:space="preserve">  </w:t>
      </w:r>
      <w:r>
        <w:rPr>
          <w:rFonts w:hint="eastAsia" w:ascii="黑体" w:hAnsi="Times New Roman" w:eastAsia="黑体" w:cs="Times New Roman"/>
          <w:b/>
          <w:color w:val="auto"/>
          <w:kern w:val="0"/>
          <w:sz w:val="28"/>
          <w:szCs w:val="28"/>
          <w:highlight w:val="none"/>
        </w:rPr>
        <w:t>房屋平面图；</w:t>
      </w:r>
    </w:p>
    <w:p>
      <w:pPr>
        <w:widowControl w:val="0"/>
        <w:spacing w:line="600" w:lineRule="exact"/>
        <w:jc w:val="both"/>
        <w:rPr>
          <w:rFonts w:hint="default" w:ascii="Times New Roman" w:hAnsi="Times New Roman" w:eastAsia="黑体" w:cs="Times New Roman"/>
          <w:kern w:val="2"/>
          <w:sz w:val="44"/>
          <w:szCs w:val="44"/>
          <w:lang w:val="en-US" w:eastAsia="zh-CN" w:bidi="ar-SA"/>
        </w:rPr>
      </w:pPr>
      <w:r>
        <w:rPr>
          <w:rFonts w:hint="eastAsia" w:ascii="黑体" w:hAnsi="Times New Roman" w:eastAsia="黑体" w:cs="Times New Roman"/>
          <w:b/>
          <w:color w:val="auto"/>
          <w:kern w:val="0"/>
          <w:sz w:val="28"/>
          <w:szCs w:val="28"/>
          <w:highlight w:val="none"/>
          <w:lang w:val="en-US" w:eastAsia="zh-CN" w:bidi="ar-SA"/>
        </w:rPr>
        <w:t xml:space="preserve">    附件二  </w:t>
      </w:r>
      <w:r>
        <w:rPr>
          <w:rFonts w:hint="eastAsia" w:ascii="黑体" w:hAnsi="宋体" w:eastAsia="黑体" w:cs="宋体"/>
          <w:b/>
          <w:color w:val="auto"/>
          <w:kern w:val="0"/>
          <w:sz w:val="28"/>
          <w:szCs w:val="28"/>
          <w:highlight w:val="none"/>
          <w:lang w:val="en-US" w:eastAsia="zh-CN" w:bidi="ar-SA"/>
        </w:rPr>
        <w:t>关于车位车库租售方案主要内容的约定；</w:t>
      </w:r>
    </w:p>
    <w:p>
      <w:pPr>
        <w:keepNext w:val="0"/>
        <w:keepLines w:val="0"/>
        <w:pageBreakBefore w:val="0"/>
        <w:kinsoku/>
        <w:wordWrap/>
        <w:overflowPunct/>
        <w:topLinePunct w:val="0"/>
        <w:bidi w:val="0"/>
        <w:adjustRightInd w:val="0"/>
        <w:snapToGrid/>
        <w:spacing w:line="600" w:lineRule="exact"/>
        <w:ind w:firstLine="551" w:firstLineChars="196"/>
        <w:textAlignment w:val="auto"/>
        <w:rPr>
          <w:rFonts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t>附件三</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共用部位的具体说明；</w:t>
      </w:r>
    </w:p>
    <w:p>
      <w:pPr>
        <w:keepNext w:val="0"/>
        <w:keepLines w:val="0"/>
        <w:pageBreakBefore w:val="0"/>
        <w:kinsoku/>
        <w:wordWrap/>
        <w:overflowPunct/>
        <w:topLinePunct w:val="0"/>
        <w:bidi w:val="0"/>
        <w:adjustRightInd w:val="0"/>
        <w:snapToGrid/>
        <w:spacing w:line="600" w:lineRule="exact"/>
        <w:ind w:firstLine="548" w:firstLineChars="195"/>
        <w:textAlignment w:val="auto"/>
        <w:rPr>
          <w:rFonts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t>附件四</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抵押权人同意该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转让的证明及关于抵押的相关约定；</w:t>
      </w:r>
    </w:p>
    <w:p>
      <w:pPr>
        <w:keepNext w:val="0"/>
        <w:keepLines w:val="0"/>
        <w:pageBreakBefore w:val="0"/>
        <w:kinsoku/>
        <w:wordWrap/>
        <w:overflowPunct/>
        <w:topLinePunct w:val="0"/>
        <w:bidi w:val="0"/>
        <w:adjustRightInd w:val="0"/>
        <w:snapToGrid/>
        <w:spacing w:line="600" w:lineRule="exact"/>
        <w:ind w:firstLine="548" w:firstLineChars="195"/>
        <w:textAlignment w:val="auto"/>
        <w:rPr>
          <w:rFonts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t>附件五</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关于该</w:t>
      </w:r>
      <w:r>
        <w:rPr>
          <w:rFonts w:hint="eastAsia" w:ascii="黑体" w:hAnsi="宋体" w:eastAsia="黑体" w:cs="宋体"/>
          <w:b/>
          <w:color w:val="auto"/>
          <w:kern w:val="0"/>
          <w:sz w:val="28"/>
          <w:szCs w:val="28"/>
          <w:highlight w:val="none"/>
          <w:lang w:eastAsia="zh-CN"/>
        </w:rPr>
        <w:t>住房</w:t>
      </w:r>
      <w:r>
        <w:rPr>
          <w:rFonts w:hint="eastAsia" w:ascii="黑体" w:hAnsi="宋体" w:eastAsia="黑体" w:cs="宋体"/>
          <w:b/>
          <w:color w:val="auto"/>
          <w:kern w:val="0"/>
          <w:sz w:val="28"/>
          <w:szCs w:val="28"/>
          <w:highlight w:val="none"/>
        </w:rPr>
        <w:t>价款的计价方式、总价款、付款方式及期限的具体约定；</w:t>
      </w:r>
    </w:p>
    <w:p>
      <w:pPr>
        <w:keepNext w:val="0"/>
        <w:keepLines w:val="0"/>
        <w:pageBreakBefore w:val="0"/>
        <w:kinsoku/>
        <w:wordWrap/>
        <w:overflowPunct/>
        <w:topLinePunct w:val="0"/>
        <w:bidi w:val="0"/>
        <w:adjustRightInd w:val="0"/>
        <w:snapToGrid/>
        <w:spacing w:line="600" w:lineRule="exact"/>
        <w:ind w:firstLine="548" w:firstLineChars="195"/>
        <w:textAlignment w:val="auto"/>
        <w:rPr>
          <w:rFonts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t>附件六</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关于本项目内相关设施、设备的具体约定；</w:t>
      </w:r>
    </w:p>
    <w:p>
      <w:pPr>
        <w:keepNext w:val="0"/>
        <w:keepLines w:val="0"/>
        <w:pageBreakBefore w:val="0"/>
        <w:kinsoku/>
        <w:wordWrap/>
        <w:overflowPunct/>
        <w:topLinePunct w:val="0"/>
        <w:bidi w:val="0"/>
        <w:adjustRightInd w:val="0"/>
        <w:snapToGrid/>
        <w:spacing w:line="600" w:lineRule="exact"/>
        <w:ind w:firstLine="551" w:firstLineChars="196"/>
        <w:textAlignment w:val="auto"/>
        <w:rPr>
          <w:rFonts w:hint="eastAsia" w:ascii="黑体" w:hAnsi="宋体" w:eastAsia="黑体" w:cs="宋体"/>
          <w:b/>
          <w:color w:val="auto"/>
          <w:kern w:val="0"/>
          <w:sz w:val="28"/>
          <w:szCs w:val="28"/>
          <w:highlight w:val="none"/>
        </w:rPr>
      </w:pPr>
      <w:r>
        <w:rPr>
          <w:rFonts w:hint="eastAsia" w:ascii="黑体" w:hAnsi="宋体" w:eastAsia="黑体" w:cs="宋体"/>
          <w:b/>
          <w:color w:val="auto"/>
          <w:kern w:val="0"/>
          <w:sz w:val="28"/>
          <w:szCs w:val="28"/>
          <w:highlight w:val="none"/>
        </w:rPr>
        <w:t>附件</w:t>
      </w:r>
      <w:r>
        <w:rPr>
          <w:rFonts w:hint="eastAsia" w:ascii="黑体" w:hAnsi="Times New Roman" w:eastAsia="黑体" w:cs="Times New Roman"/>
          <w:b/>
          <w:color w:val="auto"/>
          <w:kern w:val="0"/>
          <w:sz w:val="28"/>
          <w:szCs w:val="28"/>
          <w:highlight w:val="none"/>
        </w:rPr>
        <w:t>七</w:t>
      </w:r>
      <w:r>
        <w:rPr>
          <w:rFonts w:hint="eastAsia" w:ascii="黑体" w:hAnsi="宋体" w:eastAsia="黑体" w:cs="宋体"/>
          <w:b/>
          <w:color w:val="auto"/>
          <w:kern w:val="0"/>
          <w:sz w:val="28"/>
          <w:szCs w:val="28"/>
          <w:highlight w:val="none"/>
          <w:lang w:val="en-US" w:eastAsia="zh-CN"/>
        </w:rPr>
        <w:t xml:space="preserve">  </w:t>
      </w:r>
      <w:r>
        <w:rPr>
          <w:rFonts w:hint="eastAsia" w:ascii="黑体" w:hAnsi="宋体" w:eastAsia="黑体" w:cs="宋体"/>
          <w:b/>
          <w:color w:val="auto"/>
          <w:kern w:val="0"/>
          <w:sz w:val="28"/>
          <w:szCs w:val="28"/>
          <w:highlight w:val="none"/>
        </w:rPr>
        <w:t>关于装饰装修及相关设备标准的约定；</w:t>
      </w:r>
    </w:p>
    <w:p>
      <w:pPr>
        <w:keepNext w:val="0"/>
        <w:keepLines w:val="0"/>
        <w:pageBreakBefore w:val="0"/>
        <w:kinsoku/>
        <w:wordWrap/>
        <w:overflowPunct/>
        <w:topLinePunct w:val="0"/>
        <w:bidi w:val="0"/>
        <w:adjustRightInd w:val="0"/>
        <w:snapToGrid/>
        <w:spacing w:line="600" w:lineRule="exact"/>
        <w:ind w:firstLine="551" w:firstLineChars="196"/>
        <w:textAlignment w:val="auto"/>
        <w:rPr>
          <w:rFonts w:hint="eastAsia" w:ascii="黑体" w:hAnsi="宋体" w:eastAsia="黑体" w:cs="宋体"/>
          <w:b/>
          <w:color w:val="auto"/>
          <w:kern w:val="0"/>
          <w:sz w:val="28"/>
          <w:szCs w:val="28"/>
          <w:highlight w:val="none"/>
        </w:rPr>
      </w:pPr>
      <w:r>
        <w:rPr>
          <w:rFonts w:hint="eastAsia" w:ascii="黑体" w:hAnsi="Times New Roman" w:eastAsia="黑体" w:cs="Times New Roman"/>
          <w:b/>
          <w:color w:val="auto"/>
          <w:kern w:val="0"/>
          <w:sz w:val="28"/>
          <w:szCs w:val="28"/>
          <w:highlight w:val="none"/>
        </w:rPr>
        <w:t>附件</w:t>
      </w:r>
      <w:r>
        <w:rPr>
          <w:rFonts w:hint="eastAsia" w:ascii="黑体" w:hAnsi="宋体" w:eastAsia="黑体" w:cs="Times New Roman"/>
          <w:b/>
          <w:color w:val="auto"/>
          <w:kern w:val="0"/>
          <w:sz w:val="28"/>
          <w:szCs w:val="28"/>
          <w:highlight w:val="none"/>
        </w:rPr>
        <w:t>八</w:t>
      </w:r>
      <w:r>
        <w:rPr>
          <w:rFonts w:hint="eastAsia" w:ascii="黑体" w:hAnsi="宋体" w:eastAsia="黑体" w:cs="Times New Roman"/>
          <w:b/>
          <w:color w:val="auto"/>
          <w:kern w:val="0"/>
          <w:sz w:val="28"/>
          <w:szCs w:val="28"/>
          <w:highlight w:val="none"/>
          <w:lang w:val="en-US" w:eastAsia="zh-CN"/>
        </w:rPr>
        <w:t xml:space="preserve">  </w:t>
      </w:r>
      <w:r>
        <w:rPr>
          <w:rFonts w:hint="eastAsia" w:ascii="黑体" w:hAnsi="Times New Roman" w:eastAsia="黑体" w:cs="Times New Roman"/>
          <w:b/>
          <w:color w:val="auto"/>
          <w:kern w:val="0"/>
          <w:sz w:val="28"/>
          <w:szCs w:val="28"/>
          <w:highlight w:val="none"/>
        </w:rPr>
        <w:t>关于保修范围、保修期限和保修责任的约定；</w:t>
      </w:r>
    </w:p>
    <w:p>
      <w:pPr>
        <w:keepNext w:val="0"/>
        <w:keepLines w:val="0"/>
        <w:pageBreakBefore w:val="0"/>
        <w:widowControl w:val="0"/>
        <w:kinsoku/>
        <w:wordWrap/>
        <w:overflowPunct/>
        <w:topLinePunct w:val="0"/>
        <w:bidi w:val="0"/>
        <w:adjustRightInd w:val="0"/>
        <w:snapToGrid/>
        <w:spacing w:line="600" w:lineRule="exact"/>
        <w:ind w:firstLine="551" w:firstLineChars="196"/>
        <w:jc w:val="both"/>
        <w:textAlignment w:val="auto"/>
        <w:rPr>
          <w:rFonts w:ascii="黑体" w:hAnsi="Times New Roman" w:eastAsia="黑体" w:cs="Times New Roman"/>
          <w:b/>
          <w:color w:val="auto"/>
          <w:kern w:val="0"/>
          <w:sz w:val="28"/>
          <w:szCs w:val="28"/>
          <w:highlight w:val="none"/>
          <w:lang w:val="en-US" w:eastAsia="zh-CN" w:bidi="ar-SA"/>
        </w:rPr>
      </w:pPr>
      <w:r>
        <w:rPr>
          <w:rFonts w:hint="eastAsia" w:ascii="黑体" w:hAnsi="宋体" w:eastAsia="黑体" w:cs="Times New Roman"/>
          <w:b/>
          <w:color w:val="auto"/>
          <w:kern w:val="0"/>
          <w:sz w:val="28"/>
          <w:szCs w:val="28"/>
          <w:highlight w:val="none"/>
          <w:lang w:val="en-US" w:eastAsia="zh-CN" w:bidi="ar-SA"/>
        </w:rPr>
        <w:t>附件</w:t>
      </w:r>
      <w:r>
        <w:rPr>
          <w:rFonts w:hint="eastAsia" w:ascii="黑体" w:hAnsi="Times New Roman" w:eastAsia="黑体" w:cs="Times New Roman"/>
          <w:b/>
          <w:color w:val="auto"/>
          <w:kern w:val="0"/>
          <w:sz w:val="28"/>
          <w:szCs w:val="28"/>
          <w:highlight w:val="none"/>
          <w:lang w:val="en-US" w:eastAsia="zh-CN" w:bidi="ar-SA"/>
        </w:rPr>
        <w:t xml:space="preserve">九  </w:t>
      </w:r>
      <w:r>
        <w:rPr>
          <w:rFonts w:hint="eastAsia" w:ascii="黑体" w:hAnsi="宋体" w:eastAsia="黑体" w:cs="Times New Roman"/>
          <w:b/>
          <w:color w:val="auto"/>
          <w:kern w:val="0"/>
          <w:sz w:val="28"/>
          <w:szCs w:val="28"/>
          <w:highlight w:val="none"/>
          <w:lang w:val="en-US" w:eastAsia="zh-CN" w:bidi="ar-SA"/>
        </w:rPr>
        <w:t>关于质量担保的证明；</w:t>
      </w:r>
    </w:p>
    <w:p>
      <w:pPr>
        <w:keepNext w:val="0"/>
        <w:keepLines w:val="0"/>
        <w:pageBreakBefore w:val="0"/>
        <w:widowControl w:val="0"/>
        <w:kinsoku/>
        <w:wordWrap/>
        <w:overflowPunct/>
        <w:topLinePunct w:val="0"/>
        <w:bidi w:val="0"/>
        <w:adjustRightInd w:val="0"/>
        <w:snapToGrid/>
        <w:spacing w:line="600" w:lineRule="exact"/>
        <w:ind w:firstLine="551" w:firstLineChars="196"/>
        <w:jc w:val="both"/>
        <w:textAlignment w:val="auto"/>
        <w:rPr>
          <w:rFonts w:ascii="黑体" w:hAnsi="黑体" w:eastAsia="黑体" w:cs="Times New Roman"/>
          <w:b/>
          <w:bCs/>
          <w:color w:val="auto"/>
          <w:kern w:val="0"/>
          <w:sz w:val="28"/>
          <w:szCs w:val="28"/>
          <w:highlight w:val="none"/>
          <w:lang w:val="en-US" w:eastAsia="zh-CN" w:bidi="ar-SA"/>
        </w:rPr>
      </w:pPr>
      <w:r>
        <w:rPr>
          <w:rFonts w:hint="eastAsia" w:ascii="黑体" w:hAnsi="Times New Roman" w:eastAsia="黑体" w:cs="Times New Roman"/>
          <w:b/>
          <w:color w:val="auto"/>
          <w:kern w:val="0"/>
          <w:sz w:val="28"/>
          <w:szCs w:val="28"/>
          <w:highlight w:val="none"/>
          <w:lang w:val="en-US" w:eastAsia="zh-CN" w:bidi="ar-SA"/>
        </w:rPr>
        <w:t>附件</w:t>
      </w:r>
      <w:r>
        <w:rPr>
          <w:rFonts w:hint="eastAsia" w:ascii="黑体" w:hAnsi="宋体" w:eastAsia="黑体" w:cs="宋体"/>
          <w:b/>
          <w:color w:val="auto"/>
          <w:kern w:val="0"/>
          <w:sz w:val="28"/>
          <w:szCs w:val="28"/>
          <w:highlight w:val="none"/>
          <w:lang w:val="en-US" w:eastAsia="zh-CN" w:bidi="ar-SA"/>
        </w:rPr>
        <w:t>十</w:t>
      </w:r>
      <w:r>
        <w:rPr>
          <w:rFonts w:hint="eastAsia" w:ascii="黑体" w:hAnsi="宋体" w:eastAsia="黑体" w:cs="Times New Roman"/>
          <w:b/>
          <w:color w:val="auto"/>
          <w:kern w:val="0"/>
          <w:sz w:val="28"/>
          <w:szCs w:val="28"/>
          <w:highlight w:val="none"/>
          <w:lang w:val="en-US" w:eastAsia="zh-CN" w:bidi="ar-SA"/>
        </w:rPr>
        <w:t xml:space="preserve">  </w:t>
      </w:r>
      <w:r>
        <w:rPr>
          <w:rFonts w:hint="eastAsia" w:ascii="黑体" w:hAnsi="Times New Roman" w:eastAsia="黑体" w:cs="Times New Roman"/>
          <w:b/>
          <w:color w:val="auto"/>
          <w:kern w:val="0"/>
          <w:sz w:val="28"/>
          <w:szCs w:val="28"/>
          <w:highlight w:val="none"/>
          <w:lang w:val="en-US" w:eastAsia="zh-CN" w:bidi="ar-SA"/>
        </w:rPr>
        <w:t>关于前期物业服务的约定；</w:t>
      </w:r>
    </w:p>
    <w:p>
      <w:pPr>
        <w:keepNext w:val="0"/>
        <w:keepLines w:val="0"/>
        <w:pageBreakBefore w:val="0"/>
        <w:widowControl w:val="0"/>
        <w:kinsoku/>
        <w:wordWrap/>
        <w:overflowPunct/>
        <w:topLinePunct w:val="0"/>
        <w:bidi w:val="0"/>
        <w:adjustRightInd w:val="0"/>
        <w:snapToGrid/>
        <w:spacing w:line="600" w:lineRule="exact"/>
        <w:ind w:firstLine="551" w:firstLineChars="196"/>
        <w:jc w:val="both"/>
        <w:textAlignment w:val="auto"/>
        <w:rPr>
          <w:rFonts w:ascii="黑体" w:hAnsi="宋体" w:eastAsia="黑体" w:cs="Courier New"/>
          <w:b/>
          <w:color w:val="auto"/>
          <w:kern w:val="2"/>
          <w:sz w:val="28"/>
          <w:szCs w:val="28"/>
          <w:highlight w:val="none"/>
          <w:lang w:val="en-US" w:eastAsia="zh-CN" w:bidi="ar-SA"/>
        </w:rPr>
      </w:pPr>
      <w:r>
        <w:rPr>
          <w:rFonts w:hint="eastAsia" w:ascii="黑体" w:hAnsi="宋体" w:eastAsia="黑体" w:cs="宋体"/>
          <w:b/>
          <w:color w:val="auto"/>
          <w:kern w:val="0"/>
          <w:sz w:val="28"/>
          <w:szCs w:val="28"/>
          <w:highlight w:val="none"/>
          <w:lang w:val="en-US" w:eastAsia="zh-CN" w:bidi="ar-SA"/>
        </w:rPr>
        <w:t>附件十一</w:t>
      </w:r>
      <w:r>
        <w:rPr>
          <w:rFonts w:hint="eastAsia" w:ascii="黑体" w:hAnsi="Courier New" w:eastAsia="黑体" w:cs="Courier New"/>
          <w:b/>
          <w:color w:val="auto"/>
          <w:kern w:val="0"/>
          <w:sz w:val="28"/>
          <w:szCs w:val="28"/>
          <w:highlight w:val="none"/>
          <w:lang w:val="en-US" w:eastAsia="zh-CN" w:bidi="ar-SA"/>
        </w:rPr>
        <w:t xml:space="preserve">  </w:t>
      </w:r>
      <w:r>
        <w:rPr>
          <w:rFonts w:hint="eastAsia" w:ascii="黑体" w:hAnsi="宋体" w:eastAsia="黑体" w:cs="宋体"/>
          <w:b/>
          <w:color w:val="auto"/>
          <w:kern w:val="0"/>
          <w:sz w:val="28"/>
          <w:szCs w:val="28"/>
          <w:highlight w:val="none"/>
          <w:lang w:val="en-US" w:eastAsia="zh-CN" w:bidi="ar-SA"/>
        </w:rPr>
        <w:t>关于规划区内对买受人日常生活造成负面影响的各项不利因素的说明；</w:t>
      </w:r>
    </w:p>
    <w:p>
      <w:pPr>
        <w:keepNext w:val="0"/>
        <w:keepLines w:val="0"/>
        <w:pageBreakBefore w:val="0"/>
        <w:kinsoku/>
        <w:wordWrap/>
        <w:overflowPunct/>
        <w:topLinePunct w:val="0"/>
        <w:bidi w:val="0"/>
        <w:adjustRightInd w:val="0"/>
        <w:snapToGrid/>
        <w:spacing w:line="600" w:lineRule="exact"/>
        <w:ind w:firstLine="548" w:firstLineChars="196"/>
        <w:textAlignment w:val="auto"/>
        <w:rPr>
          <w:rFonts w:ascii="宋体" w:hAnsi="宋体" w:cs="Times New Roman"/>
          <w:color w:val="auto"/>
          <w:kern w:val="0"/>
          <w:sz w:val="28"/>
          <w:szCs w:val="28"/>
          <w:highlight w:val="none"/>
        </w:rPr>
      </w:pPr>
      <w:r>
        <w:rPr>
          <w:rFonts w:hint="eastAsia" w:ascii="宋体" w:hAnsi="宋体" w:cs="Times New Roman"/>
          <w:color w:val="auto"/>
          <w:kern w:val="0"/>
          <w:sz w:val="28"/>
          <w:szCs w:val="28"/>
          <w:highlight w:val="none"/>
        </w:rPr>
        <w:t>以上附件内容，双方已确认。</w:t>
      </w: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ascii="宋体" w:hAnsi="宋体" w:eastAsia="宋体" w:cs="Courier New"/>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ascii="宋体" w:hAnsi="宋体" w:eastAsia="宋体" w:cs="Courier New"/>
          <w:b/>
          <w:color w:val="auto"/>
          <w:kern w:val="2"/>
          <w:sz w:val="28"/>
          <w:szCs w:val="28"/>
          <w:highlight w:val="none"/>
          <w:lang w:val="en-US" w:eastAsia="zh-CN" w:bidi="ar-SA"/>
        </w:rPr>
      </w:pPr>
    </w:p>
    <w:p>
      <w:pPr>
        <w:keepNext w:val="0"/>
        <w:keepLines w:val="0"/>
        <w:pageBreakBefore w:val="0"/>
        <w:widowControl w:val="0"/>
        <w:kinsoku/>
        <w:wordWrap/>
        <w:overflowPunct/>
        <w:topLinePunct w:val="0"/>
        <w:bidi w:val="0"/>
        <w:adjustRightInd w:val="0"/>
        <w:snapToGrid/>
        <w:spacing w:line="500" w:lineRule="exact"/>
        <w:ind w:firstLine="562" w:firstLineChars="200"/>
        <w:jc w:val="both"/>
        <w:textAlignment w:val="auto"/>
        <w:rPr>
          <w:rFonts w:ascii="宋体" w:hAnsi="宋体" w:eastAsia="宋体" w:cs="Courier New"/>
          <w:b/>
          <w:color w:val="auto"/>
          <w:kern w:val="2"/>
          <w:sz w:val="28"/>
          <w:szCs w:val="28"/>
          <w:highlight w:val="none"/>
          <w:lang w:val="en-US" w:eastAsia="zh-CN" w:bidi="ar-SA"/>
        </w:rPr>
      </w:pPr>
      <w:r>
        <w:rPr>
          <w:rFonts w:hint="eastAsia" w:ascii="宋体" w:hAnsi="宋体" w:eastAsia="宋体" w:cs="Courier New"/>
          <w:b/>
          <w:color w:val="auto"/>
          <w:kern w:val="2"/>
          <w:sz w:val="28"/>
          <w:szCs w:val="28"/>
          <w:highlight w:val="none"/>
          <w:lang w:val="en-US" w:eastAsia="zh-CN" w:bidi="ar-SA"/>
        </w:rPr>
        <w:t>出卖人（签字或盖章）：</w:t>
      </w:r>
      <w:r>
        <w:rPr>
          <w:rFonts w:ascii="宋体" w:hAnsi="宋体" w:eastAsia="宋体" w:cs="Courier New"/>
          <w:b/>
          <w:color w:val="auto"/>
          <w:kern w:val="2"/>
          <w:sz w:val="28"/>
          <w:szCs w:val="28"/>
          <w:highlight w:val="none"/>
          <w:lang w:val="en-US" w:eastAsia="zh-CN" w:bidi="ar-SA"/>
        </w:rPr>
        <w:t xml:space="preserve">         </w:t>
      </w:r>
      <w:r>
        <w:rPr>
          <w:rFonts w:hint="eastAsia" w:ascii="宋体" w:hAnsi="宋体" w:eastAsia="宋体" w:cs="Courier New"/>
          <w:b/>
          <w:color w:val="auto"/>
          <w:kern w:val="2"/>
          <w:sz w:val="28"/>
          <w:szCs w:val="28"/>
          <w:highlight w:val="none"/>
          <w:lang w:val="en-US" w:eastAsia="zh-CN" w:bidi="ar-SA"/>
        </w:rPr>
        <w:t xml:space="preserve"> 买受人（签字或盖章）：</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方正小标宋简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imSun-Identity-H">
    <w:altName w:val="微软雅黑"/>
    <w:panose1 w:val="00000000000000000000"/>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977"/>
        <w:tab w:val="clear" w:pos="4153"/>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ascii="方正仿宋简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sz w:val="28"/>
        <w:szCs w:val="28"/>
      </w:rPr>
      <w:t xml:space="preserve"> </w:t>
    </w:r>
    <w:r>
      <w:rPr>
        <w:rFonts w:ascii="方正仿宋简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5977"/>
      </w:tabs>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soV7XAQAAsA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qmXJl3YYJJlMbWkxWH7TDx3Lrm&#10;iDR73AdGLa4/JfrOotxpdWYjzMZ2NvY+qF2XdyvVAn+9j9hbbjlVGGGRanJwkJn0tHRpU576Oevx&#10;R1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0bKFe1wEAALADAAAOAAAAAAAAAAEAIAAA&#10;AB8BAABkcnMvZTJvRG9jLnhtbFBLBQYAAAAABgAGAFkBAABoBQ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left" w:pos="5977"/>
      </w:tabs>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7ISzXAQAAsAMAAA4AAABkcnMvZTJvRG9jLnhtbK1TzY7TMBC+I/EO&#10;lu802bK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rrM8fYAGs+4D5qXhnR9waeZ7wMvMelDR5i/yIRhHcU8XceWQiMiPVsvVqsaQwNjsIH71+DxESO+l&#10;tyQbjEacXhGVHz9CGlPnlFzN+TttTJmgcaRn9Ob1m7o8uEQQ3LicK8suTDCZ0th6ttKwGyaeO9+e&#10;kGaP+8Cow/WnxHxwKHdendmIs7GbjUOIet+V3cq1ILw9JOyttJwrjLBINTs4yEJ6Wrq8KX/7Jevx&#10;R9v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Ba+yEs1wEAALADAAAOAAAAAAAAAAEAIAAA&#10;AB8BAABkcnMvZTJvRG9jLnhtbFBLBQYAAAAABgAGAFkBAABoBQAAAAA=&#10;">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4</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r>
      <w:rPr>
        <w:rFonts w:hint="eastAsia" w:ascii="Times New Roman" w:hAnsi="Times New Roman" w:eastAsia="宋体" w:cs="Times New Roman"/>
        <w:kern w:val="2"/>
        <w:sz w:val="18"/>
        <w:szCs w:val="18"/>
        <w:lang w:val="en-US" w:eastAsia="zh-CN" w:bidi="ar-S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ascii="Times New Roman" w:hAnsi="Times New Roman" w:eastAsia="宋体" w:cs="Times New Roman"/>
        <w:kern w:val="2"/>
        <w:sz w:val="18"/>
        <w:szCs w:val="18"/>
        <w:lang w:val="en-US" w:eastAsia="zh-CN" w:bidi="ar-SA"/>
      </w:rPr>
    </w:pPr>
    <w:r>
      <w:rPr>
        <w:rFonts w:ascii="方正仿宋简体" w:hAnsi="Times New Roman"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PAGE   \* MERGEFORMAT</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8</w:t>
    </w:r>
    <w:r>
      <w:rPr>
        <w:rFonts w:ascii="宋体" w:hAnsi="宋体"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r>
      <w:rPr>
        <w:rFonts w:ascii="方正仿宋简体" w:hAnsi="Times New Roman" w:eastAsia="宋体" w:cs="Times New Roman"/>
        <w:kern w:val="2"/>
        <w:sz w:val="28"/>
        <w:szCs w:val="28"/>
        <w:lang w:val="en-US" w:eastAsia="zh-CN" w:bidi="ar-S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58D5B"/>
    <w:multiLevelType w:val="singleLevel"/>
    <w:tmpl w:val="EF658D5B"/>
    <w:lvl w:ilvl="0" w:tentative="0">
      <w:start w:val="1"/>
      <w:numFmt w:val="chineseCounting"/>
      <w:suff w:val="nothing"/>
      <w:lvlText w:val="%1、"/>
      <w:lvlJc w:val="left"/>
      <w:rPr>
        <w:rFonts w:hint="eastAsia"/>
      </w:rPr>
    </w:lvl>
  </w:abstractNum>
  <w:abstractNum w:abstractNumId="1">
    <w:nsid w:val="FFF15D08"/>
    <w:multiLevelType w:val="singleLevel"/>
    <w:tmpl w:val="FFF15D08"/>
    <w:lvl w:ilvl="0" w:tentative="0">
      <w:start w:val="1"/>
      <w:numFmt w:val="chineseCounting"/>
      <w:suff w:val="nothing"/>
      <w:lvlText w:val="（%1）"/>
      <w:lvlJc w:val="left"/>
      <w:rPr>
        <w:rFonts w:hint="eastAsia"/>
      </w:rPr>
    </w:lvl>
  </w:abstractNum>
  <w:abstractNum w:abstractNumId="2">
    <w:nsid w:val="008F7701"/>
    <w:multiLevelType w:val="singleLevel"/>
    <w:tmpl w:val="008F770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336FC"/>
    <w:rsid w:val="54845A1D"/>
    <w:rsid w:val="5A3A1D39"/>
    <w:rsid w:val="62711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240" w:lineRule="atLeast"/>
    </w:pPr>
    <w:rPr>
      <w:rFonts w:eastAsia="小标宋"/>
      <w:sz w:val="44"/>
      <w:szCs w:val="44"/>
    </w:rPr>
  </w:style>
  <w:style w:type="paragraph" w:styleId="3">
    <w:name w:val="Body Text First Indent"/>
    <w:basedOn w:val="2"/>
    <w:next w:val="4"/>
    <w:qFormat/>
    <w:uiPriority w:val="99"/>
    <w:pPr>
      <w:ind w:firstLine="420" w:firstLineChars="100"/>
    </w:pPr>
  </w:style>
  <w:style w:type="paragraph" w:styleId="4">
    <w:name w:val="Body Text First Indent 2"/>
    <w:basedOn w:val="5"/>
    <w:next w:val="1"/>
    <w:qFormat/>
    <w:uiPriority w:val="0"/>
    <w:pPr>
      <w:ind w:firstLine="420" w:firstLineChars="200"/>
    </w:pPr>
  </w:style>
  <w:style w:type="paragraph" w:styleId="5">
    <w:name w:val="Body Text Indent"/>
    <w:basedOn w:val="1"/>
    <w:next w:val="1"/>
    <w:qFormat/>
    <w:uiPriority w:val="0"/>
    <w:pPr>
      <w:spacing w:after="120"/>
      <w:ind w:left="420" w:leftChars="200"/>
    </w:pPr>
    <w:rPr>
      <w:rFonts w:ascii="Calibri" w:hAnsi="Calibri"/>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2025-12-12T08:44:00Z</dcterms:created>
  <dc:creator>Administrator</dc:creator>
  <cp:lastModifiedBy>NTKO</cp:lastModifiedBy>
  <dcterms:modified xsi:type="dcterms:W3CDTF">2025-12-15T07:26:27Z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