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关于规范</w:t>
      </w:r>
      <w:r>
        <w:rPr>
          <w:rFonts w:hint="default" w:ascii="Times New Roman" w:hAnsi="Times New Roman" w:eastAsia="方正小标宋简体" w:cs="Times New Roman"/>
          <w:color w:val="auto"/>
          <w:sz w:val="44"/>
          <w:szCs w:val="44"/>
          <w:lang w:eastAsia="zh-CN"/>
        </w:rPr>
        <w:t>全</w:t>
      </w:r>
      <w:r>
        <w:rPr>
          <w:rFonts w:hint="default" w:ascii="Times New Roman" w:hAnsi="Times New Roman" w:eastAsia="方正小标宋简体" w:cs="Times New Roman"/>
          <w:color w:val="auto"/>
          <w:sz w:val="44"/>
          <w:szCs w:val="44"/>
        </w:rPr>
        <w:t>市托育服务收费管理的通知</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（征求意见稿）</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各县市区发改局、卫健局</w:t>
      </w:r>
      <w:r>
        <w:rPr>
          <w:rFonts w:hint="default" w:ascii="Times New Roman" w:hAnsi="Times New Roman" w:eastAsia="仿宋_GB2312" w:cs="Times New Roman"/>
          <w:color w:val="auto"/>
          <w:spacing w:val="-6"/>
          <w:sz w:val="32"/>
          <w:szCs w:val="32"/>
          <w:lang w:eastAsia="zh-CN"/>
        </w:rPr>
        <w:t>、教育局、财政局</w:t>
      </w:r>
      <w:r>
        <w:rPr>
          <w:rFonts w:hint="default" w:ascii="Times New Roman" w:hAnsi="Times New Roman" w:eastAsia="仿宋_GB2312" w:cs="Times New Roman"/>
          <w:color w:val="auto"/>
          <w:spacing w:val="-6"/>
          <w:sz w:val="32"/>
          <w:szCs w:val="32"/>
        </w:rPr>
        <w:t>，各有关托育</w:t>
      </w:r>
      <w:r>
        <w:rPr>
          <w:rFonts w:hint="default" w:ascii="Times New Roman" w:hAnsi="Times New Roman" w:eastAsia="仿宋_GB2312" w:cs="Times New Roman"/>
          <w:color w:val="auto"/>
          <w:spacing w:val="-6"/>
          <w:sz w:val="32"/>
          <w:szCs w:val="32"/>
          <w:lang w:eastAsia="zh-CN"/>
        </w:rPr>
        <w:t>服务</w:t>
      </w:r>
      <w:r>
        <w:rPr>
          <w:rFonts w:hint="default" w:ascii="Times New Roman" w:hAnsi="Times New Roman" w:eastAsia="仿宋_GB2312" w:cs="Times New Roman"/>
          <w:color w:val="auto"/>
          <w:spacing w:val="-6"/>
          <w:sz w:val="32"/>
          <w:szCs w:val="32"/>
        </w:rPr>
        <w:t>机构：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highlight w:val="none"/>
          <w:lang w:val="en-US" w:eastAsia="zh-CN"/>
        </w:rPr>
        <w:t>规范我市托育服务收费管理，有效减轻群众托育负担，促进托育服务健康发展，根据《国家发展</w:t>
      </w:r>
      <w:bookmarkStart w:id="0" w:name="_GoBack"/>
      <w:bookmarkEnd w:id="0"/>
      <w:r>
        <w:rPr>
          <w:rFonts w:hint="default" w:ascii="Times New Roman" w:hAnsi="Times New Roman" w:eastAsia="仿宋_GB2312" w:cs="Times New Roman"/>
          <w:color w:val="auto"/>
          <w:sz w:val="32"/>
          <w:szCs w:val="32"/>
          <w:highlight w:val="none"/>
          <w:lang w:val="en-US" w:eastAsia="zh-CN"/>
        </w:rPr>
        <w:t>改革委 国家卫生健康委关于进一步完善价格形成机制支持普惠托育服务体系建设的通知》（发改价格〔2024〕1477号），省发改委、省卫健委等五部门《关于优化收费管理政策促进普惠托育服务高质量发展的通知》（鄂发改价调〔2025〕91号）等</w:t>
      </w:r>
      <w:r>
        <w:rPr>
          <w:rFonts w:hint="default" w:ascii="Times New Roman" w:hAnsi="Times New Roman" w:eastAsia="仿宋_GB2312" w:cs="Times New Roman"/>
          <w:color w:val="auto"/>
          <w:sz w:val="32"/>
          <w:szCs w:val="32"/>
        </w:rPr>
        <w:t>有关规定</w:t>
      </w:r>
      <w:r>
        <w:rPr>
          <w:rFonts w:hint="default" w:ascii="Times New Roman" w:hAnsi="Times New Roman" w:eastAsia="仿宋_GB2312" w:cs="Times New Roman"/>
          <w:color w:val="auto"/>
          <w:sz w:val="32"/>
          <w:szCs w:val="32"/>
          <w:lang w:eastAsia="zh-CN"/>
        </w:rPr>
        <w:t>，制定</w:t>
      </w:r>
      <w:r>
        <w:rPr>
          <w:rFonts w:hint="eastAsia" w:ascii="Times New Roman" w:hAnsi="Times New Roman" w:eastAsia="仿宋_GB2312" w:cs="Times New Roman"/>
          <w:color w:val="auto"/>
          <w:sz w:val="32"/>
          <w:szCs w:val="32"/>
          <w:highlight w:val="none"/>
          <w:lang w:eastAsia="zh-CN"/>
        </w:rPr>
        <w:t>全市</w:t>
      </w:r>
      <w:r>
        <w:rPr>
          <w:rFonts w:hint="default" w:ascii="Times New Roman" w:hAnsi="Times New Roman" w:eastAsia="仿宋_GB2312" w:cs="Times New Roman"/>
          <w:color w:val="auto"/>
          <w:sz w:val="32"/>
          <w:szCs w:val="32"/>
          <w:lang w:eastAsia="zh-CN"/>
        </w:rPr>
        <w:t>纳入政府定价管理范围的托育服务收费标准。</w:t>
      </w:r>
      <w:r>
        <w:rPr>
          <w:rFonts w:hint="default" w:ascii="Times New Roman" w:hAnsi="Times New Roman" w:eastAsia="仿宋_GB2312" w:cs="Times New Roman"/>
          <w:color w:val="auto"/>
          <w:sz w:val="32"/>
          <w:szCs w:val="32"/>
        </w:rPr>
        <w:t>现就有关事项通知如下</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国标黑体" w:cs="Times New Roman"/>
          <w:color w:val="auto"/>
          <w:sz w:val="32"/>
          <w:szCs w:val="32"/>
        </w:rPr>
      </w:pPr>
      <w:r>
        <w:rPr>
          <w:rFonts w:hint="default" w:ascii="Times New Roman" w:hAnsi="Times New Roman" w:eastAsia="国标黑体" w:cs="Times New Roman"/>
          <w:color w:val="auto"/>
          <w:sz w:val="32"/>
          <w:szCs w:val="32"/>
        </w:rPr>
        <w:t>一、适用范围</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全市行政区域内按照《托育机构登记和备案办法（试行）》（国卫办人口发〔2019〕25号）规定，经有关部门登记、卫生健康部门备案，面向3岁以下婴幼儿提供照护服务的普惠托育服务机构，包括公办托育服务机构、社会办普惠托育服务机构、公办幼儿园及普惠性民办幼儿园开设的托班。</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国标黑体" w:cs="Times New Roman"/>
          <w:color w:val="auto"/>
          <w:sz w:val="32"/>
          <w:szCs w:val="32"/>
          <w:lang w:eastAsia="zh-CN"/>
        </w:rPr>
      </w:pPr>
      <w:r>
        <w:rPr>
          <w:rFonts w:hint="default" w:ascii="Times New Roman" w:hAnsi="Times New Roman" w:eastAsia="国标黑体" w:cs="Times New Roman"/>
          <w:color w:val="auto"/>
          <w:sz w:val="32"/>
          <w:szCs w:val="32"/>
        </w:rPr>
        <w:t>二、收费项目</w:t>
      </w:r>
      <w:r>
        <w:rPr>
          <w:rFonts w:hint="default" w:ascii="Times New Roman" w:hAnsi="Times New Roman" w:eastAsia="国标黑体" w:cs="Times New Roman"/>
          <w:color w:val="auto"/>
          <w:sz w:val="32"/>
          <w:szCs w:val="32"/>
          <w:lang w:eastAsia="zh-CN"/>
        </w:rPr>
        <w:t>及定价管理方式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托育服务机构收费项目实行省级管理，包括基本服务费和其他服务费。其中基本服务费包括保育费、住宿费（仅限寄宿制，我市目前无寄宿制）；其他服务费包括伙食（含餐点）费、体检费、基本医疗保险费、乘车（含校车）费、外出活动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公办托育服务机构、社会办普惠托育服务机构、公办幼儿园及普惠性民办幼儿园开设的托班基本服务费实行政府指导价，统一制定收费标准上限；各托育服务机构在上限范围内，确定具</w:t>
      </w:r>
      <w:r>
        <w:rPr>
          <w:rFonts w:hint="default" w:ascii="Times New Roman" w:hAnsi="Times New Roman" w:eastAsia="仿宋_GB2312" w:cs="Times New Roman"/>
          <w:color w:val="auto"/>
          <w:sz w:val="32"/>
          <w:szCs w:val="32"/>
        </w:rPr>
        <w:t>体收费标准。其他服务费收费标准</w:t>
      </w:r>
      <w:r>
        <w:rPr>
          <w:rFonts w:hint="default" w:ascii="Times New Roman" w:hAnsi="Times New Roman" w:eastAsia="仿宋_GB2312" w:cs="Times New Roman"/>
          <w:color w:val="auto"/>
          <w:sz w:val="32"/>
          <w:szCs w:val="32"/>
          <w:lang w:eastAsia="zh-CN"/>
        </w:rPr>
        <w:t>由托育服务机</w:t>
      </w:r>
      <w:r>
        <w:rPr>
          <w:rFonts w:hint="default" w:ascii="Times New Roman" w:hAnsi="Times New Roman" w:eastAsia="仿宋_GB2312" w:cs="Times New Roman"/>
          <w:color w:val="auto"/>
          <w:sz w:val="32"/>
          <w:szCs w:val="32"/>
          <w:highlight w:val="none"/>
          <w:lang w:val="en-US" w:eastAsia="zh-CN"/>
        </w:rPr>
        <w:t>构按照家长自愿</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非营利原则合理确定。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w:t>
      </w:r>
      <w:r>
        <w:rPr>
          <w:rFonts w:hint="default" w:ascii="Times New Roman" w:hAnsi="Times New Roman" w:eastAsia="黑体" w:cs="Times New Roman"/>
          <w:color w:val="auto"/>
          <w:sz w:val="32"/>
          <w:szCs w:val="32"/>
          <w:lang w:eastAsia="zh-CN"/>
        </w:rPr>
        <w:t>定价原则</w:t>
      </w:r>
      <w:r>
        <w:rPr>
          <w:rFonts w:hint="default" w:ascii="Times New Roman" w:hAnsi="Times New Roman" w:eastAsia="黑体" w:cs="Times New Roman"/>
          <w:color w:val="auto"/>
          <w:sz w:val="32"/>
          <w:szCs w:val="32"/>
        </w:rPr>
        <w:t>及定价程序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实行政府指导价管理的收费项目，按照公益普惠、成本补偿和非营利性原则，以扣除政府投入、社会无偿捐赠等后的托育服务成本为依据，综合考虑我市居民收入水平、市场供求状况、服务机构性质、服务成本、服务类型等因素，依法合理确定收费标准上限。</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eastAsia="zh-CN"/>
        </w:rPr>
        <w:t>市发改委会同卫健、教育、财政部门制定全市范围内纳入政府定</w:t>
      </w:r>
      <w:r>
        <w:rPr>
          <w:rFonts w:hint="eastAsia" w:ascii="Times New Roman" w:hAnsi="Times New Roman" w:eastAsia="仿宋_GB2312" w:cs="Times New Roman"/>
          <w:color w:val="auto"/>
          <w:sz w:val="32"/>
          <w:szCs w:val="32"/>
          <w:lang w:eastAsia="zh-CN"/>
        </w:rPr>
        <w:t>价</w:t>
      </w:r>
      <w:r>
        <w:rPr>
          <w:rFonts w:hint="default" w:ascii="Times New Roman" w:hAnsi="Times New Roman" w:eastAsia="仿宋_GB2312" w:cs="Times New Roman"/>
          <w:color w:val="auto"/>
          <w:sz w:val="32"/>
          <w:szCs w:val="32"/>
          <w:lang w:eastAsia="zh-CN"/>
        </w:rPr>
        <w:t>管理的托育机构保育费政府指导价上限标准；各县市（含夷陵区）发改局会同卫健、教育、财政部门</w:t>
      </w:r>
      <w:r>
        <w:rPr>
          <w:rFonts w:hint="default" w:ascii="Times New Roman" w:hAnsi="Times New Roman" w:eastAsia="仿宋_GB2312" w:cs="Times New Roman"/>
          <w:color w:val="auto"/>
          <w:sz w:val="32"/>
          <w:szCs w:val="32"/>
          <w:highlight w:val="none"/>
          <w:lang w:eastAsia="zh-CN"/>
        </w:rPr>
        <w:t>在</w:t>
      </w:r>
      <w:r>
        <w:rPr>
          <w:rFonts w:hint="eastAsia" w:ascii="Times New Roman" w:hAnsi="Times New Roman" w:eastAsia="仿宋_GB2312" w:cs="Times New Roman"/>
          <w:color w:val="auto"/>
          <w:sz w:val="32"/>
          <w:szCs w:val="32"/>
          <w:highlight w:val="none"/>
          <w:lang w:eastAsia="zh-CN"/>
        </w:rPr>
        <w:t>低于上限标准</w:t>
      </w:r>
      <w:r>
        <w:rPr>
          <w:rFonts w:hint="default" w:ascii="Times New Roman" w:hAnsi="Times New Roman" w:eastAsia="仿宋_GB2312" w:cs="Times New Roman"/>
          <w:color w:val="auto"/>
          <w:sz w:val="32"/>
          <w:szCs w:val="32"/>
          <w:highlight w:val="none"/>
          <w:lang w:eastAsia="zh-CN"/>
        </w:rPr>
        <w:t>范围内，结合实际，提出</w:t>
      </w:r>
      <w:r>
        <w:rPr>
          <w:rFonts w:hint="eastAsia" w:ascii="Times New Roman" w:hAnsi="Times New Roman" w:eastAsia="仿宋_GB2312" w:cs="Times New Roman"/>
          <w:color w:val="auto"/>
          <w:sz w:val="32"/>
          <w:szCs w:val="32"/>
          <w:highlight w:val="none"/>
          <w:lang w:eastAsia="zh-CN"/>
        </w:rPr>
        <w:t>本地区</w:t>
      </w:r>
      <w:r>
        <w:rPr>
          <w:rFonts w:hint="default" w:ascii="Times New Roman" w:hAnsi="Times New Roman" w:eastAsia="仿宋_GB2312" w:cs="Times New Roman"/>
          <w:color w:val="auto"/>
          <w:sz w:val="32"/>
          <w:szCs w:val="32"/>
          <w:highlight w:val="none"/>
          <w:lang w:eastAsia="zh-CN"/>
        </w:rPr>
        <w:t>托育机构</w:t>
      </w:r>
      <w:r>
        <w:rPr>
          <w:rFonts w:hint="eastAsia" w:ascii="Times New Roman" w:hAnsi="Times New Roman" w:eastAsia="仿宋_GB2312" w:cs="Times New Roman"/>
          <w:color w:val="auto"/>
          <w:sz w:val="32"/>
          <w:szCs w:val="32"/>
          <w:highlight w:val="none"/>
          <w:lang w:eastAsia="zh-CN"/>
        </w:rPr>
        <w:t>保育费政府指导价建议标准，</w:t>
      </w:r>
      <w:r>
        <w:rPr>
          <w:rFonts w:hint="default" w:ascii="Times New Roman" w:hAnsi="Times New Roman" w:eastAsia="仿宋_GB2312" w:cs="Times New Roman"/>
          <w:color w:val="auto"/>
          <w:sz w:val="32"/>
          <w:szCs w:val="32"/>
          <w:highlight w:val="none"/>
          <w:lang w:eastAsia="zh-CN"/>
        </w:rPr>
        <w:t>报市发改委、市卫健委</w:t>
      </w:r>
      <w:r>
        <w:rPr>
          <w:rFonts w:hint="eastAsia" w:ascii="Times New Roman" w:hAnsi="Times New Roman" w:eastAsia="仿宋_GB2312" w:cs="Times New Roman"/>
          <w:color w:val="auto"/>
          <w:sz w:val="32"/>
          <w:szCs w:val="32"/>
          <w:highlight w:val="none"/>
          <w:lang w:eastAsia="zh-CN"/>
        </w:rPr>
        <w:t>审核后实施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w:t>
      </w:r>
      <w:r>
        <w:rPr>
          <w:rFonts w:hint="default" w:ascii="Times New Roman" w:hAnsi="Times New Roman" w:eastAsia="黑体" w:cs="Times New Roman"/>
          <w:color w:val="auto"/>
          <w:sz w:val="32"/>
          <w:szCs w:val="32"/>
          <w:lang w:eastAsia="zh-CN"/>
        </w:rPr>
        <w:t>保育费</w:t>
      </w:r>
      <w:r>
        <w:rPr>
          <w:rFonts w:hint="default" w:ascii="Times New Roman" w:hAnsi="Times New Roman" w:eastAsia="黑体" w:cs="Times New Roman"/>
          <w:color w:val="auto"/>
          <w:sz w:val="32"/>
          <w:szCs w:val="32"/>
        </w:rPr>
        <w:t>收费标准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楷体_GBK" w:cs="Times New Roman"/>
          <w:color w:val="auto"/>
          <w:kern w:val="2"/>
          <w:sz w:val="32"/>
          <w:szCs w:val="32"/>
          <w:highlight w:val="none"/>
          <w:lang w:val="en-US" w:eastAsia="zh-CN" w:bidi="ar-SA"/>
        </w:rPr>
        <w:t>（一）班型设置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国家卫生健康委关于印发托育机构设置标准（试行）和托育机构管理规范（试行）的通知》（国卫人口发〔2019〕58号）规定，托育机构一般设置乳儿班（6－12个月）、托小班（12－24个月）、托大班（24－36个月）三种班型，18个月以上的婴幼儿可混合编班。</w:t>
      </w:r>
      <w:r>
        <w:rPr>
          <w:rFonts w:hint="eastAsia" w:ascii="Times New Roman" w:hAnsi="Times New Roman" w:eastAsia="仿宋_GB2312" w:cs="Times New Roman"/>
          <w:color w:val="auto"/>
          <w:kern w:val="2"/>
          <w:sz w:val="32"/>
          <w:szCs w:val="32"/>
          <w:highlight w:val="none"/>
          <w:lang w:val="en-US" w:eastAsia="zh-CN" w:bidi="ar-SA"/>
        </w:rPr>
        <w:t>全</w:t>
      </w:r>
      <w:r>
        <w:rPr>
          <w:rFonts w:hint="default" w:ascii="Times New Roman" w:hAnsi="Times New Roman" w:eastAsia="仿宋_GB2312" w:cs="Times New Roman"/>
          <w:color w:val="auto"/>
          <w:kern w:val="2"/>
          <w:sz w:val="32"/>
          <w:szCs w:val="32"/>
          <w:highlight w:val="none"/>
          <w:lang w:val="en-US" w:eastAsia="zh-CN" w:bidi="ar-SA"/>
        </w:rPr>
        <w:t>市公办幼儿园、普惠性民办幼儿园托班招收2-3岁幼儿，均为托大班；公办和社会办普惠托育服务机构分为乳儿班、托小班、托大班（混龄班）。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楷体_GBK" w:cs="Times New Roman"/>
          <w:color w:val="auto"/>
          <w:kern w:val="2"/>
          <w:sz w:val="32"/>
          <w:szCs w:val="32"/>
          <w:highlight w:val="none"/>
          <w:lang w:val="en-US" w:eastAsia="zh-CN" w:bidi="ar-SA"/>
        </w:rPr>
        <w:t>（二）全日托收费标准</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267"/>
        <w:gridCol w:w="2266"/>
        <w:gridCol w:w="2248"/>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81" w:hRule="atLeast"/>
        </w:trPr>
        <w:tc>
          <w:tcPr>
            <w:tcW w:w="1252" w:type="pct"/>
            <w:vMerge w:val="restar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color w:val="auto"/>
                <w:kern w:val="2"/>
                <w:sz w:val="32"/>
                <w:szCs w:val="32"/>
                <w:highlight w:val="none"/>
                <w:vertAlign w:val="baseline"/>
                <w:lang w:val="en-US" w:eastAsia="zh-CN" w:bidi="ar-SA"/>
              </w:rPr>
            </w:pPr>
            <w:r>
              <w:rPr>
                <w:rFonts w:hint="eastAsia" w:ascii="黑体" w:hAnsi="黑体" w:eastAsia="黑体" w:cs="黑体"/>
                <w:color w:val="auto"/>
                <w:kern w:val="2"/>
                <w:sz w:val="32"/>
                <w:szCs w:val="32"/>
                <w:highlight w:val="none"/>
                <w:vertAlign w:val="baseline"/>
                <w:lang w:val="en-US" w:eastAsia="zh-CN" w:bidi="ar-SA"/>
              </w:rPr>
              <w:t>托育机构类型</w:t>
            </w:r>
          </w:p>
        </w:tc>
        <w:tc>
          <w:tcPr>
            <w:tcW w:w="3747" w:type="pct"/>
            <w:gridSpan w:val="3"/>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color w:val="auto"/>
                <w:kern w:val="2"/>
                <w:sz w:val="32"/>
                <w:szCs w:val="32"/>
                <w:highlight w:val="none"/>
                <w:vertAlign w:val="baseline"/>
                <w:lang w:val="en-US" w:eastAsia="zh-CN" w:bidi="ar-SA"/>
              </w:rPr>
            </w:pPr>
            <w:r>
              <w:rPr>
                <w:rFonts w:hint="eastAsia" w:ascii="黑体" w:hAnsi="黑体" w:eastAsia="黑体" w:cs="黑体"/>
                <w:color w:val="auto"/>
                <w:kern w:val="2"/>
                <w:sz w:val="32"/>
                <w:szCs w:val="32"/>
                <w:highlight w:val="none"/>
                <w:vertAlign w:val="baseline"/>
                <w:lang w:val="en-US" w:eastAsia="zh-CN" w:bidi="ar-SA"/>
              </w:rPr>
              <w:t>保育费收费标准（元/生·月）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atLeast"/>
        </w:trPr>
        <w:tc>
          <w:tcPr>
            <w:tcW w:w="1252" w:type="pct"/>
            <w:vMerge w:val="continue"/>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color w:val="auto"/>
                <w:kern w:val="2"/>
                <w:sz w:val="32"/>
                <w:szCs w:val="32"/>
                <w:highlight w:val="none"/>
                <w:vertAlign w:val="baseline"/>
                <w:lang w:val="en-US" w:eastAsia="zh-CN" w:bidi="ar-SA"/>
              </w:rPr>
            </w:pPr>
          </w:p>
        </w:tc>
        <w:tc>
          <w:tcPr>
            <w:tcW w:w="1251"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color w:val="auto"/>
                <w:kern w:val="2"/>
                <w:sz w:val="32"/>
                <w:szCs w:val="32"/>
                <w:highlight w:val="none"/>
                <w:vertAlign w:val="baseline"/>
                <w:lang w:val="en-US" w:eastAsia="zh-CN" w:bidi="ar-SA"/>
              </w:rPr>
            </w:pPr>
            <w:r>
              <w:rPr>
                <w:rFonts w:hint="eastAsia" w:ascii="黑体" w:hAnsi="黑体" w:eastAsia="黑体" w:cs="黑体"/>
                <w:color w:val="auto"/>
                <w:kern w:val="2"/>
                <w:sz w:val="32"/>
                <w:szCs w:val="32"/>
                <w:highlight w:val="none"/>
                <w:vertAlign w:val="baseline"/>
                <w:lang w:val="en-US" w:eastAsia="zh-CN" w:bidi="ar-SA"/>
              </w:rPr>
              <w:t>乳儿班</w:t>
            </w:r>
          </w:p>
        </w:tc>
        <w:tc>
          <w:tcPr>
            <w:tcW w:w="1241"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color w:val="auto"/>
                <w:kern w:val="2"/>
                <w:sz w:val="32"/>
                <w:szCs w:val="32"/>
                <w:highlight w:val="none"/>
                <w:vertAlign w:val="baseline"/>
                <w:lang w:val="en-US" w:eastAsia="zh-CN" w:bidi="ar-SA"/>
              </w:rPr>
            </w:pPr>
            <w:r>
              <w:rPr>
                <w:rFonts w:hint="eastAsia" w:ascii="黑体" w:hAnsi="黑体" w:eastAsia="黑体" w:cs="黑体"/>
                <w:color w:val="auto"/>
                <w:kern w:val="2"/>
                <w:sz w:val="32"/>
                <w:szCs w:val="32"/>
                <w:highlight w:val="none"/>
                <w:vertAlign w:val="baseline"/>
                <w:lang w:val="en-US" w:eastAsia="zh-CN" w:bidi="ar-SA"/>
              </w:rPr>
              <w:t>托小班</w:t>
            </w:r>
          </w:p>
        </w:tc>
        <w:tc>
          <w:tcPr>
            <w:tcW w:w="1254"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color w:val="auto"/>
                <w:kern w:val="2"/>
                <w:sz w:val="32"/>
                <w:szCs w:val="32"/>
                <w:highlight w:val="none"/>
                <w:vertAlign w:val="baseline"/>
                <w:lang w:val="en-US" w:eastAsia="zh-CN" w:bidi="ar-SA"/>
              </w:rPr>
            </w:pPr>
            <w:r>
              <w:rPr>
                <w:rFonts w:hint="eastAsia" w:ascii="黑体" w:hAnsi="黑体" w:eastAsia="黑体" w:cs="黑体"/>
                <w:color w:val="auto"/>
                <w:kern w:val="2"/>
                <w:sz w:val="32"/>
                <w:szCs w:val="32"/>
                <w:highlight w:val="none"/>
                <w:vertAlign w:val="baseline"/>
                <w:lang w:val="en-US" w:eastAsia="zh-CN" w:bidi="ar-SA"/>
              </w:rPr>
              <w:t>托大班</w:t>
            </w:r>
          </w:p>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color w:val="auto"/>
                <w:kern w:val="2"/>
                <w:sz w:val="32"/>
                <w:szCs w:val="32"/>
                <w:highlight w:val="none"/>
                <w:vertAlign w:val="baseline"/>
                <w:lang w:val="en-US" w:eastAsia="zh-CN" w:bidi="ar-SA"/>
              </w:rPr>
            </w:pPr>
            <w:r>
              <w:rPr>
                <w:rFonts w:hint="eastAsia" w:ascii="黑体" w:hAnsi="黑体" w:eastAsia="黑体" w:cs="黑体"/>
                <w:color w:val="auto"/>
                <w:kern w:val="2"/>
                <w:sz w:val="32"/>
                <w:szCs w:val="32"/>
                <w:highlight w:val="none"/>
                <w:vertAlign w:val="baseline"/>
                <w:lang w:val="en-US" w:eastAsia="zh-CN" w:bidi="ar-SA"/>
              </w:rPr>
              <w:t>（混龄班）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6" w:hRule="atLeast"/>
        </w:trPr>
        <w:tc>
          <w:tcPr>
            <w:tcW w:w="1252"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公办幼儿园</w:t>
            </w:r>
          </w:p>
        </w:tc>
        <w:tc>
          <w:tcPr>
            <w:tcW w:w="1251"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国标仿宋" w:cs="Times New Roman"/>
                <w:color w:val="auto"/>
                <w:kern w:val="2"/>
                <w:sz w:val="32"/>
                <w:szCs w:val="32"/>
                <w:highlight w:val="none"/>
                <w:vertAlign w:val="baseline"/>
                <w:lang w:val="en-US" w:eastAsia="zh-CN" w:bidi="ar-SA"/>
              </w:rPr>
              <w:t>/</w:t>
            </w:r>
          </w:p>
        </w:tc>
        <w:tc>
          <w:tcPr>
            <w:tcW w:w="1241"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国标仿宋" w:cs="Times New Roman"/>
                <w:color w:val="auto"/>
                <w:kern w:val="2"/>
                <w:sz w:val="32"/>
                <w:szCs w:val="32"/>
                <w:highlight w:val="none"/>
                <w:vertAlign w:val="baseline"/>
                <w:lang w:val="en-US" w:eastAsia="zh-CN" w:bidi="ar-SA"/>
              </w:rPr>
              <w:t>/</w:t>
            </w:r>
          </w:p>
        </w:tc>
        <w:tc>
          <w:tcPr>
            <w:tcW w:w="1254"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atLeast"/>
        </w:trPr>
        <w:tc>
          <w:tcPr>
            <w:tcW w:w="1252"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普惠性民办</w:t>
            </w:r>
          </w:p>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幼儿园</w:t>
            </w:r>
          </w:p>
        </w:tc>
        <w:tc>
          <w:tcPr>
            <w:tcW w:w="1251"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国标仿宋" w:cs="Times New Roman"/>
                <w:color w:val="auto"/>
                <w:kern w:val="2"/>
                <w:sz w:val="32"/>
                <w:szCs w:val="32"/>
                <w:highlight w:val="none"/>
                <w:vertAlign w:val="baseline"/>
                <w:lang w:val="en-US" w:eastAsia="zh-CN" w:bidi="ar-SA"/>
              </w:rPr>
              <w:t>/</w:t>
            </w:r>
          </w:p>
        </w:tc>
        <w:tc>
          <w:tcPr>
            <w:tcW w:w="1241"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国标仿宋" w:cs="Times New Roman"/>
                <w:color w:val="auto"/>
                <w:kern w:val="2"/>
                <w:sz w:val="32"/>
                <w:szCs w:val="32"/>
                <w:highlight w:val="none"/>
                <w:vertAlign w:val="baseline"/>
                <w:lang w:val="en-US" w:eastAsia="zh-CN" w:bidi="ar-SA"/>
              </w:rPr>
              <w:t>/</w:t>
            </w:r>
          </w:p>
        </w:tc>
        <w:tc>
          <w:tcPr>
            <w:tcW w:w="1254"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trPr>
        <w:tc>
          <w:tcPr>
            <w:tcW w:w="1252"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rightChars="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公办托育机构</w:t>
            </w:r>
          </w:p>
        </w:tc>
        <w:tc>
          <w:tcPr>
            <w:tcW w:w="1251"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rightChars="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1800</w:t>
            </w:r>
          </w:p>
        </w:tc>
        <w:tc>
          <w:tcPr>
            <w:tcW w:w="1241"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rightChars="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1300</w:t>
            </w:r>
          </w:p>
        </w:tc>
        <w:tc>
          <w:tcPr>
            <w:tcW w:w="1254"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rightChars="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atLeast"/>
        </w:trPr>
        <w:tc>
          <w:tcPr>
            <w:tcW w:w="1252"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rightChars="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社会办普惠</w:t>
            </w:r>
          </w:p>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rightChars="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托育机构</w:t>
            </w:r>
          </w:p>
        </w:tc>
        <w:tc>
          <w:tcPr>
            <w:tcW w:w="1251"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rightChars="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2200</w:t>
            </w:r>
          </w:p>
        </w:tc>
        <w:tc>
          <w:tcPr>
            <w:tcW w:w="1241"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rightChars="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1800</w:t>
            </w:r>
          </w:p>
        </w:tc>
        <w:tc>
          <w:tcPr>
            <w:tcW w:w="1254" w:type="pct"/>
            <w:noWrap w:val="0"/>
            <w:vAlign w:val="center"/>
          </w:tcPr>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rightChars="0"/>
              <w:jc w:val="center"/>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7" w:hRule="atLeast"/>
        </w:trPr>
        <w:tc>
          <w:tcPr>
            <w:tcW w:w="5000" w:type="pct"/>
            <w:gridSpan w:val="4"/>
            <w:noWrap w:val="0"/>
            <w:vAlign w:val="center"/>
          </w:tcPr>
          <w:p>
            <w:pPr>
              <w:keepNext w:val="0"/>
              <w:keepLines w:val="0"/>
              <w:pageBreakBefore w:val="0"/>
              <w:widowControl w:val="0"/>
              <w:kinsoku/>
              <w:wordWrap/>
              <w:overflowPunct w:val="0"/>
              <w:topLinePunct w:val="0"/>
              <w:autoSpaceDE/>
              <w:autoSpaceDN/>
              <w:bidi w:val="0"/>
              <w:spacing w:line="560" w:lineRule="exact"/>
              <w:jc w:val="both"/>
              <w:textAlignment w:val="auto"/>
              <w:rPr>
                <w:rFonts w:hint="default"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b/>
                <w:bCs/>
                <w:color w:val="auto"/>
                <w:kern w:val="2"/>
                <w:sz w:val="30"/>
                <w:szCs w:val="30"/>
                <w:highlight w:val="none"/>
                <w:vertAlign w:val="baseline"/>
                <w:lang w:val="en-US" w:eastAsia="zh-CN" w:bidi="ar-SA"/>
              </w:rPr>
              <w:t>备注：</w:t>
            </w:r>
            <w:r>
              <w:rPr>
                <w:rFonts w:hint="default" w:ascii="Times New Roman" w:hAnsi="Times New Roman" w:eastAsia="仿宋_GB2312" w:cs="Times New Roman"/>
                <w:sz w:val="30"/>
                <w:szCs w:val="30"/>
                <w:highlight w:val="none"/>
                <w:lang w:val="en-US" w:eastAsia="zh-CN"/>
              </w:rPr>
              <w:t>1.此标准为上限标准。市城区托育机构具体收费标准，在上限标准范围内合理确定。县市（含夷陵区）托育机构具体收费标准，在经市发改委审核的</w:t>
            </w:r>
            <w:r>
              <w:rPr>
                <w:rFonts w:hint="default" w:ascii="Times New Roman" w:hAnsi="Times New Roman" w:eastAsia="仿宋_GB2312" w:cs="Times New Roman"/>
                <w:color w:val="auto"/>
                <w:sz w:val="30"/>
                <w:szCs w:val="30"/>
                <w:highlight w:val="none"/>
                <w:lang w:val="en-US" w:eastAsia="zh-CN"/>
              </w:rPr>
              <w:t>各县市政府指导价范围内</w:t>
            </w:r>
            <w:r>
              <w:rPr>
                <w:rFonts w:hint="default" w:ascii="Times New Roman" w:hAnsi="Times New Roman" w:eastAsia="仿宋_GB2312" w:cs="Times New Roman"/>
                <w:sz w:val="30"/>
                <w:szCs w:val="30"/>
                <w:highlight w:val="none"/>
                <w:lang w:val="en-US" w:eastAsia="zh-CN"/>
              </w:rPr>
              <w:t>合理确定。</w:t>
            </w:r>
          </w:p>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firstLine="600" w:firstLineChars="200"/>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2.公办及普惠性民办幼儿园托班保育费标准应参考本园学前教育收费标准、托育成本状况、服务水平等因素，在政府指导价范围内合理确定；制定或调整收费标准前需经成本核算、集体决策和社会公示等程序，并报同级教育、发改、卫健部门备案。</w:t>
            </w:r>
          </w:p>
          <w:p>
            <w:pPr>
              <w:pStyle w:val="6"/>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60" w:lineRule="exact"/>
              <w:ind w:right="0" w:firstLine="600" w:firstLineChars="200"/>
              <w:jc w:val="both"/>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sz w:val="30"/>
                <w:szCs w:val="30"/>
                <w:highlight w:val="none"/>
                <w:lang w:val="en-US" w:eastAsia="zh-CN"/>
              </w:rPr>
              <w:t>3.托育机构类型由</w:t>
            </w:r>
            <w:r>
              <w:rPr>
                <w:rFonts w:hint="default" w:ascii="Times New Roman" w:hAnsi="Times New Roman" w:eastAsia="仿宋_GB2312" w:cs="Times New Roman"/>
                <w:b w:val="0"/>
                <w:bCs w:val="0"/>
                <w:color w:val="auto"/>
                <w:sz w:val="30"/>
                <w:szCs w:val="30"/>
                <w:highlight w:val="none"/>
                <w:lang w:val="en-US" w:eastAsia="zh-CN"/>
              </w:rPr>
              <w:t>同级</w:t>
            </w:r>
            <w:r>
              <w:rPr>
                <w:rFonts w:hint="default" w:ascii="Times New Roman" w:hAnsi="Times New Roman" w:eastAsia="仿宋_GB2312" w:cs="Times New Roman"/>
                <w:sz w:val="30"/>
                <w:szCs w:val="30"/>
                <w:highlight w:val="none"/>
                <w:lang w:val="en-US" w:eastAsia="zh-CN"/>
              </w:rPr>
              <w:t>卫健、教育部门认定。</w:t>
            </w:r>
          </w:p>
        </w:tc>
      </w:tr>
    </w:tbl>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default" w:ascii="Times New Roman" w:hAnsi="Times New Roman" w:eastAsia="方正楷体_GBK" w:cs="Times New Roman"/>
          <w:color w:val="auto"/>
          <w:kern w:val="2"/>
          <w:sz w:val="32"/>
          <w:szCs w:val="32"/>
          <w:highlight w:val="none"/>
          <w:lang w:val="en-US" w:eastAsia="zh-CN" w:bidi="ar-SA"/>
        </w:rPr>
        <w:t>（三）其他托育形式收费标准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全日托时间一般不少于8小时/日，具体由卫健、教育部门研究确定。提供半日托（不少于4小时）、计时托等其他托育服务的，收费标准以按小时折算的全日托保育费为基准，在上浮不超过20%、下浮不限的范围内，由托育双方协议约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国标黑体" w:cs="Times New Roman"/>
          <w:color w:val="auto"/>
          <w:sz w:val="32"/>
          <w:szCs w:val="32"/>
          <w:lang w:eastAsia="zh-CN"/>
        </w:rPr>
      </w:pPr>
      <w:r>
        <w:rPr>
          <w:rFonts w:hint="default" w:ascii="Times New Roman" w:hAnsi="Times New Roman" w:eastAsia="国标黑体" w:cs="Times New Roman"/>
          <w:i w:val="0"/>
          <w:caps w:val="0"/>
          <w:color w:val="auto"/>
          <w:spacing w:val="0"/>
          <w:sz w:val="32"/>
          <w:szCs w:val="32"/>
          <w:shd w:val="clear" w:color="auto" w:fill="FFFFFF"/>
          <w:lang w:eastAsia="zh-CN"/>
        </w:rPr>
        <w:t>五</w:t>
      </w:r>
      <w:r>
        <w:rPr>
          <w:rFonts w:hint="default" w:ascii="Times New Roman" w:hAnsi="Times New Roman" w:eastAsia="国标黑体" w:cs="Times New Roman"/>
          <w:i w:val="0"/>
          <w:caps w:val="0"/>
          <w:color w:val="auto"/>
          <w:spacing w:val="0"/>
          <w:sz w:val="32"/>
          <w:szCs w:val="32"/>
          <w:shd w:val="clear" w:color="auto" w:fill="FFFFFF"/>
        </w:rPr>
        <w:t>、</w:t>
      </w:r>
      <w:r>
        <w:rPr>
          <w:rFonts w:hint="default" w:ascii="Times New Roman" w:hAnsi="Times New Roman" w:eastAsia="国标黑体" w:cs="Times New Roman"/>
          <w:i w:val="0"/>
          <w:caps w:val="0"/>
          <w:color w:val="auto"/>
          <w:spacing w:val="0"/>
          <w:sz w:val="32"/>
          <w:szCs w:val="32"/>
          <w:shd w:val="clear" w:color="auto" w:fill="FFFFFF"/>
          <w:lang w:eastAsia="zh-CN"/>
        </w:rPr>
        <w:t>有关要求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Style w:val="11"/>
          <w:rFonts w:hint="default" w:ascii="Times New Roman" w:hAnsi="Times New Roman" w:eastAsia="方正楷体_GBK" w:cs="Times New Roman"/>
          <w:b w:val="0"/>
          <w:bCs w:val="0"/>
          <w:i w:val="0"/>
          <w:caps w:val="0"/>
          <w:color w:val="auto"/>
          <w:spacing w:val="0"/>
          <w:sz w:val="32"/>
          <w:szCs w:val="32"/>
          <w:shd w:val="clear" w:color="auto" w:fill="FFFFFF"/>
        </w:rPr>
        <w:t>（一）落实收费公示制度。</w:t>
      </w:r>
      <w:r>
        <w:rPr>
          <w:rFonts w:hint="default" w:ascii="Times New Roman" w:hAnsi="Times New Roman" w:eastAsia="仿宋_GB2312" w:cs="Times New Roman"/>
          <w:b/>
          <w:bCs/>
          <w:color w:val="auto"/>
          <w:kern w:val="2"/>
          <w:sz w:val="32"/>
          <w:szCs w:val="32"/>
          <w:highlight w:val="none"/>
          <w:lang w:val="en-US" w:eastAsia="zh-CN" w:bidi="ar-SA"/>
        </w:rPr>
        <w:t>一是规范收费公示。</w:t>
      </w:r>
      <w:r>
        <w:rPr>
          <w:rFonts w:hint="default" w:ascii="Times New Roman" w:hAnsi="Times New Roman" w:eastAsia="仿宋_GB2312" w:cs="Times New Roman"/>
          <w:color w:val="auto"/>
          <w:kern w:val="2"/>
          <w:sz w:val="32"/>
          <w:szCs w:val="32"/>
          <w:highlight w:val="none"/>
          <w:lang w:val="en-US" w:eastAsia="zh-CN" w:bidi="ar-SA"/>
        </w:rPr>
        <w:t>市县级卫健部门会同发改、教育、财政等部门负责本地区公办、社会办普惠托育服务机构名单认定及机构等级评定结果发布、收费目录清单的统一集中公示和动态更新。托育服务机构应在门户网站等网络平台、经营场所公示栏等显著位置，发布招生简章、入托通知、财务信息公告，常年动态公开和更新服务费用目录清单，主动接受社会监督。</w:t>
      </w:r>
      <w:r>
        <w:rPr>
          <w:rFonts w:hint="default" w:ascii="Times New Roman" w:hAnsi="Times New Roman" w:eastAsia="仿宋_GB2312" w:cs="Times New Roman"/>
          <w:b/>
          <w:bCs/>
          <w:color w:val="auto"/>
          <w:kern w:val="2"/>
          <w:sz w:val="32"/>
          <w:szCs w:val="32"/>
          <w:highlight w:val="none"/>
          <w:lang w:val="en-US" w:eastAsia="zh-CN" w:bidi="ar-SA"/>
        </w:rPr>
        <w:t>二是规范编制收费清单。</w:t>
      </w:r>
      <w:r>
        <w:rPr>
          <w:rFonts w:hint="default" w:ascii="Times New Roman" w:hAnsi="Times New Roman" w:eastAsia="仿宋_GB2312" w:cs="Times New Roman"/>
          <w:color w:val="auto"/>
          <w:kern w:val="2"/>
          <w:sz w:val="32"/>
          <w:szCs w:val="32"/>
          <w:highlight w:val="none"/>
          <w:lang w:val="en-US" w:eastAsia="zh-CN" w:bidi="ar-SA"/>
        </w:rPr>
        <w:t>目录清单应包含托育机构性质、收费项目、标准及依据、服务内容、财政补助及减免政策、执行时间、投诉电话等内容。目录清单之外不得收取其他费用。未按规定公示或公示内容与政策不符的，不得收费。</w:t>
      </w:r>
      <w:r>
        <w:rPr>
          <w:rFonts w:hint="default" w:ascii="Times New Roman" w:hAnsi="Times New Roman" w:eastAsia="仿宋_GB2312" w:cs="Times New Roman"/>
          <w:b/>
          <w:bCs/>
          <w:color w:val="auto"/>
          <w:kern w:val="2"/>
          <w:sz w:val="32"/>
          <w:szCs w:val="32"/>
          <w:highlight w:val="none"/>
          <w:lang w:val="en-US" w:eastAsia="zh-CN" w:bidi="ar-SA"/>
        </w:rPr>
        <w:t>三是规范调整收费。</w:t>
      </w:r>
      <w:r>
        <w:rPr>
          <w:rFonts w:hint="default" w:ascii="Times New Roman" w:hAnsi="Times New Roman" w:eastAsia="仿宋_GB2312" w:cs="Times New Roman"/>
          <w:color w:val="auto"/>
          <w:kern w:val="2"/>
          <w:sz w:val="32"/>
          <w:szCs w:val="32"/>
          <w:highlight w:val="none"/>
          <w:lang w:val="en-US" w:eastAsia="zh-CN" w:bidi="ar-SA"/>
        </w:rPr>
        <w:t>托育收费标准应保持相对稳定，服务机构根据自身经营及市场供求状况，在政府指导价范围内确定或调整具体收费标准的，应当提前1个月向社会公示。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Style w:val="11"/>
          <w:rFonts w:hint="default" w:ascii="Times New Roman" w:hAnsi="Times New Roman" w:eastAsia="方正楷体_GBK" w:cs="Times New Roman"/>
          <w:b w:val="0"/>
          <w:bCs w:val="0"/>
          <w:i w:val="0"/>
          <w:caps w:val="0"/>
          <w:color w:val="auto"/>
          <w:spacing w:val="0"/>
          <w:sz w:val="32"/>
          <w:szCs w:val="32"/>
          <w:shd w:val="clear" w:color="auto" w:fill="FFFFFF"/>
          <w:lang w:val="en-US" w:eastAsia="zh-CN"/>
        </w:rPr>
        <w:t>（二）健全财务管理。</w:t>
      </w:r>
      <w:r>
        <w:rPr>
          <w:rFonts w:hint="default" w:ascii="Times New Roman" w:hAnsi="Times New Roman" w:eastAsia="仿宋_GB2312" w:cs="Times New Roman"/>
          <w:b/>
          <w:bCs/>
          <w:color w:val="auto"/>
          <w:kern w:val="2"/>
          <w:sz w:val="32"/>
          <w:szCs w:val="32"/>
          <w:highlight w:val="none"/>
          <w:lang w:val="en-US" w:eastAsia="zh-CN" w:bidi="ar-SA"/>
        </w:rPr>
        <w:t>一是主动接受财务监督。</w:t>
      </w:r>
      <w:r>
        <w:rPr>
          <w:rFonts w:hint="default" w:ascii="Times New Roman" w:hAnsi="Times New Roman" w:eastAsia="仿宋_GB2312" w:cs="Times New Roman"/>
          <w:color w:val="auto"/>
          <w:kern w:val="2"/>
          <w:sz w:val="32"/>
          <w:szCs w:val="32"/>
          <w:highlight w:val="none"/>
          <w:lang w:val="en-US" w:eastAsia="zh-CN" w:bidi="ar-SA"/>
        </w:rPr>
        <w:t>托育服务机构应自觉接受卫健、教育、发改、财政、民政、市场监管、审计等部门监管，严格执行收托、收费、资助等政策，建立健全托育成本、会计核算制度，如实提供成本调查、监审或监管检查所需相关资料。</w:t>
      </w:r>
      <w:r>
        <w:rPr>
          <w:rFonts w:hint="default" w:ascii="Times New Roman" w:hAnsi="Times New Roman" w:eastAsia="仿宋_GB2312" w:cs="Times New Roman"/>
          <w:b/>
          <w:bCs/>
          <w:color w:val="auto"/>
          <w:kern w:val="2"/>
          <w:sz w:val="32"/>
          <w:szCs w:val="32"/>
          <w:highlight w:val="none"/>
          <w:lang w:val="en-US" w:eastAsia="zh-CN" w:bidi="ar-SA"/>
        </w:rPr>
        <w:t>二是规范账务票据管理。</w:t>
      </w:r>
      <w:r>
        <w:rPr>
          <w:rFonts w:hint="default" w:ascii="Times New Roman" w:hAnsi="Times New Roman" w:eastAsia="仿宋_GB2312" w:cs="Times New Roman"/>
          <w:color w:val="auto"/>
          <w:kern w:val="2"/>
          <w:sz w:val="32"/>
          <w:szCs w:val="32"/>
          <w:highlight w:val="none"/>
          <w:lang w:val="en-US" w:eastAsia="zh-CN" w:bidi="ar-SA"/>
        </w:rPr>
        <w:t>公办幼儿园托班保育费纳入行政性事业收费管理，严格实行</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收支两条线</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专款专用、分账核算，使用统一的财政票据；代收费用资金作为往来资金管理，进入财政监管账户，直接支付给相关机构或单位，并按要求提供发票或缴费凭证。其它托育服务机构收费，应当使用税务部门或相关部门规定的票据。</w:t>
      </w:r>
      <w:r>
        <w:rPr>
          <w:rFonts w:hint="default" w:ascii="Times New Roman" w:hAnsi="Times New Roman" w:eastAsia="仿宋_GB2312" w:cs="Times New Roman"/>
          <w:b/>
          <w:bCs/>
          <w:color w:val="auto"/>
          <w:kern w:val="2"/>
          <w:sz w:val="32"/>
          <w:szCs w:val="32"/>
          <w:highlight w:val="none"/>
          <w:lang w:val="en-US" w:eastAsia="zh-CN" w:bidi="ar-SA"/>
        </w:rPr>
        <w:t>三是优化缴费便民服务。</w:t>
      </w:r>
      <w:r>
        <w:rPr>
          <w:rFonts w:hint="default" w:ascii="Times New Roman" w:hAnsi="Times New Roman" w:eastAsia="仿宋_GB2312" w:cs="Times New Roman"/>
          <w:color w:val="auto"/>
          <w:kern w:val="2"/>
          <w:sz w:val="32"/>
          <w:szCs w:val="32"/>
          <w:highlight w:val="none"/>
          <w:lang w:val="en-US" w:eastAsia="zh-CN" w:bidi="ar-SA"/>
        </w:rPr>
        <w:t>鼓励托育服务机构提供线上直缴相关费用，最大限度提供便利服务。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Style w:val="11"/>
          <w:rFonts w:hint="default" w:ascii="Times New Roman" w:hAnsi="Times New Roman" w:eastAsia="方正楷体_GBK" w:cs="Times New Roman"/>
          <w:b w:val="0"/>
          <w:bCs w:val="0"/>
          <w:i w:val="0"/>
          <w:caps w:val="0"/>
          <w:color w:val="auto"/>
          <w:spacing w:val="0"/>
          <w:sz w:val="32"/>
          <w:szCs w:val="32"/>
          <w:shd w:val="clear" w:color="auto" w:fill="FFFFFF"/>
          <w:lang w:val="en-US" w:eastAsia="zh-CN"/>
        </w:rPr>
        <w:t>（三）规范收退费管理。</w:t>
      </w:r>
      <w:r>
        <w:rPr>
          <w:rFonts w:hint="default" w:ascii="Times New Roman" w:hAnsi="Times New Roman" w:eastAsia="仿宋_GB2312" w:cs="Times New Roman"/>
          <w:color w:val="auto"/>
          <w:kern w:val="2"/>
          <w:sz w:val="32"/>
          <w:szCs w:val="32"/>
          <w:highlight w:val="none"/>
          <w:lang w:val="en-US" w:eastAsia="zh-CN" w:bidi="ar-SA"/>
        </w:rPr>
        <w:t>相关费用按月收取，也可本着自愿原则由婴幼儿家长按季度或按学期交纳，不得跨学期预收。相关费用清退的方式、途径和时限等应由婴幼儿家长自愿选择。</w:t>
      </w:r>
      <w:r>
        <w:rPr>
          <w:rFonts w:hint="default" w:ascii="Times New Roman" w:hAnsi="Times New Roman" w:eastAsia="仿宋_GB2312" w:cs="Times New Roman"/>
          <w:b/>
          <w:bCs/>
          <w:color w:val="auto"/>
          <w:kern w:val="2"/>
          <w:sz w:val="32"/>
          <w:szCs w:val="32"/>
          <w:highlight w:val="none"/>
          <w:lang w:val="en-US" w:eastAsia="zh-CN" w:bidi="ar-SA"/>
        </w:rPr>
        <w:t>一是保育费收退。</w:t>
      </w:r>
      <w:r>
        <w:rPr>
          <w:rFonts w:hint="default" w:ascii="Times New Roman" w:hAnsi="Times New Roman" w:eastAsia="仿宋_GB2312" w:cs="Times New Roman"/>
          <w:color w:val="auto"/>
          <w:kern w:val="2"/>
          <w:sz w:val="32"/>
          <w:szCs w:val="32"/>
          <w:highlight w:val="none"/>
          <w:lang w:val="en-US" w:eastAsia="zh-CN" w:bidi="ar-SA"/>
        </w:rPr>
        <w:t>保育费收取实行</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新生新办法、老生老办法</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，其中，降低收费标准的，所有在托婴幼儿按照新标准收取。插班生保育费按插入班型的收费标准收取。</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婴幼儿因故</w:t>
      </w:r>
      <w:r>
        <w:rPr>
          <w:rFonts w:hint="eastAsia" w:ascii="Times New Roman" w:hAnsi="Times New Roman" w:eastAsia="仿宋_GB2312" w:cs="Times New Roman"/>
          <w:i w:val="0"/>
          <w:iCs w:val="0"/>
          <w:caps w:val="0"/>
          <w:color w:val="000000"/>
          <w:spacing w:val="0"/>
          <w:sz w:val="32"/>
          <w:szCs w:val="32"/>
          <w:highlight w:val="none"/>
          <w:u w:val="none"/>
          <w:shd w:val="clear" w:color="auto" w:fill="FFFFFF"/>
          <w:lang w:eastAsia="zh-CN"/>
        </w:rPr>
        <w:t>缺勤</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或退（转）托</w:t>
      </w:r>
      <w:r>
        <w:rPr>
          <w:rFonts w:hint="eastAsia" w:ascii="Times New Roman" w:hAnsi="Times New Roman" w:eastAsia="仿宋_GB2312" w:cs="Times New Roman"/>
          <w:i w:val="0"/>
          <w:iCs w:val="0"/>
          <w:caps w:val="0"/>
          <w:color w:val="000000"/>
          <w:spacing w:val="0"/>
          <w:sz w:val="32"/>
          <w:szCs w:val="32"/>
          <w:highlight w:val="none"/>
          <w:u w:val="none"/>
          <w:shd w:val="clear" w:color="auto" w:fill="FFFFFF"/>
          <w:lang w:eastAsia="zh-CN"/>
        </w:rPr>
        <w:t>，婴幼儿在托天数不足当月开园天数一半的，按月收费标准的</w:t>
      </w:r>
      <w:r>
        <w:rPr>
          <w:rFonts w:hint="eastAsia" w:ascii="Times New Roman" w:hAnsi="Times New Roman" w:eastAsia="仿宋_GB2312" w:cs="Times New Roman"/>
          <w:i w:val="0"/>
          <w:iCs w:val="0"/>
          <w:caps w:val="0"/>
          <w:color w:val="000000"/>
          <w:spacing w:val="0"/>
          <w:sz w:val="32"/>
          <w:szCs w:val="32"/>
          <w:highlight w:val="none"/>
          <w:u w:val="none"/>
          <w:shd w:val="clear" w:color="auto" w:fill="FFFFFF"/>
          <w:lang w:val="en-US" w:eastAsia="zh-CN"/>
        </w:rPr>
        <w:t>50%</w:t>
      </w:r>
      <w:r>
        <w:rPr>
          <w:rFonts w:hint="eastAsia" w:ascii="Times New Roman" w:hAnsi="Times New Roman" w:eastAsia="仿宋_GB2312" w:cs="Times New Roman"/>
          <w:i w:val="0"/>
          <w:iCs w:val="0"/>
          <w:caps w:val="0"/>
          <w:color w:val="000000"/>
          <w:spacing w:val="0"/>
          <w:sz w:val="32"/>
          <w:szCs w:val="32"/>
          <w:highlight w:val="none"/>
          <w:u w:val="none"/>
          <w:shd w:val="clear" w:color="auto" w:fill="FFFFFF"/>
          <w:lang w:eastAsia="zh-CN"/>
        </w:rPr>
        <w:t>退费，超过当月开园天数一半的，不予退费；</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因突发事件（自然灾害、公共卫生</w:t>
      </w:r>
      <w:r>
        <w:rPr>
          <w:rFonts w:hint="eastAsia" w:ascii="Times New Roman" w:hAnsi="Times New Roman" w:eastAsia="仿宋_GB2312" w:cs="Times New Roman"/>
          <w:i w:val="0"/>
          <w:iCs w:val="0"/>
          <w:caps w:val="0"/>
          <w:color w:val="000000"/>
          <w:spacing w:val="0"/>
          <w:sz w:val="32"/>
          <w:szCs w:val="32"/>
          <w:highlight w:val="none"/>
          <w:u w:val="none"/>
          <w:shd w:val="clear" w:color="auto" w:fill="FFFFFF"/>
          <w:lang w:eastAsia="zh-CN"/>
        </w:rPr>
        <w:t>等</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w:t>
      </w:r>
      <w:r>
        <w:rPr>
          <w:rFonts w:hint="eastAsia" w:ascii="Times New Roman" w:hAnsi="Times New Roman" w:eastAsia="仿宋_GB2312" w:cs="Times New Roman"/>
          <w:i w:val="0"/>
          <w:iCs w:val="0"/>
          <w:caps w:val="0"/>
          <w:color w:val="000000"/>
          <w:spacing w:val="0"/>
          <w:sz w:val="32"/>
          <w:szCs w:val="32"/>
          <w:highlight w:val="none"/>
          <w:u w:val="none"/>
          <w:shd w:val="clear" w:color="auto" w:fill="FFFFFF"/>
          <w:lang w:eastAsia="zh-CN"/>
        </w:rPr>
        <w:t>或</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托育</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lang w:eastAsia="zh-CN"/>
        </w:rPr>
        <w:t>服务</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机构原因</w:t>
      </w:r>
      <w:r>
        <w:rPr>
          <w:rFonts w:hint="default" w:ascii="Times New Roman" w:hAnsi="Times New Roman" w:eastAsia="仿宋_GB2312" w:cs="Times New Roman"/>
          <w:color w:val="000000"/>
          <w:sz w:val="32"/>
          <w:szCs w:val="32"/>
          <w:highlight w:val="none"/>
          <w:u w:val="none"/>
        </w:rPr>
        <w:t>停园停托</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的，根据婴幼儿实际在托天数</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lang w:eastAsia="zh-CN"/>
        </w:rPr>
        <w:t>按天计退保</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育费。</w:t>
      </w:r>
      <w:r>
        <w:rPr>
          <w:rFonts w:hint="default" w:ascii="Times New Roman" w:hAnsi="Times New Roman" w:eastAsia="仿宋_GB2312" w:cs="Times New Roman"/>
          <w:b/>
          <w:bCs/>
          <w:color w:val="auto"/>
          <w:kern w:val="2"/>
          <w:sz w:val="32"/>
          <w:szCs w:val="32"/>
          <w:highlight w:val="none"/>
          <w:lang w:val="en-US" w:eastAsia="zh-CN" w:bidi="ar-SA"/>
        </w:rPr>
        <w:t>二是其他服务费收退。</w:t>
      </w:r>
      <w:r>
        <w:rPr>
          <w:rFonts w:hint="default" w:ascii="Times New Roman" w:hAnsi="Times New Roman" w:eastAsia="仿宋_GB2312" w:cs="Times New Roman"/>
          <w:color w:val="auto"/>
          <w:kern w:val="2"/>
          <w:sz w:val="32"/>
          <w:szCs w:val="32"/>
          <w:highlight w:val="none"/>
          <w:lang w:val="en-US" w:eastAsia="zh-CN" w:bidi="ar-SA"/>
        </w:rPr>
        <w:t>托育服务机构收取或代收的其他费用，遵循“家长自愿、非营利、据实收取、单独建账、及时结算、定期公布”原则，不得与保育费合并统一收取。伙食（含餐点）费按照婴幼儿实际在托天数按天计退。</w:t>
      </w:r>
      <w:r>
        <w:rPr>
          <w:rFonts w:hint="eastAsia"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b/>
          <w:bCs/>
          <w:color w:val="auto"/>
          <w:kern w:val="2"/>
          <w:sz w:val="32"/>
          <w:szCs w:val="32"/>
          <w:highlight w:val="none"/>
          <w:lang w:val="en-US" w:eastAsia="zh-CN" w:bidi="ar-SA"/>
        </w:rPr>
        <w:t>强化服务合同约束。</w:t>
      </w:r>
      <w:r>
        <w:rPr>
          <w:rFonts w:hint="default" w:ascii="Times New Roman" w:hAnsi="Times New Roman" w:eastAsia="仿宋_GB2312" w:cs="Times New Roman"/>
          <w:color w:val="auto"/>
          <w:kern w:val="2"/>
          <w:sz w:val="32"/>
          <w:szCs w:val="32"/>
          <w:highlight w:val="none"/>
          <w:lang w:val="en-US" w:eastAsia="zh-CN" w:bidi="ar-SA"/>
        </w:rPr>
        <w:t>托育机构应与</w:t>
      </w:r>
      <w:r>
        <w:rPr>
          <w:rFonts w:hint="eastAsia" w:ascii="Times New Roman" w:hAnsi="Times New Roman" w:eastAsia="仿宋_GB2312" w:cs="Times New Roman"/>
          <w:color w:val="auto"/>
          <w:kern w:val="2"/>
          <w:sz w:val="32"/>
          <w:szCs w:val="32"/>
          <w:highlight w:val="none"/>
          <w:lang w:val="en-US" w:eastAsia="zh-CN" w:bidi="ar-SA"/>
        </w:rPr>
        <w:t>婴幼儿家长</w:t>
      </w:r>
      <w:r>
        <w:rPr>
          <w:rFonts w:hint="default" w:ascii="Times New Roman" w:hAnsi="Times New Roman" w:eastAsia="仿宋_GB2312" w:cs="Times New Roman"/>
          <w:color w:val="auto"/>
          <w:kern w:val="2"/>
          <w:sz w:val="32"/>
          <w:szCs w:val="32"/>
          <w:highlight w:val="none"/>
          <w:lang w:val="en-US" w:eastAsia="zh-CN" w:bidi="ar-SA"/>
        </w:rPr>
        <w:t>签订符合法律法规和政策规定的书面服务合同</w:t>
      </w:r>
      <w:r>
        <w:rPr>
          <w:rFonts w:hint="eastAsia" w:ascii="Times New Roman" w:hAnsi="Times New Roman" w:eastAsia="仿宋_GB2312" w:cs="Times New Roman"/>
          <w:color w:val="auto"/>
          <w:kern w:val="2"/>
          <w:sz w:val="32"/>
          <w:szCs w:val="32"/>
          <w:highlight w:val="none"/>
          <w:lang w:val="en-US" w:eastAsia="zh-CN" w:bidi="ar-SA"/>
        </w:rPr>
        <w:t>（协议）</w:t>
      </w:r>
      <w:r>
        <w:rPr>
          <w:rFonts w:hint="default" w:ascii="Times New Roman" w:hAnsi="Times New Roman" w:eastAsia="仿宋_GB2312" w:cs="Times New Roman"/>
          <w:color w:val="auto"/>
          <w:kern w:val="2"/>
          <w:sz w:val="32"/>
          <w:szCs w:val="32"/>
          <w:highlight w:val="none"/>
          <w:lang w:val="en-US" w:eastAsia="zh-CN" w:bidi="ar-SA"/>
        </w:rPr>
        <w:t>，确保服务对象的知情权和选择权，并定期提供费用清单和相关费用结算账目。不得违反服务对象意愿强制服务</w:t>
      </w:r>
      <w:r>
        <w:rPr>
          <w:rFonts w:hint="eastAsia" w:ascii="Times New Roman" w:hAnsi="Times New Roman" w:eastAsia="仿宋_GB2312" w:cs="Times New Roman"/>
          <w:color w:val="auto"/>
          <w:kern w:val="2"/>
          <w:sz w:val="32"/>
          <w:szCs w:val="32"/>
          <w:highlight w:val="none"/>
          <w:lang w:val="en-US" w:eastAsia="zh-CN" w:bidi="ar-SA"/>
        </w:rPr>
        <w:t>、强制收费；不得收取</w:t>
      </w:r>
      <w:r>
        <w:rPr>
          <w:rFonts w:hint="default" w:ascii="Times New Roman" w:hAnsi="Times New Roman" w:eastAsia="仿宋_GB2312" w:cs="Times New Roman"/>
          <w:color w:val="auto"/>
          <w:kern w:val="2"/>
          <w:sz w:val="32"/>
          <w:szCs w:val="32"/>
          <w:highlight w:val="none"/>
          <w:lang w:val="en-US" w:eastAsia="zh-CN" w:bidi="ar-SA"/>
        </w:rPr>
        <w:t>合同</w:t>
      </w:r>
      <w:r>
        <w:rPr>
          <w:rFonts w:hint="eastAsia" w:ascii="Times New Roman" w:hAnsi="Times New Roman" w:eastAsia="仿宋_GB2312" w:cs="Times New Roman"/>
          <w:color w:val="auto"/>
          <w:kern w:val="2"/>
          <w:sz w:val="32"/>
          <w:szCs w:val="32"/>
          <w:highlight w:val="none"/>
          <w:lang w:val="en-US" w:eastAsia="zh-CN" w:bidi="ar-SA"/>
        </w:rPr>
        <w:t>（协议）</w:t>
      </w:r>
      <w:r>
        <w:rPr>
          <w:rFonts w:hint="default" w:ascii="Times New Roman" w:hAnsi="Times New Roman" w:eastAsia="仿宋_GB2312" w:cs="Times New Roman"/>
          <w:color w:val="auto"/>
          <w:kern w:val="2"/>
          <w:sz w:val="32"/>
          <w:szCs w:val="32"/>
          <w:highlight w:val="none"/>
          <w:lang w:val="en-US" w:eastAsia="zh-CN" w:bidi="ar-SA"/>
        </w:rPr>
        <w:t>约定</w:t>
      </w:r>
      <w:r>
        <w:rPr>
          <w:rFonts w:hint="eastAsia" w:ascii="Times New Roman" w:hAnsi="Times New Roman" w:eastAsia="仿宋_GB2312" w:cs="Times New Roman"/>
          <w:color w:val="auto"/>
          <w:kern w:val="2"/>
          <w:sz w:val="32"/>
          <w:szCs w:val="32"/>
          <w:highlight w:val="none"/>
          <w:lang w:val="en-US" w:eastAsia="zh-CN" w:bidi="ar-SA"/>
        </w:rPr>
        <w:t>之外的任何费用。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楷体_GBK" w:cs="Times New Roman"/>
          <w:color w:val="auto"/>
          <w:kern w:val="2"/>
          <w:sz w:val="32"/>
          <w:szCs w:val="32"/>
          <w:highlight w:val="none"/>
          <w:lang w:val="en-US" w:eastAsia="zh-CN" w:bidi="ar-SA"/>
        </w:rPr>
        <w:t>（四）强化收费行为监管。</w:t>
      </w:r>
      <w:r>
        <w:rPr>
          <w:rFonts w:hint="default" w:ascii="Times New Roman" w:hAnsi="Times New Roman" w:eastAsia="仿宋_GB2312" w:cs="Times New Roman"/>
          <w:color w:val="auto"/>
          <w:kern w:val="2"/>
          <w:sz w:val="32"/>
          <w:szCs w:val="32"/>
          <w:highlight w:val="none"/>
          <w:lang w:val="en-US" w:eastAsia="zh-CN" w:bidi="ar-SA"/>
        </w:rPr>
        <w:t>市县级市场监管、卫健、教育、发改等部门依职责加强对托育服务收费执行情况的监督检查，对托育服务机构不执行政府指导价、变相提高收费标准、自立名目收费、强制或变相强制服务并收费、未按规定落实收费公示制度等违法违规行为，由相关部门依法依规进行查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方正楷体_GBK" w:cs="Times New Roman"/>
          <w:color w:val="auto"/>
          <w:kern w:val="2"/>
          <w:sz w:val="32"/>
          <w:szCs w:val="32"/>
          <w:highlight w:val="none"/>
          <w:lang w:val="en-US" w:eastAsia="zh-CN" w:bidi="ar-SA"/>
        </w:rPr>
        <w:t>（五）加强政策保障支持。</w:t>
      </w:r>
      <w:r>
        <w:rPr>
          <w:rFonts w:hint="eastAsia" w:ascii="Times New Roman" w:hAnsi="Times New Roman" w:eastAsia="仿宋_GB2312" w:cs="Times New Roman"/>
          <w:color w:val="auto"/>
          <w:kern w:val="2"/>
          <w:sz w:val="32"/>
          <w:szCs w:val="32"/>
          <w:highlight w:val="none"/>
          <w:lang w:val="en-US" w:eastAsia="zh-CN" w:bidi="ar-SA"/>
        </w:rPr>
        <w:t>各地要将发展普惠托育服务纳入公共财政保障重点，建立健全稳定的经费投入机制，落实托位建设和运营补助，落实支持社区、企事业单位、家庭托育服务发展的税费优惠和专项水电气价格优惠等政策，对家庭经济困难婴幼儿、孤残儿童等对象，要明确收费减免和资助政策，为托育服务高质量发展提供坚实保障。各地应严格落实托育服务机构设置标准和管理规范，推动托育服务标准化、专业化发展，切实提高托育服务供给质量与水平，满足群众对优质托育服务的需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color="auto" w:fill="FFFFFF"/>
        </w:rPr>
        <w:t>本通知自</w:t>
      </w:r>
      <w:r>
        <w:rPr>
          <w:rFonts w:hint="default" w:ascii="Times New Roman" w:hAnsi="Times New Roman" w:eastAsia="仿宋_GB2312" w:cs="Times New Roman"/>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FFFFFF"/>
        </w:rPr>
        <w:t>年</w:t>
      </w:r>
      <w:r>
        <w:rPr>
          <w:rFonts w:hint="default" w:ascii="Times New Roman" w:hAnsi="Times New Roman" w:eastAsia="仿宋_GB2312" w:cs="Times New Roman"/>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FFFFFF"/>
        </w:rPr>
        <w:t>月</w:t>
      </w:r>
      <w:r>
        <w:rPr>
          <w:rFonts w:hint="default" w:ascii="Times New Roman" w:hAnsi="Times New Roman" w:eastAsia="仿宋_GB2312" w:cs="Times New Roman"/>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FFFFFF"/>
        </w:rPr>
        <w:t>日起执行。执行期间，国家、</w:t>
      </w:r>
      <w:r>
        <w:rPr>
          <w:rFonts w:hint="default" w:ascii="Times New Roman" w:hAnsi="Times New Roman" w:eastAsia="仿宋_GB2312" w:cs="Times New Roman"/>
          <w:i w:val="0"/>
          <w:caps w:val="0"/>
          <w:color w:val="auto"/>
          <w:spacing w:val="0"/>
          <w:sz w:val="32"/>
          <w:szCs w:val="32"/>
          <w:shd w:val="clear" w:color="auto" w:fill="FFFFFF"/>
          <w:lang w:eastAsia="zh-CN"/>
        </w:rPr>
        <w:t>省有</w:t>
      </w:r>
      <w:r>
        <w:rPr>
          <w:rFonts w:hint="default" w:ascii="Times New Roman" w:hAnsi="Times New Roman" w:eastAsia="仿宋_GB2312" w:cs="Times New Roman"/>
          <w:i w:val="0"/>
          <w:caps w:val="0"/>
          <w:color w:val="auto"/>
          <w:spacing w:val="0"/>
          <w:sz w:val="32"/>
          <w:szCs w:val="32"/>
          <w:shd w:val="clear" w:color="auto" w:fill="FFFFFF"/>
        </w:rPr>
        <w:t>新规定的，从其规定。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i w:val="0"/>
          <w:caps w:val="0"/>
          <w:color w:val="auto"/>
          <w:spacing w:val="0"/>
          <w:sz w:val="32"/>
          <w:szCs w:val="32"/>
          <w:shd w:val="clear" w:color="auto" w:fill="FFFFFF"/>
        </w:rPr>
        <w:t>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shd w:val="clear" w:color="auto" w:fill="FFFFFF"/>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宜昌市</w:t>
      </w:r>
      <w:r>
        <w:rPr>
          <w:rFonts w:hint="default" w:ascii="Times New Roman" w:hAnsi="Times New Roman" w:eastAsia="仿宋_GB2312" w:cs="Times New Roman"/>
          <w:color w:val="auto"/>
          <w:sz w:val="32"/>
          <w:szCs w:val="32"/>
        </w:rPr>
        <w:t xml:space="preserve">发展和改革委员会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宜昌市</w:t>
      </w:r>
      <w:r>
        <w:rPr>
          <w:rFonts w:hint="default" w:ascii="Times New Roman" w:hAnsi="Times New Roman" w:eastAsia="仿宋_GB2312" w:cs="Times New Roman"/>
          <w:color w:val="auto"/>
          <w:sz w:val="32"/>
          <w:szCs w:val="32"/>
        </w:rPr>
        <w:t>卫生健康委员会</w:t>
      </w:r>
    </w:p>
    <w:p>
      <w:pPr>
        <w:keepNext w:val="0"/>
        <w:keepLines w:val="0"/>
        <w:pageBreakBefore w:val="0"/>
        <w:widowControl w:val="0"/>
        <w:kinsoku/>
        <w:wordWrap/>
        <w:overflowPunct w:val="0"/>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宜昌市教育局</w:t>
      </w:r>
      <w:r>
        <w:rPr>
          <w:rFonts w:hint="default" w:ascii="Times New Roman" w:hAnsi="Times New Roman" w:eastAsia="仿宋_GB2312" w:cs="Times New Roman"/>
          <w:color w:val="auto"/>
          <w:sz w:val="32"/>
          <w:szCs w:val="32"/>
          <w:lang w:val="en-US" w:eastAsia="zh-CN"/>
        </w:rPr>
        <w:t xml:space="preserve">              宜昌市财政局</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2025年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月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sz w:val="32"/>
          <w:szCs w:val="32"/>
        </w:rPr>
        <w:t xml:space="preserve">   </w:t>
      </w:r>
      <w:r>
        <w:rPr>
          <w:rFonts w:hint="default" w:ascii="Times New Roman" w:hAnsi="Times New Roman" w:eastAsia="方正仿宋_GBK" w:cs="Times New Roman"/>
          <w:color w:val="auto"/>
          <w:sz w:val="32"/>
          <w:szCs w:val="32"/>
        </w:rPr>
        <w:t xml:space="preserve"> </w:t>
      </w:r>
    </w:p>
    <w:sectPr>
      <w:footerReference r:id="rId3" w:type="default"/>
      <w:pgSz w:w="11906" w:h="16838"/>
      <w:pgMar w:top="2098" w:right="1474" w:bottom="1984" w:left="1587" w:header="851" w:footer="1701" w:gutter="0"/>
      <w:paperSrc/>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altName w:val="方正黑体_GBK"/>
    <w:panose1 w:val="02000500000000000000"/>
    <w:charset w:val="00"/>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仿宋">
    <w:altName w:val="方正仿宋_GBK"/>
    <w:panose1 w:val="02000500000000000000"/>
    <w:charset w:val="00"/>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7B910"/>
    <w:rsid w:val="0D11751F"/>
    <w:rsid w:val="138BA1B2"/>
    <w:rsid w:val="14694C0A"/>
    <w:rsid w:val="188151C7"/>
    <w:rsid w:val="1CFC63B7"/>
    <w:rsid w:val="1F7F2C71"/>
    <w:rsid w:val="29AFE22E"/>
    <w:rsid w:val="2FF7C0F4"/>
    <w:rsid w:val="2FFE23A4"/>
    <w:rsid w:val="33778EB8"/>
    <w:rsid w:val="3EB7B910"/>
    <w:rsid w:val="3FBF543A"/>
    <w:rsid w:val="3FFFBD0C"/>
    <w:rsid w:val="456F6E73"/>
    <w:rsid w:val="49BDF1A0"/>
    <w:rsid w:val="4ADABDFB"/>
    <w:rsid w:val="4B3FBB73"/>
    <w:rsid w:val="4FFFCA97"/>
    <w:rsid w:val="559ACC0C"/>
    <w:rsid w:val="56BFEFCF"/>
    <w:rsid w:val="578E77AA"/>
    <w:rsid w:val="5AF0BA96"/>
    <w:rsid w:val="5B97A9DC"/>
    <w:rsid w:val="5CB7207C"/>
    <w:rsid w:val="5CD24DD9"/>
    <w:rsid w:val="5E785127"/>
    <w:rsid w:val="64FBFEF4"/>
    <w:rsid w:val="66996E0C"/>
    <w:rsid w:val="697784F3"/>
    <w:rsid w:val="6B4B5C35"/>
    <w:rsid w:val="6D7B6328"/>
    <w:rsid w:val="6DFDBD80"/>
    <w:rsid w:val="6EBB1E04"/>
    <w:rsid w:val="73BB4F93"/>
    <w:rsid w:val="74BB74DD"/>
    <w:rsid w:val="74FF0364"/>
    <w:rsid w:val="77B55BF1"/>
    <w:rsid w:val="7A39B54E"/>
    <w:rsid w:val="7B0C2509"/>
    <w:rsid w:val="7B1F99B0"/>
    <w:rsid w:val="7BDEC3A0"/>
    <w:rsid w:val="7DB7D3F8"/>
    <w:rsid w:val="7DFEA8E3"/>
    <w:rsid w:val="7E9E689F"/>
    <w:rsid w:val="7F3F62BA"/>
    <w:rsid w:val="7F9326BE"/>
    <w:rsid w:val="7F9A6115"/>
    <w:rsid w:val="7FBB92F9"/>
    <w:rsid w:val="7FBD556A"/>
    <w:rsid w:val="7FE792E4"/>
    <w:rsid w:val="7FFFDB07"/>
    <w:rsid w:val="857D75D6"/>
    <w:rsid w:val="8FBF3E5D"/>
    <w:rsid w:val="9E7E78B9"/>
    <w:rsid w:val="ABEB81AD"/>
    <w:rsid w:val="AD5F5954"/>
    <w:rsid w:val="AF8E3D36"/>
    <w:rsid w:val="B3FD4647"/>
    <w:rsid w:val="B8B3F679"/>
    <w:rsid w:val="BBFF6E1F"/>
    <w:rsid w:val="BDBBC4A3"/>
    <w:rsid w:val="BDED76BC"/>
    <w:rsid w:val="BF3C8187"/>
    <w:rsid w:val="BFBBE822"/>
    <w:rsid w:val="BFF91EB4"/>
    <w:rsid w:val="BFFF2950"/>
    <w:rsid w:val="D7FBAC70"/>
    <w:rsid w:val="DAFE0BC6"/>
    <w:rsid w:val="DB7F1DED"/>
    <w:rsid w:val="DCBD14B4"/>
    <w:rsid w:val="DCFEFF6D"/>
    <w:rsid w:val="DD4E3213"/>
    <w:rsid w:val="DEFE25F1"/>
    <w:rsid w:val="DFAD6ED1"/>
    <w:rsid w:val="DFB11B61"/>
    <w:rsid w:val="DFEDA07C"/>
    <w:rsid w:val="E1BFD5FD"/>
    <w:rsid w:val="E2AB1D01"/>
    <w:rsid w:val="E3FF135C"/>
    <w:rsid w:val="E7EFAF3A"/>
    <w:rsid w:val="ECDFC4CD"/>
    <w:rsid w:val="EDDDF855"/>
    <w:rsid w:val="EE1F505C"/>
    <w:rsid w:val="EFD39781"/>
    <w:rsid w:val="EFFE0C7C"/>
    <w:rsid w:val="F39A2B23"/>
    <w:rsid w:val="F57F302D"/>
    <w:rsid w:val="F5FE336B"/>
    <w:rsid w:val="F67FC3E1"/>
    <w:rsid w:val="F73F3D9F"/>
    <w:rsid w:val="F77FEA7B"/>
    <w:rsid w:val="F7CDA9F5"/>
    <w:rsid w:val="F7ED9726"/>
    <w:rsid w:val="F7FF0A45"/>
    <w:rsid w:val="F9FFFEC5"/>
    <w:rsid w:val="FB2BBE65"/>
    <w:rsid w:val="FB7EFFF9"/>
    <w:rsid w:val="FBD78E3F"/>
    <w:rsid w:val="FBEE5DBC"/>
    <w:rsid w:val="FBF73E16"/>
    <w:rsid w:val="FBFEAAD9"/>
    <w:rsid w:val="FC18EC75"/>
    <w:rsid w:val="FC4F8A33"/>
    <w:rsid w:val="FC75A920"/>
    <w:rsid w:val="FCBE3A61"/>
    <w:rsid w:val="FD378E4C"/>
    <w:rsid w:val="FD7F2F05"/>
    <w:rsid w:val="FDE7F31A"/>
    <w:rsid w:val="FDFDFEC9"/>
    <w:rsid w:val="FDFF6F41"/>
    <w:rsid w:val="FE6FA55A"/>
    <w:rsid w:val="FE7F33F7"/>
    <w:rsid w:val="FEBFFD92"/>
    <w:rsid w:val="FF69EFC9"/>
    <w:rsid w:val="FF7F3834"/>
    <w:rsid w:val="FFAF5BDD"/>
    <w:rsid w:val="FFDF472E"/>
    <w:rsid w:val="FFE95603"/>
    <w:rsid w:val="FFEB38C2"/>
    <w:rsid w:val="FFFD1E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Normal Indent"/>
    <w:basedOn w:val="1"/>
    <w:qFormat/>
    <w:uiPriority w:val="0"/>
    <w:pPr>
      <w:ind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styleId="3">
    <w:name w:val="Body Text Indent"/>
    <w:basedOn w:val="1"/>
    <w:next w:val="1"/>
    <w:qFormat/>
    <w:uiPriority w:val="0"/>
    <w:pPr>
      <w:ind w:firstLine="660"/>
    </w:pPr>
    <w:rPr>
      <w:rFonts w:ascii="楷体_GB2312" w:hAnsi="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pPr>
    <w:rPr>
      <w:rFonts w:ascii="宋体" w:hAnsi="宋体" w:eastAsia="宋体" w:cs="宋体"/>
      <w:sz w:val="24"/>
      <w:szCs w:val="24"/>
    </w:rPr>
  </w:style>
  <w:style w:type="paragraph" w:styleId="7">
    <w:name w:val="Body Text First Indent 2"/>
    <w:basedOn w:val="3"/>
    <w:next w:val="1"/>
    <w:qFormat/>
    <w:uiPriority w:val="0"/>
    <w:pPr>
      <w:spacing w:after="120"/>
      <w:ind w:left="420" w:leftChars="200" w:firstLine="420" w:firstLineChars="200"/>
    </w:pPr>
    <w:rPr>
      <w:rFonts w:ascii="Times New Roman" w:hAnsi="Times New Roman"/>
      <w:szCs w:val="20"/>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49.3333333333333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2025-09-27T16:44:00Z</dcterms:created>
  <dc:creator>greatwall</dc:creator>
  <cp:lastModifiedBy>greatwall</cp:lastModifiedBy>
  <cp:lastPrinted>2025-10-21T06:46:21Z</cp:lastPrinted>
  <dcterms:modified xsi:type="dcterms:W3CDTF">2025-10-21T10:47:09Z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