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E67F65A">
      <w:pPr>
        <w:widowControl/>
        <w:spacing w:line="360" w:lineRule="auto"/>
        <w:ind w:left="0" w:leftChars="0" w:firstLine="0" w:firstLineChars="0"/>
        <w:jc w:val="center"/>
        <w:rPr>
          <w:rFonts w:hint="eastAsia" w:ascii="Times New Roman" w:hAnsi="Times New Roman" w:eastAsia="宋体"/>
          <w:sz w:val="72"/>
          <w:szCs w:val="72"/>
          <w:highlight w:val="none"/>
          <w:lang w:val="en-US" w:eastAsia="zh-CN"/>
        </w:rPr>
      </w:pPr>
    </w:p>
    <w:p w14:paraId="1C07F686">
      <w:pPr>
        <w:widowControl/>
        <w:spacing w:line="360" w:lineRule="auto"/>
        <w:ind w:left="0" w:leftChars="0" w:firstLine="0" w:firstLineChars="0"/>
        <w:jc w:val="both"/>
        <w:rPr>
          <w:rFonts w:hint="eastAsia" w:ascii="华文中宋" w:hAnsi="华文中宋" w:eastAsia="华文中宋" w:cs="华文中宋"/>
          <w:b/>
          <w:bCs/>
          <w:sz w:val="96"/>
          <w:szCs w:val="96"/>
          <w:highlight w:val="none"/>
          <w:lang w:val="en-US" w:eastAsia="zh-CN"/>
        </w:rPr>
      </w:pPr>
    </w:p>
    <w:p w14:paraId="0CD2AA2C">
      <w:pPr>
        <w:widowControl/>
        <w:spacing w:line="360" w:lineRule="auto"/>
        <w:ind w:left="0" w:leftChars="0" w:firstLine="0" w:firstLineChars="0"/>
        <w:jc w:val="both"/>
        <w:rPr>
          <w:rFonts w:hint="eastAsia" w:ascii="华文中宋" w:hAnsi="华文中宋" w:eastAsia="华文中宋" w:cs="华文中宋"/>
          <w:b/>
          <w:bCs/>
          <w:sz w:val="96"/>
          <w:szCs w:val="96"/>
          <w:highlight w:val="none"/>
          <w:lang w:val="en-US" w:eastAsia="zh-CN"/>
        </w:rPr>
      </w:pPr>
    </w:p>
    <w:p w14:paraId="41306C83">
      <w:pPr>
        <w:widowControl/>
        <w:spacing w:line="360" w:lineRule="auto"/>
        <w:ind w:left="0" w:leftChars="0" w:firstLine="0" w:firstLineChars="0"/>
        <w:jc w:val="center"/>
        <w:rPr>
          <w:rFonts w:hint="eastAsia" w:ascii="华文中宋" w:hAnsi="华文中宋" w:eastAsia="华文中宋" w:cs="华文中宋"/>
          <w:b/>
          <w:bCs/>
          <w:sz w:val="96"/>
          <w:szCs w:val="96"/>
          <w:highlight w:val="none"/>
          <w:lang w:val="en-US" w:eastAsia="zh-CN"/>
        </w:rPr>
      </w:pPr>
      <w:r>
        <w:rPr>
          <w:rFonts w:hint="eastAsia" w:ascii="华文中宋" w:hAnsi="华文中宋" w:eastAsia="华文中宋" w:cs="华文中宋"/>
          <w:b/>
          <w:bCs/>
          <w:sz w:val="96"/>
          <w:szCs w:val="96"/>
          <w:highlight w:val="none"/>
          <w:lang w:val="en-US" w:eastAsia="zh-CN"/>
        </w:rPr>
        <w:t>枝江市公益性安葬设施布点规划</w:t>
      </w:r>
    </w:p>
    <w:p w14:paraId="019A1270">
      <w:pPr>
        <w:widowControl/>
        <w:spacing w:line="360" w:lineRule="auto"/>
        <w:ind w:left="0" w:leftChars="0" w:firstLine="0" w:firstLineChars="0"/>
        <w:jc w:val="center"/>
        <w:rPr>
          <w:rFonts w:hint="eastAsia" w:ascii="华文中宋" w:hAnsi="华文中宋" w:eastAsia="华文中宋" w:cs="华文中宋"/>
          <w:b/>
          <w:bCs/>
          <w:sz w:val="56"/>
          <w:szCs w:val="56"/>
          <w:highlight w:val="none"/>
          <w:lang w:val="en-US" w:eastAsia="zh-CN"/>
        </w:rPr>
      </w:pPr>
      <w:r>
        <w:rPr>
          <w:rFonts w:hint="eastAsia" w:ascii="华文中宋" w:hAnsi="华文中宋" w:eastAsia="华文中宋" w:cs="华文中宋"/>
          <w:b/>
          <w:bCs/>
          <w:sz w:val="56"/>
          <w:szCs w:val="56"/>
          <w:highlight w:val="none"/>
          <w:lang w:val="en-US" w:eastAsia="zh-CN"/>
        </w:rPr>
        <w:t>（2024-2035年）</w:t>
      </w:r>
    </w:p>
    <w:p w14:paraId="208399BD">
      <w:pPr>
        <w:widowControl/>
        <w:spacing w:line="360" w:lineRule="auto"/>
        <w:ind w:left="0" w:leftChars="0" w:firstLine="0" w:firstLineChars="0"/>
        <w:jc w:val="center"/>
        <w:rPr>
          <w:rFonts w:hint="eastAsia" w:ascii="华文中宋" w:hAnsi="华文中宋" w:eastAsia="华文中宋" w:cs="华文中宋"/>
          <w:b w:val="0"/>
          <w:bCs w:val="0"/>
          <w:sz w:val="52"/>
          <w:szCs w:val="52"/>
          <w:highlight w:val="none"/>
          <w:lang w:val="en-US" w:eastAsia="zh-CN"/>
        </w:rPr>
      </w:pPr>
      <w:r>
        <w:rPr>
          <w:rFonts w:hint="eastAsia" w:ascii="华文中宋" w:hAnsi="华文中宋" w:eastAsia="华文中宋" w:cs="华文中宋"/>
          <w:b w:val="0"/>
          <w:bCs w:val="0"/>
          <w:sz w:val="52"/>
          <w:szCs w:val="52"/>
          <w:highlight w:val="none"/>
          <w:lang w:val="en-US" w:eastAsia="zh-CN"/>
        </w:rPr>
        <w:t>征求意见稿</w:t>
      </w:r>
    </w:p>
    <w:p w14:paraId="0BFC57EA">
      <w:pPr>
        <w:widowControl/>
        <w:spacing w:line="360" w:lineRule="auto"/>
        <w:ind w:left="0" w:leftChars="0" w:firstLine="0" w:firstLineChars="0"/>
        <w:jc w:val="center"/>
        <w:rPr>
          <w:rFonts w:hint="eastAsia" w:ascii="华文中宋" w:hAnsi="华文中宋" w:eastAsia="华文中宋" w:cs="华文中宋"/>
          <w:b/>
          <w:bCs/>
          <w:sz w:val="52"/>
          <w:szCs w:val="52"/>
          <w:highlight w:val="none"/>
          <w:lang w:val="en-US" w:eastAsia="zh-CN"/>
        </w:rPr>
      </w:pPr>
    </w:p>
    <w:p w14:paraId="0D5CB357">
      <w:pPr>
        <w:widowControl/>
        <w:spacing w:line="360" w:lineRule="auto"/>
        <w:ind w:left="0" w:leftChars="0" w:firstLine="0" w:firstLineChars="0"/>
        <w:jc w:val="center"/>
        <w:rPr>
          <w:rFonts w:hint="eastAsia" w:ascii="华文中宋" w:hAnsi="华文中宋" w:eastAsia="华文中宋" w:cs="华文中宋"/>
          <w:b/>
          <w:bCs/>
          <w:sz w:val="52"/>
          <w:szCs w:val="52"/>
          <w:highlight w:val="none"/>
          <w:lang w:val="en-US" w:eastAsia="zh-CN"/>
        </w:rPr>
      </w:pPr>
    </w:p>
    <w:p w14:paraId="5369DD44">
      <w:pPr>
        <w:widowControl/>
        <w:spacing w:line="360" w:lineRule="auto"/>
        <w:ind w:left="0" w:leftChars="0" w:firstLine="0" w:firstLineChars="0"/>
        <w:jc w:val="both"/>
        <w:rPr>
          <w:rFonts w:hint="eastAsia" w:ascii="华文中宋" w:hAnsi="华文中宋" w:eastAsia="华文中宋" w:cs="华文中宋"/>
          <w:b/>
          <w:bCs/>
          <w:sz w:val="52"/>
          <w:szCs w:val="52"/>
          <w:highlight w:val="none"/>
          <w:lang w:val="en-US" w:eastAsia="zh-CN"/>
        </w:rPr>
      </w:pPr>
    </w:p>
    <w:p w14:paraId="45BBCFD9">
      <w:pPr>
        <w:widowControl/>
        <w:spacing w:line="360" w:lineRule="auto"/>
        <w:ind w:left="0" w:leftChars="0" w:firstLine="0" w:firstLineChars="0"/>
        <w:jc w:val="center"/>
        <w:rPr>
          <w:rFonts w:hint="default" w:ascii="Times New Roman" w:hAnsi="Times New Roman" w:eastAsia="宋体"/>
          <w:b/>
          <w:bCs/>
          <w:sz w:val="40"/>
          <w:szCs w:val="40"/>
          <w:highlight w:val="none"/>
          <w:lang w:val="en-US" w:eastAsia="zh-CN"/>
        </w:rPr>
      </w:pPr>
      <w:r>
        <w:rPr>
          <w:rFonts w:hint="eastAsia" w:ascii="华文中宋" w:hAnsi="华文中宋" w:eastAsia="华文中宋" w:cs="华文中宋"/>
          <w:b w:val="0"/>
          <w:bCs w:val="0"/>
          <w:sz w:val="40"/>
          <w:szCs w:val="40"/>
          <w:highlight w:val="none"/>
          <w:lang w:val="en-US" w:eastAsia="zh-CN"/>
        </w:rPr>
        <w:t>枝江市民政局</w:t>
      </w:r>
    </w:p>
    <w:p w14:paraId="384CEF34">
      <w:pPr>
        <w:widowControl/>
        <w:spacing w:line="360" w:lineRule="auto"/>
        <w:ind w:left="0" w:leftChars="0" w:firstLine="0" w:firstLineChars="0"/>
        <w:jc w:val="center"/>
        <w:rPr>
          <w:rFonts w:hint="eastAsia" w:ascii="华文中宋" w:hAnsi="华文中宋" w:eastAsia="华文中宋" w:cs="华文中宋"/>
          <w:b w:val="0"/>
          <w:bCs w:val="0"/>
          <w:sz w:val="40"/>
          <w:szCs w:val="40"/>
          <w:highlight w:val="none"/>
          <w:lang w:val="en-US" w:eastAsia="zh-CN"/>
        </w:rPr>
      </w:pPr>
      <w:r>
        <w:rPr>
          <w:rFonts w:hint="eastAsia" w:ascii="华文中宋" w:hAnsi="华文中宋" w:eastAsia="华文中宋" w:cs="华文中宋"/>
          <w:b w:val="0"/>
          <w:bCs w:val="0"/>
          <w:sz w:val="40"/>
          <w:szCs w:val="40"/>
          <w:highlight w:val="none"/>
          <w:lang w:val="en-US" w:eastAsia="zh-CN"/>
        </w:rPr>
        <w:t>永业行规划勘测设计（湖北）有限公司</w:t>
      </w:r>
    </w:p>
    <w:p w14:paraId="10F24CC8">
      <w:pPr>
        <w:rPr>
          <w:rFonts w:hint="eastAsia" w:ascii="华文中宋" w:hAnsi="华文中宋" w:eastAsia="华文中宋" w:cs="华文中宋"/>
          <w:b w:val="0"/>
          <w:bCs w:val="0"/>
          <w:sz w:val="40"/>
          <w:szCs w:val="40"/>
          <w:highlight w:val="none"/>
          <w:lang w:val="en-US" w:eastAsia="zh-CN"/>
        </w:rPr>
      </w:pPr>
      <w:r>
        <w:rPr>
          <w:rFonts w:hint="eastAsia" w:ascii="华文中宋" w:hAnsi="华文中宋" w:eastAsia="华文中宋" w:cs="华文中宋"/>
          <w:b w:val="0"/>
          <w:bCs w:val="0"/>
          <w:sz w:val="40"/>
          <w:szCs w:val="40"/>
          <w:highlight w:val="none"/>
          <w:lang w:val="en-US" w:eastAsia="zh-CN"/>
        </w:rPr>
        <w:br w:type="page"/>
      </w:r>
    </w:p>
    <w:p w14:paraId="5C804C37">
      <w:pPr>
        <w:rPr>
          <w:rFonts w:hint="default" w:ascii="华文中宋" w:hAnsi="华文中宋" w:eastAsia="华文中宋" w:cs="华文中宋"/>
          <w:b w:val="0"/>
          <w:bCs w:val="0"/>
          <w:sz w:val="40"/>
          <w:szCs w:val="40"/>
          <w:highlight w:val="none"/>
          <w:lang w:val="en-US" w:eastAsia="zh-CN"/>
        </w:rPr>
        <w:sectPr>
          <w:headerReference r:id="rId7" w:type="first"/>
          <w:footerReference r:id="rId10" w:type="first"/>
          <w:headerReference r:id="rId5" w:type="default"/>
          <w:footerReference r:id="rId8" w:type="default"/>
          <w:headerReference r:id="rId6" w:type="even"/>
          <w:footerReference r:id="rId9" w:type="even"/>
          <w:pgSz w:w="23811" w:h="16838" w:orient="landscape"/>
          <w:pgMar w:top="1440" w:right="1080" w:bottom="1440" w:left="1080" w:header="851" w:footer="992" w:gutter="0"/>
          <w:pgNumType w:fmt="decimal"/>
          <w:cols w:space="425" w:num="1"/>
          <w:docGrid w:type="lines" w:linePitch="312" w:charSpace="0"/>
        </w:sectPr>
      </w:pPr>
    </w:p>
    <w:p w14:paraId="4EA278AA">
      <w:pPr>
        <w:ind w:left="0" w:leftChars="0" w:firstLine="0" w:firstLineChars="0"/>
        <w:rPr>
          <w:rFonts w:hint="default" w:ascii="华文中宋" w:hAnsi="华文中宋" w:eastAsia="华文中宋" w:cs="华文中宋"/>
          <w:b w:val="0"/>
          <w:bCs w:val="0"/>
          <w:sz w:val="40"/>
          <w:szCs w:val="40"/>
          <w:highlight w:val="none"/>
          <w:lang w:val="en-US" w:eastAsia="zh-CN"/>
        </w:rPr>
      </w:pPr>
    </w:p>
    <w:p w14:paraId="2A010963">
      <w:pPr>
        <w:ind w:left="0" w:leftChars="0" w:firstLine="0" w:firstLineChars="0"/>
        <w:rPr>
          <w:rFonts w:hint="default" w:ascii="华文中宋" w:hAnsi="华文中宋" w:eastAsia="华文中宋" w:cs="华文中宋"/>
          <w:b w:val="0"/>
          <w:bCs w:val="0"/>
          <w:sz w:val="40"/>
          <w:szCs w:val="40"/>
          <w:highlight w:val="none"/>
          <w:lang w:val="en-US" w:eastAsia="zh-CN"/>
        </w:rPr>
      </w:pPr>
    </w:p>
    <w:p w14:paraId="4F30F1EB">
      <w:pPr>
        <w:ind w:left="0" w:leftChars="0" w:firstLine="0" w:firstLineChars="0"/>
        <w:rPr>
          <w:rFonts w:hint="default" w:ascii="华文中宋" w:hAnsi="华文中宋" w:eastAsia="华文中宋" w:cs="华文中宋"/>
          <w:b w:val="0"/>
          <w:bCs w:val="0"/>
          <w:sz w:val="40"/>
          <w:szCs w:val="40"/>
          <w:highlight w:val="none"/>
          <w:lang w:val="en-US" w:eastAsia="zh-CN"/>
        </w:rPr>
      </w:pPr>
    </w:p>
    <w:p w14:paraId="565AB9CF">
      <w:pPr>
        <w:ind w:left="0" w:leftChars="0" w:firstLine="0" w:firstLineChars="0"/>
        <w:rPr>
          <w:rFonts w:hint="default" w:ascii="华文中宋" w:hAnsi="华文中宋" w:eastAsia="华文中宋" w:cs="华文中宋"/>
          <w:b w:val="0"/>
          <w:bCs w:val="0"/>
          <w:sz w:val="40"/>
          <w:szCs w:val="40"/>
          <w:highlight w:val="none"/>
          <w:lang w:val="en-US" w:eastAsia="zh-CN"/>
        </w:rPr>
      </w:pPr>
      <w:r>
        <w:drawing>
          <wp:anchor distT="0" distB="0" distL="114300" distR="114300" simplePos="0" relativeHeight="251659264" behindDoc="1" locked="0" layoutInCell="1" allowOverlap="1">
            <wp:simplePos x="0" y="0"/>
            <wp:positionH relativeFrom="column">
              <wp:posOffset>581660</wp:posOffset>
            </wp:positionH>
            <wp:positionV relativeFrom="paragraph">
              <wp:posOffset>258445</wp:posOffset>
            </wp:positionV>
            <wp:extent cx="6539865" cy="4656455"/>
            <wp:effectExtent l="9525" t="9525" r="22860" b="20320"/>
            <wp:wrapNone/>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1"/>
                    <a:stretch>
                      <a:fillRect/>
                    </a:stretch>
                  </pic:blipFill>
                  <pic:spPr>
                    <a:xfrm>
                      <a:off x="0" y="0"/>
                      <a:ext cx="6539865" cy="4656455"/>
                    </a:xfrm>
                    <a:prstGeom prst="rect">
                      <a:avLst/>
                    </a:prstGeom>
                    <a:noFill/>
                    <a:ln>
                      <a:solidFill>
                        <a:schemeClr val="bg2">
                          <a:lumMod val="90000"/>
                        </a:schemeClr>
                      </a:solidFill>
                    </a:ln>
                  </pic:spPr>
                </pic:pic>
              </a:graphicData>
            </a:graphic>
          </wp:anchor>
        </w:drawing>
      </w:r>
    </w:p>
    <w:p w14:paraId="31E1FFCC">
      <w:pPr>
        <w:ind w:left="0" w:leftChars="0" w:firstLine="0" w:firstLineChars="0"/>
        <w:rPr>
          <w:rFonts w:hint="default" w:ascii="华文中宋" w:hAnsi="华文中宋" w:eastAsia="华文中宋" w:cs="华文中宋"/>
          <w:b w:val="0"/>
          <w:bCs w:val="0"/>
          <w:sz w:val="40"/>
          <w:szCs w:val="40"/>
          <w:highlight w:val="none"/>
          <w:lang w:val="en-US" w:eastAsia="zh-CN"/>
        </w:rPr>
      </w:pPr>
    </w:p>
    <w:p w14:paraId="3037CC36">
      <w:pPr>
        <w:ind w:left="0" w:leftChars="0" w:firstLine="0" w:firstLineChars="0"/>
        <w:rPr>
          <w:rFonts w:hint="default" w:ascii="华文中宋" w:hAnsi="华文中宋" w:eastAsia="华文中宋" w:cs="华文中宋"/>
          <w:b w:val="0"/>
          <w:bCs w:val="0"/>
          <w:sz w:val="40"/>
          <w:szCs w:val="40"/>
          <w:highlight w:val="none"/>
          <w:lang w:val="en-US" w:eastAsia="zh-CN"/>
        </w:rPr>
      </w:pPr>
    </w:p>
    <w:p w14:paraId="3F55CEAD">
      <w:pPr>
        <w:ind w:left="0" w:leftChars="0" w:firstLine="0" w:firstLineChars="0"/>
        <w:rPr>
          <w:rFonts w:hint="default" w:ascii="华文中宋" w:hAnsi="华文中宋" w:eastAsia="华文中宋" w:cs="华文中宋"/>
          <w:b w:val="0"/>
          <w:bCs w:val="0"/>
          <w:sz w:val="40"/>
          <w:szCs w:val="40"/>
          <w:highlight w:val="none"/>
          <w:lang w:val="en-US" w:eastAsia="zh-CN"/>
        </w:rPr>
      </w:pPr>
    </w:p>
    <w:p w14:paraId="01286F38">
      <w:pPr>
        <w:ind w:left="0" w:leftChars="0" w:firstLine="0" w:firstLineChars="0"/>
        <w:rPr>
          <w:rFonts w:hint="default" w:ascii="华文中宋" w:hAnsi="华文中宋" w:eastAsia="华文中宋" w:cs="华文中宋"/>
          <w:b w:val="0"/>
          <w:bCs w:val="0"/>
          <w:sz w:val="40"/>
          <w:szCs w:val="40"/>
          <w:highlight w:val="none"/>
          <w:lang w:val="en-US" w:eastAsia="zh-CN"/>
        </w:rPr>
      </w:pPr>
    </w:p>
    <w:p w14:paraId="77B75503">
      <w:pPr>
        <w:ind w:left="0" w:leftChars="0" w:firstLine="0" w:firstLineChars="0"/>
        <w:rPr>
          <w:rFonts w:hint="default" w:ascii="华文中宋" w:hAnsi="华文中宋" w:eastAsia="华文中宋" w:cs="华文中宋"/>
          <w:b w:val="0"/>
          <w:bCs w:val="0"/>
          <w:sz w:val="40"/>
          <w:szCs w:val="40"/>
          <w:highlight w:val="none"/>
          <w:lang w:val="en-US" w:eastAsia="zh-CN"/>
        </w:rPr>
      </w:pPr>
    </w:p>
    <w:p w14:paraId="24D8E68C">
      <w:pPr>
        <w:ind w:left="0" w:leftChars="0" w:firstLine="0" w:firstLineChars="0"/>
        <w:rPr>
          <w:rFonts w:hint="default" w:ascii="华文中宋" w:hAnsi="华文中宋" w:eastAsia="华文中宋" w:cs="华文中宋"/>
          <w:b w:val="0"/>
          <w:bCs w:val="0"/>
          <w:sz w:val="40"/>
          <w:szCs w:val="40"/>
          <w:highlight w:val="none"/>
          <w:lang w:val="en-US" w:eastAsia="zh-CN"/>
        </w:rPr>
      </w:pPr>
    </w:p>
    <w:p w14:paraId="67486448">
      <w:pPr>
        <w:ind w:left="0" w:leftChars="0" w:firstLine="0" w:firstLineChars="0"/>
        <w:rPr>
          <w:rFonts w:hint="default" w:ascii="华文中宋" w:hAnsi="华文中宋" w:eastAsia="华文中宋" w:cs="华文中宋"/>
          <w:b w:val="0"/>
          <w:bCs w:val="0"/>
          <w:sz w:val="40"/>
          <w:szCs w:val="40"/>
          <w:highlight w:val="none"/>
          <w:lang w:val="en-US" w:eastAsia="zh-CN"/>
        </w:rPr>
      </w:pPr>
    </w:p>
    <w:p w14:paraId="1801C64E">
      <w:pPr>
        <w:ind w:left="0" w:leftChars="0" w:firstLine="0" w:firstLineChars="0"/>
        <w:rPr>
          <w:rFonts w:hint="default" w:ascii="华文中宋" w:hAnsi="华文中宋" w:eastAsia="华文中宋" w:cs="华文中宋"/>
          <w:b w:val="0"/>
          <w:bCs w:val="0"/>
          <w:sz w:val="40"/>
          <w:szCs w:val="40"/>
          <w:highlight w:val="none"/>
          <w:lang w:val="en-US" w:eastAsia="zh-CN"/>
        </w:rPr>
      </w:pPr>
    </w:p>
    <w:p w14:paraId="52D4531E">
      <w:pPr>
        <w:ind w:left="0" w:leftChars="0" w:firstLine="0" w:firstLineChars="0"/>
        <w:rPr>
          <w:rFonts w:hint="default" w:ascii="华文中宋" w:hAnsi="华文中宋" w:eastAsia="华文中宋" w:cs="华文中宋"/>
          <w:b w:val="0"/>
          <w:bCs w:val="0"/>
          <w:sz w:val="40"/>
          <w:szCs w:val="40"/>
          <w:highlight w:val="none"/>
          <w:lang w:val="en-US" w:eastAsia="zh-CN"/>
        </w:rPr>
      </w:pPr>
    </w:p>
    <w:p w14:paraId="58C5B7F3">
      <w:pPr>
        <w:ind w:left="0" w:leftChars="0" w:firstLine="0" w:firstLineChars="0"/>
        <w:rPr>
          <w:rFonts w:hint="default" w:ascii="华文中宋" w:hAnsi="华文中宋" w:eastAsia="华文中宋" w:cs="华文中宋"/>
          <w:b w:val="0"/>
          <w:bCs w:val="0"/>
          <w:sz w:val="40"/>
          <w:szCs w:val="40"/>
          <w:highlight w:val="none"/>
          <w:lang w:val="en-US" w:eastAsia="zh-CN"/>
        </w:rPr>
      </w:pPr>
    </w:p>
    <w:p w14:paraId="489E3612">
      <w:pPr>
        <w:ind w:left="0" w:leftChars="0" w:firstLine="0" w:firstLineChars="0"/>
        <w:rPr>
          <w:rFonts w:hint="default" w:ascii="华文中宋" w:hAnsi="华文中宋" w:eastAsia="华文中宋" w:cs="华文中宋"/>
          <w:b w:val="0"/>
          <w:bCs w:val="0"/>
          <w:sz w:val="40"/>
          <w:szCs w:val="40"/>
          <w:highlight w:val="none"/>
          <w:lang w:val="en-US" w:eastAsia="zh-CN"/>
        </w:rPr>
      </w:pPr>
    </w:p>
    <w:p w14:paraId="2B868DA0">
      <w:pPr>
        <w:ind w:left="0" w:leftChars="0" w:firstLine="0" w:firstLineChars="0"/>
        <w:rPr>
          <w:rFonts w:hint="default" w:ascii="华文中宋" w:hAnsi="华文中宋" w:eastAsia="华文中宋" w:cs="华文中宋"/>
          <w:b w:val="0"/>
          <w:bCs w:val="0"/>
          <w:sz w:val="40"/>
          <w:szCs w:val="40"/>
          <w:highlight w:val="none"/>
          <w:lang w:val="en-US" w:eastAsia="zh-CN"/>
        </w:rPr>
      </w:pPr>
    </w:p>
    <w:p w14:paraId="4CBDB439">
      <w:pPr>
        <w:ind w:left="0" w:leftChars="0" w:firstLine="0" w:firstLineChars="0"/>
        <w:rPr>
          <w:rFonts w:hint="default" w:ascii="华文中宋" w:hAnsi="华文中宋" w:eastAsia="华文中宋" w:cs="华文中宋"/>
          <w:b w:val="0"/>
          <w:bCs w:val="0"/>
          <w:sz w:val="40"/>
          <w:szCs w:val="40"/>
          <w:highlight w:val="none"/>
          <w:lang w:val="en-US" w:eastAsia="zh-CN"/>
        </w:rPr>
      </w:pPr>
    </w:p>
    <w:p w14:paraId="73CC9DBE">
      <w:pPr>
        <w:ind w:left="0" w:leftChars="0" w:firstLine="0" w:firstLineChars="0"/>
        <w:rPr>
          <w:rFonts w:hint="default" w:ascii="华文中宋" w:hAnsi="华文中宋" w:eastAsia="华文中宋" w:cs="华文中宋"/>
          <w:b/>
          <w:bCs/>
          <w:sz w:val="40"/>
          <w:szCs w:val="40"/>
          <w:highlight w:val="none"/>
          <w:lang w:val="en-US" w:eastAsia="zh-CN"/>
        </w:rPr>
      </w:pPr>
    </w:p>
    <w:p w14:paraId="19085309">
      <w:pPr>
        <w:keepNext w:val="0"/>
        <w:keepLines w:val="0"/>
        <w:widowControl/>
        <w:suppressLineNumbers w:val="0"/>
        <w:ind w:firstLine="1063" w:firstLineChars="331"/>
        <w:jc w:val="left"/>
        <w:rPr>
          <w:rFonts w:hint="eastAsia" w:ascii="仿宋" w:hAnsi="仿宋" w:eastAsia="仿宋" w:cs="仿宋"/>
          <w:b/>
          <w:bCs/>
          <w:sz w:val="32"/>
          <w:szCs w:val="32"/>
        </w:rPr>
      </w:pPr>
      <w:r>
        <w:rPr>
          <w:rFonts w:hint="eastAsia" w:ascii="仿宋" w:hAnsi="仿宋" w:eastAsia="仿宋" w:cs="仿宋"/>
          <w:b/>
          <w:bCs/>
          <w:color w:val="000000"/>
          <w:kern w:val="0"/>
          <w:sz w:val="32"/>
          <w:szCs w:val="32"/>
          <w:lang w:val="en-US" w:eastAsia="zh-CN" w:bidi="ar"/>
          <w14:ligatures w14:val="standardContextual"/>
        </w:rPr>
        <w:t xml:space="preserve">项目名称：枝江市公益性安葬设施布点规划 </w:t>
      </w:r>
    </w:p>
    <w:p w14:paraId="17A44752">
      <w:pPr>
        <w:keepNext w:val="0"/>
        <w:keepLines w:val="0"/>
        <w:widowControl/>
        <w:suppressLineNumbers w:val="0"/>
        <w:ind w:firstLine="1063" w:firstLineChars="331"/>
        <w:jc w:val="left"/>
        <w:rPr>
          <w:rFonts w:hint="eastAsia" w:ascii="仿宋" w:hAnsi="仿宋" w:eastAsia="仿宋" w:cs="仿宋"/>
          <w:b/>
          <w:bCs/>
          <w:sz w:val="32"/>
          <w:szCs w:val="32"/>
        </w:rPr>
      </w:pPr>
      <w:r>
        <w:rPr>
          <w:rFonts w:hint="eastAsia" w:ascii="仿宋" w:hAnsi="仿宋" w:eastAsia="仿宋" w:cs="仿宋"/>
          <w:b/>
          <w:bCs/>
          <w:color w:val="000000"/>
          <w:kern w:val="0"/>
          <w:sz w:val="32"/>
          <w:szCs w:val="32"/>
          <w:lang w:val="en-US" w:eastAsia="zh-CN" w:bidi="ar"/>
          <w14:ligatures w14:val="standardContextual"/>
        </w:rPr>
        <w:t xml:space="preserve">委托单位：枝江市民政局 </w:t>
      </w:r>
    </w:p>
    <w:p w14:paraId="7414F1AC">
      <w:pPr>
        <w:keepNext w:val="0"/>
        <w:keepLines w:val="0"/>
        <w:widowControl/>
        <w:suppressLineNumbers w:val="0"/>
        <w:ind w:firstLine="1063" w:firstLineChars="331"/>
        <w:jc w:val="left"/>
        <w:rPr>
          <w:rFonts w:hint="eastAsia" w:ascii="仿宋" w:hAnsi="仿宋" w:eastAsia="仿宋" w:cs="仿宋"/>
          <w:b/>
          <w:bCs/>
          <w:sz w:val="32"/>
          <w:szCs w:val="32"/>
        </w:rPr>
      </w:pPr>
      <w:r>
        <w:rPr>
          <w:rFonts w:hint="eastAsia" w:ascii="仿宋" w:hAnsi="仿宋" w:eastAsia="仿宋" w:cs="仿宋"/>
          <w:b/>
          <w:bCs/>
          <w:color w:val="000000"/>
          <w:kern w:val="0"/>
          <w:sz w:val="32"/>
          <w:szCs w:val="32"/>
          <w:lang w:val="en-US" w:eastAsia="zh-CN" w:bidi="ar"/>
          <w14:ligatures w14:val="standardContextual"/>
        </w:rPr>
        <w:t>编制单位：永业行规划勘测设计（湖北）有限公司</w:t>
      </w:r>
    </w:p>
    <w:p w14:paraId="79A296B8">
      <w:pPr>
        <w:keepNext w:val="0"/>
        <w:keepLines w:val="0"/>
        <w:widowControl/>
        <w:suppressLineNumbers w:val="0"/>
        <w:ind w:firstLine="1063" w:firstLineChars="331"/>
        <w:jc w:val="left"/>
        <w:rPr>
          <w:rFonts w:hint="eastAsia" w:ascii="仿宋" w:hAnsi="仿宋" w:eastAsia="仿宋" w:cs="仿宋"/>
          <w:b/>
          <w:bCs/>
          <w:sz w:val="32"/>
          <w:szCs w:val="32"/>
        </w:rPr>
      </w:pPr>
      <w:r>
        <w:rPr>
          <w:rFonts w:hint="eastAsia" w:ascii="仿宋" w:hAnsi="仿宋" w:eastAsia="仿宋" w:cs="仿宋"/>
          <w:b/>
          <w:bCs/>
          <w:color w:val="000000"/>
          <w:kern w:val="0"/>
          <w:sz w:val="32"/>
          <w:szCs w:val="32"/>
          <w:lang w:val="en-US" w:eastAsia="zh-CN" w:bidi="ar"/>
          <w14:ligatures w14:val="standardContextual"/>
        </w:rPr>
        <w:t xml:space="preserve">设计资质：城乡规划甲级 </w:t>
      </w:r>
    </w:p>
    <w:p w14:paraId="415D14E6">
      <w:pPr>
        <w:keepNext w:val="0"/>
        <w:keepLines w:val="0"/>
        <w:widowControl/>
        <w:suppressLineNumbers w:val="0"/>
        <w:ind w:firstLine="1063" w:firstLineChars="331"/>
        <w:jc w:val="left"/>
        <w:rPr>
          <w:rFonts w:hint="eastAsia" w:ascii="仿宋" w:hAnsi="仿宋" w:eastAsia="仿宋" w:cs="仿宋"/>
          <w:b/>
          <w:bCs/>
          <w:sz w:val="32"/>
          <w:szCs w:val="32"/>
        </w:rPr>
      </w:pPr>
      <w:r>
        <w:rPr>
          <w:rFonts w:hint="eastAsia" w:ascii="仿宋" w:hAnsi="仿宋" w:eastAsia="仿宋" w:cs="仿宋"/>
          <w:b/>
          <w:bCs/>
          <w:color w:val="000000"/>
          <w:kern w:val="0"/>
          <w:sz w:val="32"/>
          <w:szCs w:val="32"/>
          <w:lang w:val="en-US" w:eastAsia="zh-CN" w:bidi="ar"/>
          <w14:ligatures w14:val="standardContextual"/>
        </w:rPr>
        <w:t>证书编号：自资规用字25420867</w:t>
      </w:r>
    </w:p>
    <w:p w14:paraId="6476D664">
      <w:pPr>
        <w:ind w:left="0" w:leftChars="0" w:firstLine="0" w:firstLineChars="0"/>
        <w:rPr>
          <w:rFonts w:hint="eastAsia" w:ascii="仿宋" w:hAnsi="仿宋" w:eastAsia="仿宋" w:cs="仿宋"/>
          <w:b/>
          <w:bCs/>
          <w:sz w:val="32"/>
          <w:szCs w:val="32"/>
          <w:highlight w:val="none"/>
          <w:lang w:val="en-US" w:eastAsia="zh-CN"/>
        </w:rPr>
      </w:pPr>
    </w:p>
    <w:p w14:paraId="6E0968D8">
      <w:pPr>
        <w:ind w:left="0" w:leftChars="0" w:firstLine="0" w:firstLineChars="0"/>
        <w:rPr>
          <w:rFonts w:hint="eastAsia" w:ascii="仿宋" w:hAnsi="仿宋" w:eastAsia="仿宋" w:cs="仿宋"/>
          <w:b/>
          <w:bCs/>
          <w:sz w:val="32"/>
          <w:szCs w:val="32"/>
          <w:highlight w:val="none"/>
          <w:lang w:val="en-US" w:eastAsia="zh-CN"/>
        </w:rPr>
      </w:pPr>
    </w:p>
    <w:p w14:paraId="6312E397">
      <w:pPr>
        <w:ind w:left="0" w:leftChars="0" w:firstLine="0" w:firstLineChars="0"/>
        <w:rPr>
          <w:rFonts w:hint="eastAsia" w:ascii="仿宋" w:hAnsi="仿宋" w:eastAsia="仿宋" w:cs="仿宋"/>
          <w:b/>
          <w:bCs/>
          <w:sz w:val="32"/>
          <w:szCs w:val="32"/>
          <w:highlight w:val="none"/>
          <w:lang w:val="en-US" w:eastAsia="zh-CN"/>
        </w:rPr>
      </w:pPr>
    </w:p>
    <w:p w14:paraId="740B5BD3">
      <w:pPr>
        <w:keepNext w:val="0"/>
        <w:keepLines w:val="0"/>
        <w:widowControl/>
        <w:suppressLineNumbers w:val="0"/>
        <w:ind w:firstLine="1063" w:firstLineChars="331"/>
        <w:jc w:val="left"/>
        <w:rPr>
          <w:rFonts w:hint="eastAsia" w:ascii="仿宋" w:hAnsi="仿宋" w:eastAsia="仿宋" w:cs="仿宋"/>
          <w:b/>
          <w:bCs/>
          <w:color w:val="000000"/>
          <w:kern w:val="0"/>
          <w:sz w:val="32"/>
          <w:szCs w:val="32"/>
          <w:lang w:val="en-US" w:eastAsia="zh-CN" w:bidi="ar"/>
          <w14:ligatures w14:val="standardContextual"/>
        </w:rPr>
      </w:pPr>
      <w:r>
        <w:rPr>
          <w:rFonts w:hint="eastAsia" w:ascii="仿宋" w:hAnsi="仿宋" w:eastAsia="仿宋" w:cs="仿宋"/>
          <w:b/>
          <w:bCs/>
          <w:color w:val="000000"/>
          <w:kern w:val="0"/>
          <w:sz w:val="32"/>
          <w:szCs w:val="32"/>
          <w:lang w:val="en-US" w:eastAsia="zh-CN" w:bidi="ar"/>
          <w14:ligatures w14:val="standardContextual"/>
        </w:rPr>
        <w:t>项目负责人：王  卫          土地规划工程师</w:t>
      </w:r>
    </w:p>
    <w:p w14:paraId="67AFFEBD">
      <w:pPr>
        <w:keepNext w:val="0"/>
        <w:keepLines w:val="0"/>
        <w:widowControl/>
        <w:suppressLineNumbers w:val="0"/>
        <w:ind w:firstLine="1063" w:firstLineChars="331"/>
        <w:jc w:val="left"/>
        <w:rPr>
          <w:rFonts w:hint="eastAsia" w:ascii="仿宋" w:hAnsi="仿宋" w:eastAsia="仿宋" w:cs="仿宋"/>
          <w:b/>
          <w:bCs/>
          <w:color w:val="000000"/>
          <w:kern w:val="0"/>
          <w:sz w:val="32"/>
          <w:szCs w:val="32"/>
          <w:lang w:val="en-US" w:eastAsia="zh-CN" w:bidi="ar"/>
          <w14:ligatures w14:val="standardContextual"/>
        </w:rPr>
      </w:pPr>
      <w:r>
        <w:rPr>
          <w:rFonts w:hint="eastAsia" w:ascii="仿宋" w:hAnsi="仿宋" w:eastAsia="仿宋" w:cs="仿宋"/>
          <w:b/>
          <w:bCs/>
          <w:color w:val="000000"/>
          <w:kern w:val="0"/>
          <w:sz w:val="32"/>
          <w:szCs w:val="32"/>
          <w:lang w:val="en-US" w:eastAsia="zh-CN" w:bidi="ar"/>
          <w14:ligatures w14:val="standardContextual"/>
        </w:rPr>
        <w:t>技术负责人：罗申奥          城乡规划工程师</w:t>
      </w:r>
    </w:p>
    <w:p w14:paraId="631D2650">
      <w:pPr>
        <w:keepNext w:val="0"/>
        <w:keepLines w:val="0"/>
        <w:widowControl/>
        <w:suppressLineNumbers w:val="0"/>
        <w:ind w:firstLine="1063" w:firstLineChars="331"/>
        <w:jc w:val="left"/>
        <w:rPr>
          <w:rFonts w:hint="eastAsia" w:ascii="仿宋" w:hAnsi="仿宋" w:eastAsia="仿宋" w:cs="仿宋"/>
          <w:b/>
          <w:bCs/>
          <w:color w:val="000000"/>
          <w:kern w:val="0"/>
          <w:sz w:val="32"/>
          <w:szCs w:val="32"/>
          <w:lang w:val="en-US" w:eastAsia="zh-CN" w:bidi="ar"/>
          <w14:ligatures w14:val="standardContextual"/>
        </w:rPr>
      </w:pPr>
      <w:r>
        <w:rPr>
          <w:rFonts w:hint="eastAsia" w:ascii="仿宋" w:hAnsi="仿宋" w:eastAsia="仿宋" w:cs="仿宋"/>
          <w:b/>
          <w:bCs/>
          <w:color w:val="000000"/>
          <w:kern w:val="0"/>
          <w:sz w:val="32"/>
          <w:szCs w:val="32"/>
          <w:lang w:val="en-US" w:eastAsia="zh-CN" w:bidi="ar"/>
          <w14:ligatures w14:val="standardContextual"/>
        </w:rPr>
        <w:t>审      定：熊俊杰          注册城乡规划师</w:t>
      </w:r>
    </w:p>
    <w:p w14:paraId="61D9149B">
      <w:pPr>
        <w:keepNext w:val="0"/>
        <w:keepLines w:val="0"/>
        <w:widowControl/>
        <w:suppressLineNumbers w:val="0"/>
        <w:ind w:firstLine="1063" w:firstLineChars="331"/>
        <w:jc w:val="left"/>
        <w:rPr>
          <w:rFonts w:hint="eastAsia" w:ascii="仿宋" w:hAnsi="仿宋" w:eastAsia="仿宋" w:cs="仿宋"/>
          <w:b/>
          <w:bCs/>
          <w:color w:val="000000"/>
          <w:kern w:val="0"/>
          <w:sz w:val="32"/>
          <w:szCs w:val="32"/>
          <w:lang w:val="en-US" w:eastAsia="zh-CN" w:bidi="ar"/>
          <w14:ligatures w14:val="standardContextual"/>
        </w:rPr>
      </w:pPr>
      <w:r>
        <w:rPr>
          <w:rFonts w:hint="eastAsia" w:ascii="仿宋" w:hAnsi="仿宋" w:eastAsia="仿宋" w:cs="仿宋"/>
          <w:b/>
          <w:bCs/>
          <w:color w:val="000000"/>
          <w:kern w:val="0"/>
          <w:sz w:val="32"/>
          <w:szCs w:val="32"/>
          <w:lang w:val="en-US" w:eastAsia="zh-CN" w:bidi="ar"/>
          <w14:ligatures w14:val="standardContextual"/>
        </w:rPr>
        <w:t>审      核：邓  娟          工    程    师</w:t>
      </w:r>
    </w:p>
    <w:p w14:paraId="469ED410">
      <w:pPr>
        <w:keepNext w:val="0"/>
        <w:keepLines w:val="0"/>
        <w:widowControl/>
        <w:suppressLineNumbers w:val="0"/>
        <w:ind w:firstLine="1063" w:firstLineChars="331"/>
        <w:jc w:val="left"/>
        <w:rPr>
          <w:rFonts w:hint="eastAsia" w:ascii="仿宋" w:hAnsi="仿宋" w:eastAsia="仿宋" w:cs="仿宋"/>
          <w:b/>
          <w:bCs/>
          <w:color w:val="000000"/>
          <w:kern w:val="0"/>
          <w:sz w:val="32"/>
          <w:szCs w:val="32"/>
          <w:lang w:val="en-US" w:eastAsia="zh-CN" w:bidi="ar"/>
          <w14:ligatures w14:val="standardContextual"/>
        </w:rPr>
      </w:pPr>
      <w:r>
        <w:rPr>
          <w:rFonts w:hint="eastAsia" w:ascii="仿宋" w:hAnsi="仿宋" w:eastAsia="仿宋" w:cs="仿宋"/>
          <w:b/>
          <w:bCs/>
          <w:color w:val="000000"/>
          <w:kern w:val="0"/>
          <w:sz w:val="32"/>
          <w:szCs w:val="32"/>
          <w:lang w:val="en-US" w:eastAsia="zh-CN" w:bidi="ar"/>
          <w14:ligatures w14:val="standardContextual"/>
        </w:rPr>
        <w:t>校      核：田冬玉          城乡规划工程师</w:t>
      </w:r>
    </w:p>
    <w:p w14:paraId="2672CA6D">
      <w:pPr>
        <w:keepNext w:val="0"/>
        <w:keepLines w:val="0"/>
        <w:widowControl/>
        <w:suppressLineNumbers w:val="0"/>
        <w:ind w:firstLine="1063" w:firstLineChars="331"/>
        <w:jc w:val="left"/>
        <w:rPr>
          <w:rFonts w:hint="eastAsia" w:ascii="仿宋" w:hAnsi="仿宋" w:eastAsia="仿宋" w:cs="仿宋"/>
          <w:b/>
          <w:bCs/>
          <w:color w:val="000000"/>
          <w:kern w:val="0"/>
          <w:sz w:val="32"/>
          <w:szCs w:val="32"/>
          <w:lang w:val="en-US" w:eastAsia="zh-CN" w:bidi="ar"/>
          <w14:ligatures w14:val="standardContextual"/>
        </w:rPr>
      </w:pPr>
      <w:r>
        <w:rPr>
          <w:rFonts w:hint="eastAsia" w:ascii="仿宋" w:hAnsi="仿宋" w:eastAsia="仿宋" w:cs="仿宋"/>
          <w:b/>
          <w:bCs/>
          <w:color w:val="000000"/>
          <w:kern w:val="0"/>
          <w:sz w:val="32"/>
          <w:szCs w:val="32"/>
          <w:lang w:val="en-US" w:eastAsia="zh-CN" w:bidi="ar"/>
          <w14:ligatures w14:val="standardContextual"/>
        </w:rPr>
        <w:t>编</w:t>
      </w:r>
      <w:r>
        <w:rPr>
          <w:rFonts w:hint="eastAsia" w:ascii="仿宋" w:hAnsi="仿宋" w:eastAsia="仿宋" w:cs="仿宋"/>
          <w:b/>
          <w:bCs/>
          <w:color w:val="000000"/>
          <w:kern w:val="0"/>
          <w:sz w:val="22"/>
          <w:szCs w:val="22"/>
          <w:lang w:val="en-US" w:eastAsia="zh-CN" w:bidi="ar"/>
          <w14:ligatures w14:val="standardContextual"/>
        </w:rPr>
        <w:t xml:space="preserve"> </w:t>
      </w:r>
      <w:r>
        <w:rPr>
          <w:rFonts w:hint="eastAsia" w:ascii="仿宋" w:hAnsi="仿宋" w:eastAsia="仿宋" w:cs="仿宋"/>
          <w:b/>
          <w:bCs/>
          <w:color w:val="000000"/>
          <w:kern w:val="0"/>
          <w:sz w:val="32"/>
          <w:szCs w:val="32"/>
          <w:lang w:val="en-US" w:eastAsia="zh-CN" w:bidi="ar"/>
          <w14:ligatures w14:val="standardContextual"/>
        </w:rPr>
        <w:t>制</w:t>
      </w:r>
      <w:r>
        <w:rPr>
          <w:rFonts w:hint="eastAsia" w:ascii="仿宋" w:hAnsi="仿宋" w:eastAsia="仿宋" w:cs="仿宋"/>
          <w:b/>
          <w:bCs/>
          <w:color w:val="000000"/>
          <w:kern w:val="0"/>
          <w:sz w:val="22"/>
          <w:szCs w:val="22"/>
          <w:lang w:val="en-US" w:eastAsia="zh-CN" w:bidi="ar"/>
          <w14:ligatures w14:val="standardContextual"/>
        </w:rPr>
        <w:t xml:space="preserve"> </w:t>
      </w:r>
      <w:r>
        <w:rPr>
          <w:rFonts w:hint="eastAsia" w:ascii="仿宋" w:hAnsi="仿宋" w:eastAsia="仿宋" w:cs="仿宋"/>
          <w:b/>
          <w:bCs/>
          <w:color w:val="000000"/>
          <w:kern w:val="0"/>
          <w:sz w:val="32"/>
          <w:szCs w:val="32"/>
          <w:lang w:val="en-US" w:eastAsia="zh-CN" w:bidi="ar"/>
          <w14:ligatures w14:val="standardContextual"/>
        </w:rPr>
        <w:t>人</w:t>
      </w:r>
      <w:r>
        <w:rPr>
          <w:rFonts w:hint="eastAsia" w:ascii="仿宋" w:hAnsi="仿宋" w:eastAsia="仿宋" w:cs="仿宋"/>
          <w:b/>
          <w:bCs/>
          <w:color w:val="000000"/>
          <w:kern w:val="0"/>
          <w:sz w:val="22"/>
          <w:szCs w:val="22"/>
          <w:lang w:val="en-US" w:eastAsia="zh-CN" w:bidi="ar"/>
          <w14:ligatures w14:val="standardContextual"/>
        </w:rPr>
        <w:t xml:space="preserve"> </w:t>
      </w:r>
      <w:r>
        <w:rPr>
          <w:rFonts w:hint="eastAsia" w:ascii="仿宋" w:hAnsi="仿宋" w:eastAsia="仿宋" w:cs="仿宋"/>
          <w:b/>
          <w:bCs/>
          <w:color w:val="000000"/>
          <w:kern w:val="0"/>
          <w:sz w:val="32"/>
          <w:szCs w:val="32"/>
          <w:lang w:val="en-US" w:eastAsia="zh-CN" w:bidi="ar"/>
          <w14:ligatures w14:val="standardContextual"/>
        </w:rPr>
        <w:t>员：李晓林          注册城乡规划师</w:t>
      </w:r>
    </w:p>
    <w:p w14:paraId="2FD3ED8C">
      <w:pPr>
        <w:keepNext w:val="0"/>
        <w:keepLines w:val="0"/>
        <w:widowControl/>
        <w:suppressLineNumbers w:val="0"/>
        <w:jc w:val="left"/>
        <w:rPr>
          <w:rFonts w:hint="eastAsia" w:ascii="仿宋" w:hAnsi="仿宋" w:eastAsia="仿宋" w:cs="仿宋"/>
          <w:b/>
          <w:bCs/>
          <w:color w:val="000000"/>
          <w:kern w:val="0"/>
          <w:sz w:val="32"/>
          <w:szCs w:val="32"/>
          <w:lang w:val="en-US" w:eastAsia="zh-CN" w:bidi="ar"/>
          <w14:ligatures w14:val="standardContextual"/>
        </w:rPr>
      </w:pPr>
      <w:r>
        <w:rPr>
          <w:rFonts w:hint="eastAsia" w:ascii="仿宋" w:hAnsi="仿宋" w:eastAsia="仿宋" w:cs="仿宋"/>
          <w:b/>
          <w:bCs/>
          <w:color w:val="000000"/>
          <w:kern w:val="0"/>
          <w:sz w:val="32"/>
          <w:szCs w:val="32"/>
          <w:lang w:val="en-US" w:eastAsia="zh-CN" w:bidi="ar"/>
          <w14:ligatures w14:val="standardContextual"/>
        </w:rPr>
        <w:t xml:space="preserve">            </w:t>
      </w:r>
      <w:r>
        <w:rPr>
          <w:rFonts w:hint="eastAsia" w:ascii="仿宋" w:hAnsi="仿宋" w:eastAsia="仿宋" w:cs="仿宋"/>
          <w:b/>
          <w:bCs/>
          <w:color w:val="000000"/>
          <w:kern w:val="0"/>
          <w:sz w:val="32"/>
          <w:szCs w:val="32"/>
          <w:lang w:val="en-US" w:eastAsia="zh-CN" w:bidi="ar"/>
          <w14:ligatures w14:val="standardContextual"/>
        </w:rPr>
        <w:tab/>
      </w:r>
      <w:r>
        <w:rPr>
          <w:rFonts w:hint="eastAsia" w:ascii="仿宋" w:hAnsi="仿宋" w:eastAsia="仿宋" w:cs="仿宋"/>
          <w:b/>
          <w:bCs/>
          <w:color w:val="000000"/>
          <w:kern w:val="0"/>
          <w:sz w:val="32"/>
          <w:szCs w:val="32"/>
          <w:lang w:val="en-US" w:eastAsia="zh-CN" w:bidi="ar"/>
          <w14:ligatures w14:val="standardContextual"/>
        </w:rPr>
        <w:t>赵  彤          城乡规划工程师</w:t>
      </w:r>
    </w:p>
    <w:p w14:paraId="0593DFEB">
      <w:pPr>
        <w:rPr>
          <w:rFonts w:hint="eastAsia" w:ascii="仿宋" w:hAnsi="仿宋" w:eastAsia="仿宋" w:cs="仿宋"/>
          <w:b/>
          <w:bCs/>
          <w:color w:val="000000"/>
          <w:kern w:val="0"/>
          <w:sz w:val="32"/>
          <w:szCs w:val="32"/>
          <w:lang w:val="en-US" w:eastAsia="zh-CN" w:bidi="ar"/>
          <w14:ligatures w14:val="standardContextual"/>
        </w:rPr>
      </w:pPr>
      <w:r>
        <w:rPr>
          <w:rFonts w:hint="eastAsia" w:ascii="仿宋" w:hAnsi="仿宋" w:eastAsia="仿宋" w:cs="仿宋"/>
          <w:b/>
          <w:bCs/>
          <w:color w:val="000000"/>
          <w:kern w:val="0"/>
          <w:sz w:val="32"/>
          <w:szCs w:val="32"/>
          <w:lang w:val="en-US" w:eastAsia="zh-CN" w:bidi="ar"/>
          <w14:ligatures w14:val="standardContextual"/>
        </w:rPr>
        <w:br w:type="page"/>
      </w:r>
    </w:p>
    <w:p w14:paraId="4993F4E1">
      <w:pPr>
        <w:rPr>
          <w:rFonts w:hint="eastAsia" w:ascii="仿宋" w:hAnsi="仿宋" w:eastAsia="仿宋" w:cs="仿宋"/>
          <w:b/>
          <w:bCs/>
          <w:color w:val="000000"/>
          <w:kern w:val="0"/>
          <w:sz w:val="32"/>
          <w:szCs w:val="32"/>
          <w:lang w:val="en-US" w:eastAsia="zh-CN" w:bidi="ar"/>
          <w14:ligatures w14:val="standardContextual"/>
        </w:rPr>
      </w:pPr>
      <w:r>
        <w:rPr>
          <w:rFonts w:hint="eastAsia" w:ascii="仿宋" w:hAnsi="仿宋" w:eastAsia="仿宋" w:cs="仿宋"/>
          <w:b/>
          <w:bCs/>
          <w:color w:val="000000"/>
          <w:kern w:val="0"/>
          <w:sz w:val="32"/>
          <w:szCs w:val="32"/>
          <w:lang w:val="en-US" w:eastAsia="zh-CN" w:bidi="ar"/>
          <w14:ligatures w14:val="standardContextual"/>
        </w:rPr>
        <w:drawing>
          <wp:anchor distT="0" distB="0" distL="114300" distR="114300" simplePos="0" relativeHeight="251675648" behindDoc="1" locked="0" layoutInCell="1" allowOverlap="1">
            <wp:simplePos x="0" y="0"/>
            <wp:positionH relativeFrom="column">
              <wp:posOffset>-666750</wp:posOffset>
            </wp:positionH>
            <wp:positionV relativeFrom="paragraph">
              <wp:posOffset>-1047750</wp:posOffset>
            </wp:positionV>
            <wp:extent cx="15106015" cy="10681970"/>
            <wp:effectExtent l="0" t="0" r="635" b="5080"/>
            <wp:wrapNone/>
            <wp:docPr id="27" name="图片 27" descr="提取自00枝江市公益性安葬设施布点规划（2025-2035）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提取自00枝江市公益性安葬设施布点规划（2025-2035）_4"/>
                    <pic:cNvPicPr>
                      <a:picLocks noChangeAspect="1"/>
                    </pic:cNvPicPr>
                  </pic:nvPicPr>
                  <pic:blipFill>
                    <a:blip r:embed="rId22"/>
                    <a:stretch>
                      <a:fillRect/>
                    </a:stretch>
                  </pic:blipFill>
                  <pic:spPr>
                    <a:xfrm>
                      <a:off x="0" y="0"/>
                      <a:ext cx="15106015" cy="10681970"/>
                    </a:xfrm>
                    <a:prstGeom prst="rect">
                      <a:avLst/>
                    </a:prstGeom>
                  </pic:spPr>
                </pic:pic>
              </a:graphicData>
            </a:graphic>
          </wp:anchor>
        </w:drawing>
      </w:r>
      <w:r>
        <w:rPr>
          <w:rFonts w:hint="eastAsia" w:ascii="仿宋" w:hAnsi="仿宋" w:eastAsia="仿宋" w:cs="仿宋"/>
          <w:b/>
          <w:bCs/>
          <w:color w:val="000000"/>
          <w:kern w:val="0"/>
          <w:sz w:val="32"/>
          <w:szCs w:val="32"/>
          <w:lang w:val="en-US" w:eastAsia="zh-CN" w:bidi="ar"/>
          <w14:ligatures w14:val="standardContextual"/>
        </w:rPr>
        <w:br w:type="page"/>
      </w:r>
    </w:p>
    <w:p w14:paraId="4F27E984">
      <w:pPr>
        <w:keepNext w:val="0"/>
        <w:keepLines w:val="0"/>
        <w:widowControl/>
        <w:suppressLineNumbers w:val="0"/>
        <w:ind w:left="0" w:leftChars="0" w:firstLine="0" w:firstLineChars="0"/>
        <w:jc w:val="left"/>
        <w:rPr>
          <w:rFonts w:hint="eastAsia" w:ascii="仿宋" w:hAnsi="仿宋" w:eastAsia="仿宋" w:cs="仿宋"/>
          <w:b/>
          <w:bCs/>
          <w:color w:val="000000"/>
          <w:kern w:val="0"/>
          <w:sz w:val="32"/>
          <w:szCs w:val="32"/>
          <w:lang w:val="en-US" w:eastAsia="zh-CN" w:bidi="ar"/>
          <w14:ligatures w14:val="standardContextual"/>
        </w:rPr>
        <w:sectPr>
          <w:pgSz w:w="23811" w:h="16838" w:orient="landscape"/>
          <w:pgMar w:top="1440" w:right="1080" w:bottom="1440" w:left="1080" w:header="851" w:footer="992" w:gutter="0"/>
          <w:pgNumType w:fmt="decimal"/>
          <w:cols w:equalWidth="0" w:num="2">
            <w:col w:w="10613" w:space="425"/>
            <w:col w:w="10613"/>
          </w:cols>
          <w:docGrid w:type="lines" w:linePitch="312" w:charSpace="0"/>
        </w:sectPr>
      </w:pPr>
    </w:p>
    <w:p w14:paraId="19F142D6">
      <w:pPr>
        <w:spacing w:after="0" w:line="240" w:lineRule="auto"/>
        <w:ind w:firstLine="0" w:firstLineChars="0"/>
        <w:jc w:val="center"/>
        <w:rPr>
          <w:rFonts w:ascii="Times New Roman" w:hAnsi="Times New Roman"/>
          <w:b/>
          <w:bCs/>
          <w:sz w:val="26"/>
          <w:szCs w:val="26"/>
          <w:highlight w:val="none"/>
        </w:rPr>
      </w:pPr>
      <w:bookmarkStart w:id="0" w:name="_Toc3732"/>
      <w:r>
        <w:rPr>
          <w:rFonts w:ascii="Times New Roman" w:hAnsi="Times New Roman" w:eastAsia="宋体"/>
          <w:b/>
          <w:bCs/>
          <w:sz w:val="26"/>
          <w:szCs w:val="26"/>
          <w:highlight w:val="none"/>
        </w:rPr>
        <w:t>目</w:t>
      </w:r>
      <w:r>
        <w:rPr>
          <w:rFonts w:hint="eastAsia" w:ascii="Times New Roman" w:hAnsi="Times New Roman" w:eastAsia="宋体"/>
          <w:b/>
          <w:bCs/>
          <w:sz w:val="26"/>
          <w:szCs w:val="26"/>
          <w:highlight w:val="none"/>
          <w:lang w:val="en-US" w:eastAsia="zh-CN"/>
        </w:rPr>
        <w:t xml:space="preserve">  </w:t>
      </w:r>
      <w:r>
        <w:rPr>
          <w:rFonts w:ascii="Times New Roman" w:hAnsi="Times New Roman" w:eastAsia="宋体"/>
          <w:b/>
          <w:bCs/>
          <w:sz w:val="26"/>
          <w:szCs w:val="26"/>
          <w:highlight w:val="none"/>
        </w:rPr>
        <w:t>录</w:t>
      </w:r>
    </w:p>
    <w:p w14:paraId="600D370C">
      <w:pPr>
        <w:pStyle w:val="7"/>
        <w:tabs>
          <w:tab w:val="right" w:leader="dot" w:pos="10613"/>
        </w:tabs>
        <w:rPr>
          <w:b/>
          <w:bCs/>
          <w:sz w:val="24"/>
          <w:szCs w:val="24"/>
        </w:rPr>
      </w:pPr>
      <w:r>
        <w:rPr>
          <w:rFonts w:ascii="Times New Roman" w:hAnsi="Times New Roman"/>
          <w:sz w:val="24"/>
          <w:highlight w:val="none"/>
        </w:rPr>
        <w:fldChar w:fldCharType="begin"/>
      </w:r>
      <w:r>
        <w:rPr>
          <w:rFonts w:ascii="Times New Roman" w:hAnsi="Times New Roman"/>
          <w:sz w:val="24"/>
          <w:highlight w:val="none"/>
        </w:rPr>
        <w:instrText xml:space="preserve">TOC \o "1-2" \h \u </w:instrText>
      </w:r>
      <w:r>
        <w:rPr>
          <w:rFonts w:ascii="Times New Roman" w:hAnsi="Times New Roman"/>
          <w:sz w:val="24"/>
          <w:highlight w:val="none"/>
        </w:rPr>
        <w:fldChar w:fldCharType="separate"/>
      </w:r>
      <w:r>
        <w:rPr>
          <w:rFonts w:ascii="Times New Roman" w:hAnsi="Times New Roman"/>
          <w:b/>
          <w:bCs/>
          <w:sz w:val="24"/>
          <w:szCs w:val="24"/>
          <w:highlight w:val="none"/>
        </w:rPr>
        <w:fldChar w:fldCharType="begin"/>
      </w:r>
      <w:r>
        <w:rPr>
          <w:rFonts w:ascii="Times New Roman" w:hAnsi="Times New Roman"/>
          <w:b/>
          <w:bCs/>
          <w:sz w:val="24"/>
          <w:szCs w:val="24"/>
          <w:highlight w:val="none"/>
        </w:rPr>
        <w:instrText xml:space="preserve"> HYPERLINK \l _Toc3732 </w:instrText>
      </w:r>
      <w:r>
        <w:rPr>
          <w:rFonts w:ascii="Times New Roman" w:hAnsi="Times New Roman"/>
          <w:b/>
          <w:bCs/>
          <w:sz w:val="24"/>
          <w:szCs w:val="24"/>
          <w:highlight w:val="none"/>
        </w:rPr>
        <w:fldChar w:fldCharType="separate"/>
      </w:r>
      <w:r>
        <w:rPr>
          <w:rFonts w:ascii="Times New Roman" w:hAnsi="Times New Roman" w:cs="Times New Roman"/>
          <w:b/>
          <w:bCs/>
          <w:sz w:val="24"/>
          <w:szCs w:val="24"/>
          <w:highlight w:val="none"/>
        </w:rPr>
        <w:t>第一章 总则</w:t>
      </w:r>
      <w:r>
        <w:rPr>
          <w:b/>
          <w:bCs/>
          <w:sz w:val="24"/>
          <w:szCs w:val="24"/>
        </w:rPr>
        <w:tab/>
      </w:r>
      <w:r>
        <w:rPr>
          <w:rFonts w:hint="eastAsia"/>
          <w:b/>
          <w:bCs/>
          <w:sz w:val="24"/>
          <w:szCs w:val="24"/>
          <w:lang w:val="en-US" w:eastAsia="zh-CN"/>
        </w:rPr>
        <w:t>1</w:t>
      </w:r>
      <w:r>
        <w:rPr>
          <w:rFonts w:ascii="Times New Roman" w:hAnsi="Times New Roman"/>
          <w:b/>
          <w:bCs/>
          <w:sz w:val="24"/>
          <w:szCs w:val="24"/>
          <w:highlight w:val="none"/>
        </w:rPr>
        <w:fldChar w:fldCharType="end"/>
      </w:r>
    </w:p>
    <w:p w14:paraId="5A86BB2D">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_Toc30314 </w:instrText>
      </w:r>
      <w:r>
        <w:rPr>
          <w:rFonts w:ascii="Times New Roman" w:hAnsi="Times New Roman"/>
          <w:sz w:val="24"/>
          <w:szCs w:val="24"/>
          <w:highlight w:val="none"/>
        </w:rPr>
        <w:fldChar w:fldCharType="separate"/>
      </w:r>
      <w:r>
        <w:rPr>
          <w:rFonts w:hint="eastAsia" w:ascii="Times New Roman" w:hAnsi="Times New Roman" w:cs="Times New Roman"/>
          <w:sz w:val="24"/>
          <w:szCs w:val="24"/>
        </w:rPr>
        <w:t xml:space="preserve">第一条 </w:t>
      </w:r>
      <w:r>
        <w:rPr>
          <w:rFonts w:hint="eastAsia" w:ascii="Times New Roman" w:hAnsi="Times New Roman" w:cs="Times New Roman"/>
          <w:sz w:val="24"/>
          <w:szCs w:val="24"/>
          <w:highlight w:val="none"/>
          <w:lang w:val="en-US" w:eastAsia="zh-CN"/>
        </w:rPr>
        <w:t>规划背景</w:t>
      </w:r>
      <w:r>
        <w:rPr>
          <w:sz w:val="24"/>
          <w:szCs w:val="24"/>
        </w:rPr>
        <w:tab/>
      </w:r>
      <w:r>
        <w:rPr>
          <w:sz w:val="24"/>
          <w:szCs w:val="24"/>
        </w:rPr>
        <w:fldChar w:fldCharType="begin"/>
      </w:r>
      <w:r>
        <w:rPr>
          <w:sz w:val="24"/>
          <w:szCs w:val="24"/>
        </w:rPr>
        <w:instrText xml:space="preserve"> PAGEREF _Toc30314 \h </w:instrText>
      </w:r>
      <w:r>
        <w:rPr>
          <w:sz w:val="24"/>
          <w:szCs w:val="24"/>
        </w:rPr>
        <w:fldChar w:fldCharType="separate"/>
      </w:r>
      <w:r>
        <w:rPr>
          <w:sz w:val="24"/>
          <w:szCs w:val="24"/>
        </w:rPr>
        <w:t>1</w:t>
      </w:r>
      <w:r>
        <w:rPr>
          <w:sz w:val="24"/>
          <w:szCs w:val="24"/>
        </w:rPr>
        <w:fldChar w:fldCharType="end"/>
      </w:r>
      <w:r>
        <w:rPr>
          <w:rFonts w:ascii="Times New Roman" w:hAnsi="Times New Roman"/>
          <w:sz w:val="24"/>
          <w:szCs w:val="24"/>
          <w:highlight w:val="none"/>
        </w:rPr>
        <w:fldChar w:fldCharType="end"/>
      </w:r>
    </w:p>
    <w:p w14:paraId="2A31F4EA">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_Toc5845 </w:instrText>
      </w:r>
      <w:r>
        <w:rPr>
          <w:rFonts w:ascii="Times New Roman" w:hAnsi="Times New Roman"/>
          <w:sz w:val="24"/>
          <w:szCs w:val="24"/>
          <w:highlight w:val="none"/>
        </w:rPr>
        <w:fldChar w:fldCharType="separate"/>
      </w:r>
      <w:r>
        <w:rPr>
          <w:rFonts w:hint="eastAsia" w:ascii="Times New Roman" w:hAnsi="Times New Roman" w:cs="Times New Roman"/>
          <w:sz w:val="24"/>
          <w:szCs w:val="24"/>
        </w:rPr>
        <w:t xml:space="preserve">第二条 </w:t>
      </w:r>
      <w:r>
        <w:rPr>
          <w:rFonts w:ascii="Times New Roman" w:hAnsi="Times New Roman" w:cs="Times New Roman"/>
          <w:sz w:val="24"/>
          <w:szCs w:val="24"/>
          <w:highlight w:val="none"/>
        </w:rPr>
        <w:t>规划</w:t>
      </w:r>
      <w:r>
        <w:rPr>
          <w:rFonts w:hint="eastAsia" w:ascii="Times New Roman" w:hAnsi="Times New Roman" w:cs="Times New Roman"/>
          <w:sz w:val="24"/>
          <w:szCs w:val="24"/>
          <w:highlight w:val="none"/>
          <w:lang w:val="en-US" w:eastAsia="zh-CN"/>
        </w:rPr>
        <w:t>范围与对象</w:t>
      </w:r>
      <w:r>
        <w:rPr>
          <w:sz w:val="24"/>
          <w:szCs w:val="24"/>
        </w:rPr>
        <w:tab/>
      </w:r>
      <w:r>
        <w:rPr>
          <w:sz w:val="24"/>
          <w:szCs w:val="24"/>
        </w:rPr>
        <w:fldChar w:fldCharType="begin"/>
      </w:r>
      <w:r>
        <w:rPr>
          <w:sz w:val="24"/>
          <w:szCs w:val="24"/>
        </w:rPr>
        <w:instrText xml:space="preserve"> PAGEREF _Toc5845 \h </w:instrText>
      </w:r>
      <w:r>
        <w:rPr>
          <w:sz w:val="24"/>
          <w:szCs w:val="24"/>
        </w:rPr>
        <w:fldChar w:fldCharType="separate"/>
      </w:r>
      <w:r>
        <w:rPr>
          <w:sz w:val="24"/>
          <w:szCs w:val="24"/>
        </w:rPr>
        <w:t>1</w:t>
      </w:r>
      <w:r>
        <w:rPr>
          <w:sz w:val="24"/>
          <w:szCs w:val="24"/>
        </w:rPr>
        <w:fldChar w:fldCharType="end"/>
      </w:r>
      <w:r>
        <w:rPr>
          <w:rFonts w:ascii="Times New Roman" w:hAnsi="Times New Roman"/>
          <w:sz w:val="24"/>
          <w:szCs w:val="24"/>
          <w:highlight w:val="none"/>
        </w:rPr>
        <w:fldChar w:fldCharType="end"/>
      </w:r>
    </w:p>
    <w:p w14:paraId="18E0D09D">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_Toc4611 </w:instrText>
      </w:r>
      <w:r>
        <w:rPr>
          <w:rFonts w:ascii="Times New Roman" w:hAnsi="Times New Roman"/>
          <w:sz w:val="24"/>
          <w:szCs w:val="24"/>
          <w:highlight w:val="none"/>
        </w:rPr>
        <w:fldChar w:fldCharType="separate"/>
      </w:r>
      <w:r>
        <w:rPr>
          <w:rFonts w:hint="eastAsia" w:ascii="Times New Roman" w:hAnsi="Times New Roman" w:cs="Times New Roman"/>
          <w:sz w:val="24"/>
          <w:szCs w:val="24"/>
        </w:rPr>
        <w:t xml:space="preserve">第三条 </w:t>
      </w:r>
      <w:r>
        <w:rPr>
          <w:rFonts w:hint="eastAsia" w:ascii="Times New Roman" w:hAnsi="Times New Roman" w:cs="Times New Roman"/>
          <w:sz w:val="24"/>
          <w:szCs w:val="24"/>
          <w:highlight w:val="none"/>
          <w:lang w:val="en-US" w:eastAsia="zh-CN"/>
        </w:rPr>
        <w:t>规划期限</w:t>
      </w:r>
      <w:r>
        <w:rPr>
          <w:sz w:val="24"/>
          <w:szCs w:val="24"/>
        </w:rPr>
        <w:tab/>
      </w:r>
      <w:r>
        <w:rPr>
          <w:sz w:val="24"/>
          <w:szCs w:val="24"/>
        </w:rPr>
        <w:fldChar w:fldCharType="begin"/>
      </w:r>
      <w:r>
        <w:rPr>
          <w:sz w:val="24"/>
          <w:szCs w:val="24"/>
        </w:rPr>
        <w:instrText xml:space="preserve"> PAGEREF _Toc4611 \h </w:instrText>
      </w:r>
      <w:r>
        <w:rPr>
          <w:sz w:val="24"/>
          <w:szCs w:val="24"/>
        </w:rPr>
        <w:fldChar w:fldCharType="separate"/>
      </w:r>
      <w:r>
        <w:rPr>
          <w:sz w:val="24"/>
          <w:szCs w:val="24"/>
        </w:rPr>
        <w:t>1</w:t>
      </w:r>
      <w:r>
        <w:rPr>
          <w:sz w:val="24"/>
          <w:szCs w:val="24"/>
        </w:rPr>
        <w:fldChar w:fldCharType="end"/>
      </w:r>
      <w:r>
        <w:rPr>
          <w:rFonts w:ascii="Times New Roman" w:hAnsi="Times New Roman"/>
          <w:sz w:val="24"/>
          <w:szCs w:val="24"/>
          <w:highlight w:val="none"/>
        </w:rPr>
        <w:fldChar w:fldCharType="end"/>
      </w:r>
    </w:p>
    <w:p w14:paraId="64F25135">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_Toc7838 </w:instrText>
      </w:r>
      <w:r>
        <w:rPr>
          <w:rFonts w:ascii="Times New Roman" w:hAnsi="Times New Roman"/>
          <w:sz w:val="24"/>
          <w:szCs w:val="24"/>
          <w:highlight w:val="none"/>
        </w:rPr>
        <w:fldChar w:fldCharType="separate"/>
      </w:r>
      <w:r>
        <w:rPr>
          <w:rFonts w:hint="eastAsia" w:ascii="Times New Roman" w:hAnsi="Times New Roman" w:cs="Times New Roman"/>
          <w:sz w:val="24"/>
          <w:szCs w:val="24"/>
        </w:rPr>
        <w:t xml:space="preserve">第四条 </w:t>
      </w:r>
      <w:r>
        <w:rPr>
          <w:rFonts w:hint="eastAsia" w:ascii="Times New Roman" w:hAnsi="Times New Roman" w:cs="Times New Roman"/>
          <w:sz w:val="24"/>
          <w:szCs w:val="24"/>
          <w:highlight w:val="none"/>
          <w:lang w:val="en-US" w:eastAsia="zh-CN"/>
        </w:rPr>
        <w:t>规划依据</w:t>
      </w:r>
      <w:r>
        <w:rPr>
          <w:sz w:val="24"/>
          <w:szCs w:val="24"/>
        </w:rPr>
        <w:tab/>
      </w:r>
      <w:r>
        <w:rPr>
          <w:sz w:val="24"/>
          <w:szCs w:val="24"/>
        </w:rPr>
        <w:fldChar w:fldCharType="begin"/>
      </w:r>
      <w:r>
        <w:rPr>
          <w:sz w:val="24"/>
          <w:szCs w:val="24"/>
        </w:rPr>
        <w:instrText xml:space="preserve"> PAGEREF _Toc7838 \h </w:instrText>
      </w:r>
      <w:r>
        <w:rPr>
          <w:sz w:val="24"/>
          <w:szCs w:val="24"/>
        </w:rPr>
        <w:fldChar w:fldCharType="separate"/>
      </w:r>
      <w:r>
        <w:rPr>
          <w:sz w:val="24"/>
          <w:szCs w:val="24"/>
        </w:rPr>
        <w:t>1</w:t>
      </w:r>
      <w:r>
        <w:rPr>
          <w:sz w:val="24"/>
          <w:szCs w:val="24"/>
        </w:rPr>
        <w:fldChar w:fldCharType="end"/>
      </w:r>
      <w:r>
        <w:rPr>
          <w:rFonts w:ascii="Times New Roman" w:hAnsi="Times New Roman"/>
          <w:sz w:val="24"/>
          <w:szCs w:val="24"/>
          <w:highlight w:val="none"/>
        </w:rPr>
        <w:fldChar w:fldCharType="end"/>
      </w:r>
    </w:p>
    <w:p w14:paraId="68C7737F">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_Toc1035 </w:instrText>
      </w:r>
      <w:r>
        <w:rPr>
          <w:rFonts w:ascii="Times New Roman" w:hAnsi="Times New Roman"/>
          <w:sz w:val="24"/>
          <w:szCs w:val="24"/>
          <w:highlight w:val="none"/>
        </w:rPr>
        <w:fldChar w:fldCharType="separate"/>
      </w:r>
      <w:r>
        <w:rPr>
          <w:rFonts w:hint="eastAsia" w:ascii="Times New Roman" w:hAnsi="Times New Roman" w:cs="Times New Roman"/>
          <w:sz w:val="24"/>
          <w:szCs w:val="24"/>
        </w:rPr>
        <w:t xml:space="preserve">第五条 </w:t>
      </w:r>
      <w:r>
        <w:rPr>
          <w:rFonts w:hint="eastAsia" w:ascii="Times New Roman" w:hAnsi="Times New Roman" w:cs="Times New Roman"/>
          <w:sz w:val="24"/>
          <w:szCs w:val="24"/>
          <w:highlight w:val="none"/>
          <w:lang w:val="en-US" w:eastAsia="zh-CN"/>
        </w:rPr>
        <w:t>规划目标</w:t>
      </w:r>
      <w:r>
        <w:rPr>
          <w:sz w:val="24"/>
          <w:szCs w:val="24"/>
        </w:rPr>
        <w:tab/>
      </w:r>
      <w:r>
        <w:rPr>
          <w:sz w:val="24"/>
          <w:szCs w:val="24"/>
        </w:rPr>
        <w:fldChar w:fldCharType="begin"/>
      </w:r>
      <w:r>
        <w:rPr>
          <w:sz w:val="24"/>
          <w:szCs w:val="24"/>
        </w:rPr>
        <w:instrText xml:space="preserve"> PAGEREF _Toc1035 \h </w:instrText>
      </w:r>
      <w:r>
        <w:rPr>
          <w:sz w:val="24"/>
          <w:szCs w:val="24"/>
        </w:rPr>
        <w:fldChar w:fldCharType="separate"/>
      </w:r>
      <w:r>
        <w:rPr>
          <w:sz w:val="24"/>
          <w:szCs w:val="24"/>
        </w:rPr>
        <w:t>2</w:t>
      </w:r>
      <w:r>
        <w:rPr>
          <w:sz w:val="24"/>
          <w:szCs w:val="24"/>
        </w:rPr>
        <w:fldChar w:fldCharType="end"/>
      </w:r>
      <w:r>
        <w:rPr>
          <w:rFonts w:ascii="Times New Roman" w:hAnsi="Times New Roman"/>
          <w:sz w:val="24"/>
          <w:szCs w:val="24"/>
          <w:highlight w:val="none"/>
        </w:rPr>
        <w:fldChar w:fldCharType="end"/>
      </w:r>
    </w:p>
    <w:p w14:paraId="1CD4B6BD">
      <w:pPr>
        <w:pStyle w:val="7"/>
        <w:tabs>
          <w:tab w:val="right" w:leader="dot" w:pos="10613"/>
        </w:tabs>
        <w:rPr>
          <w:b/>
          <w:bCs/>
          <w:sz w:val="24"/>
          <w:szCs w:val="24"/>
        </w:rPr>
      </w:pPr>
      <w:r>
        <w:rPr>
          <w:rFonts w:ascii="Times New Roman" w:hAnsi="Times New Roman"/>
          <w:b/>
          <w:bCs/>
          <w:sz w:val="24"/>
          <w:szCs w:val="24"/>
          <w:highlight w:val="none"/>
        </w:rPr>
        <w:fldChar w:fldCharType="begin"/>
      </w:r>
      <w:r>
        <w:rPr>
          <w:rFonts w:ascii="Times New Roman" w:hAnsi="Times New Roman"/>
          <w:b/>
          <w:bCs/>
          <w:sz w:val="24"/>
          <w:szCs w:val="24"/>
          <w:highlight w:val="none"/>
        </w:rPr>
        <w:instrText xml:space="preserve"> HYPERLINK \l _Toc24824 </w:instrText>
      </w:r>
      <w:r>
        <w:rPr>
          <w:rFonts w:ascii="Times New Roman" w:hAnsi="Times New Roman"/>
          <w:b/>
          <w:bCs/>
          <w:sz w:val="24"/>
          <w:szCs w:val="24"/>
          <w:highlight w:val="none"/>
        </w:rPr>
        <w:fldChar w:fldCharType="separate"/>
      </w:r>
      <w:r>
        <w:rPr>
          <w:rFonts w:ascii="Times New Roman" w:hAnsi="Times New Roman" w:cs="Times New Roman"/>
          <w:b/>
          <w:bCs/>
          <w:sz w:val="24"/>
          <w:szCs w:val="24"/>
          <w:highlight w:val="none"/>
        </w:rPr>
        <w:t>第</w:t>
      </w:r>
      <w:r>
        <w:rPr>
          <w:rFonts w:hint="eastAsia" w:ascii="Times New Roman" w:hAnsi="Times New Roman" w:cs="Times New Roman"/>
          <w:b/>
          <w:bCs/>
          <w:sz w:val="24"/>
          <w:szCs w:val="24"/>
          <w:highlight w:val="none"/>
          <w:lang w:val="en-US" w:eastAsia="zh-CN"/>
        </w:rPr>
        <w:t>二</w:t>
      </w:r>
      <w:r>
        <w:rPr>
          <w:rFonts w:ascii="Times New Roman" w:hAnsi="Times New Roman" w:cs="Times New Roman"/>
          <w:b/>
          <w:bCs/>
          <w:sz w:val="24"/>
          <w:szCs w:val="24"/>
          <w:highlight w:val="none"/>
        </w:rPr>
        <w:t xml:space="preserve">章 </w:t>
      </w:r>
      <w:r>
        <w:rPr>
          <w:rFonts w:hint="eastAsia" w:ascii="Times New Roman" w:hAnsi="Times New Roman" w:cs="Times New Roman"/>
          <w:b/>
          <w:bCs/>
          <w:sz w:val="24"/>
          <w:szCs w:val="24"/>
          <w:highlight w:val="none"/>
          <w:lang w:val="en-US" w:eastAsia="zh-CN"/>
        </w:rPr>
        <w:t>公益性公墓建设标准</w:t>
      </w:r>
      <w:r>
        <w:rPr>
          <w:b/>
          <w:bCs/>
          <w:sz w:val="24"/>
          <w:szCs w:val="24"/>
        </w:rPr>
        <w:tab/>
      </w:r>
      <w:r>
        <w:rPr>
          <w:b/>
          <w:bCs/>
          <w:sz w:val="24"/>
          <w:szCs w:val="24"/>
        </w:rPr>
        <w:fldChar w:fldCharType="begin"/>
      </w:r>
      <w:r>
        <w:rPr>
          <w:b/>
          <w:bCs/>
          <w:sz w:val="24"/>
          <w:szCs w:val="24"/>
        </w:rPr>
        <w:instrText xml:space="preserve"> PAGEREF _Toc24824 \h </w:instrText>
      </w:r>
      <w:r>
        <w:rPr>
          <w:b/>
          <w:bCs/>
          <w:sz w:val="24"/>
          <w:szCs w:val="24"/>
        </w:rPr>
        <w:fldChar w:fldCharType="separate"/>
      </w:r>
      <w:r>
        <w:rPr>
          <w:b/>
          <w:bCs/>
          <w:sz w:val="24"/>
          <w:szCs w:val="24"/>
        </w:rPr>
        <w:t>3</w:t>
      </w:r>
      <w:r>
        <w:rPr>
          <w:b/>
          <w:bCs/>
          <w:sz w:val="24"/>
          <w:szCs w:val="24"/>
        </w:rPr>
        <w:fldChar w:fldCharType="end"/>
      </w:r>
      <w:r>
        <w:rPr>
          <w:rFonts w:ascii="Times New Roman" w:hAnsi="Times New Roman"/>
          <w:b/>
          <w:bCs/>
          <w:sz w:val="24"/>
          <w:szCs w:val="24"/>
          <w:highlight w:val="none"/>
        </w:rPr>
        <w:fldChar w:fldCharType="end"/>
      </w:r>
    </w:p>
    <w:p w14:paraId="5EC4E95F">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_Toc21960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第六条 </w:t>
      </w:r>
      <w:r>
        <w:rPr>
          <w:rFonts w:hint="eastAsia" w:ascii="Times New Roman" w:hAnsi="Times New Roman" w:cs="Times New Roman"/>
          <w:sz w:val="24"/>
          <w:szCs w:val="24"/>
          <w:highlight w:val="none"/>
          <w:lang w:val="en-US" w:eastAsia="zh-CN"/>
        </w:rPr>
        <w:t>公益性公墓建设基本规范</w:t>
      </w:r>
      <w:r>
        <w:rPr>
          <w:sz w:val="24"/>
          <w:szCs w:val="24"/>
        </w:rPr>
        <w:tab/>
      </w:r>
      <w:r>
        <w:rPr>
          <w:sz w:val="24"/>
          <w:szCs w:val="24"/>
        </w:rPr>
        <w:fldChar w:fldCharType="begin"/>
      </w:r>
      <w:r>
        <w:rPr>
          <w:sz w:val="24"/>
          <w:szCs w:val="24"/>
        </w:rPr>
        <w:instrText xml:space="preserve"> PAGEREF _Toc21960 \h </w:instrText>
      </w:r>
      <w:r>
        <w:rPr>
          <w:sz w:val="24"/>
          <w:szCs w:val="24"/>
        </w:rPr>
        <w:fldChar w:fldCharType="separate"/>
      </w:r>
      <w:r>
        <w:rPr>
          <w:sz w:val="24"/>
          <w:szCs w:val="24"/>
        </w:rPr>
        <w:t>3</w:t>
      </w:r>
      <w:r>
        <w:rPr>
          <w:sz w:val="24"/>
          <w:szCs w:val="24"/>
        </w:rPr>
        <w:fldChar w:fldCharType="end"/>
      </w:r>
      <w:r>
        <w:rPr>
          <w:rFonts w:ascii="Times New Roman" w:hAnsi="Times New Roman"/>
          <w:sz w:val="24"/>
          <w:szCs w:val="24"/>
          <w:highlight w:val="none"/>
        </w:rPr>
        <w:fldChar w:fldCharType="end"/>
      </w:r>
    </w:p>
    <w:p w14:paraId="4D3289FB">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_Toc31491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第七条 </w:t>
      </w:r>
      <w:r>
        <w:rPr>
          <w:rFonts w:hint="eastAsia" w:ascii="Times New Roman" w:hAnsi="Times New Roman" w:cs="Times New Roman"/>
          <w:sz w:val="24"/>
          <w:szCs w:val="24"/>
          <w:highlight w:val="none"/>
          <w:lang w:val="en-US" w:eastAsia="zh-CN"/>
        </w:rPr>
        <w:t>墓区建设标准</w:t>
      </w:r>
      <w:r>
        <w:rPr>
          <w:sz w:val="24"/>
          <w:szCs w:val="24"/>
        </w:rPr>
        <w:tab/>
      </w:r>
      <w:r>
        <w:rPr>
          <w:sz w:val="24"/>
          <w:szCs w:val="24"/>
        </w:rPr>
        <w:fldChar w:fldCharType="begin"/>
      </w:r>
      <w:r>
        <w:rPr>
          <w:sz w:val="24"/>
          <w:szCs w:val="24"/>
        </w:rPr>
        <w:instrText xml:space="preserve"> PAGEREF _Toc31491 \h </w:instrText>
      </w:r>
      <w:r>
        <w:rPr>
          <w:sz w:val="24"/>
          <w:szCs w:val="24"/>
        </w:rPr>
        <w:fldChar w:fldCharType="separate"/>
      </w:r>
      <w:r>
        <w:rPr>
          <w:sz w:val="24"/>
          <w:szCs w:val="24"/>
        </w:rPr>
        <w:t>3</w:t>
      </w:r>
      <w:r>
        <w:rPr>
          <w:sz w:val="24"/>
          <w:szCs w:val="24"/>
        </w:rPr>
        <w:fldChar w:fldCharType="end"/>
      </w:r>
      <w:r>
        <w:rPr>
          <w:rFonts w:ascii="Times New Roman" w:hAnsi="Times New Roman"/>
          <w:sz w:val="24"/>
          <w:szCs w:val="24"/>
          <w:highlight w:val="none"/>
        </w:rPr>
        <w:fldChar w:fldCharType="end"/>
      </w:r>
    </w:p>
    <w:p w14:paraId="048D29C6">
      <w:pPr>
        <w:pStyle w:val="7"/>
        <w:tabs>
          <w:tab w:val="right" w:leader="dot" w:pos="10613"/>
        </w:tabs>
        <w:rPr>
          <w:b/>
          <w:bCs/>
          <w:sz w:val="24"/>
          <w:szCs w:val="24"/>
        </w:rPr>
      </w:pPr>
      <w:r>
        <w:rPr>
          <w:rFonts w:ascii="Times New Roman" w:hAnsi="Times New Roman"/>
          <w:b/>
          <w:bCs/>
          <w:sz w:val="24"/>
          <w:szCs w:val="24"/>
          <w:highlight w:val="none"/>
        </w:rPr>
        <w:fldChar w:fldCharType="begin"/>
      </w:r>
      <w:r>
        <w:rPr>
          <w:rFonts w:ascii="Times New Roman" w:hAnsi="Times New Roman"/>
          <w:b/>
          <w:bCs/>
          <w:sz w:val="24"/>
          <w:szCs w:val="24"/>
          <w:highlight w:val="none"/>
        </w:rPr>
        <w:instrText xml:space="preserve"> HYPERLINK \l _Toc19712 </w:instrText>
      </w:r>
      <w:r>
        <w:rPr>
          <w:rFonts w:ascii="Times New Roman" w:hAnsi="Times New Roman"/>
          <w:b/>
          <w:bCs/>
          <w:sz w:val="24"/>
          <w:szCs w:val="24"/>
          <w:highlight w:val="none"/>
        </w:rPr>
        <w:fldChar w:fldCharType="separate"/>
      </w:r>
      <w:r>
        <w:rPr>
          <w:rFonts w:ascii="Times New Roman" w:hAnsi="Times New Roman" w:cs="Times New Roman"/>
          <w:b/>
          <w:bCs/>
          <w:sz w:val="24"/>
          <w:szCs w:val="24"/>
          <w:highlight w:val="none"/>
        </w:rPr>
        <w:t>第</w:t>
      </w:r>
      <w:r>
        <w:rPr>
          <w:rFonts w:hint="eastAsia" w:ascii="Times New Roman" w:hAnsi="Times New Roman" w:cs="Times New Roman"/>
          <w:b/>
          <w:bCs/>
          <w:sz w:val="24"/>
          <w:szCs w:val="24"/>
          <w:highlight w:val="none"/>
          <w:lang w:val="en-US" w:eastAsia="zh-CN"/>
        </w:rPr>
        <w:t>三</w:t>
      </w:r>
      <w:r>
        <w:rPr>
          <w:rFonts w:ascii="Times New Roman" w:hAnsi="Times New Roman" w:cs="Times New Roman"/>
          <w:b/>
          <w:bCs/>
          <w:sz w:val="24"/>
          <w:szCs w:val="24"/>
          <w:highlight w:val="none"/>
        </w:rPr>
        <w:t xml:space="preserve">章 </w:t>
      </w:r>
      <w:r>
        <w:rPr>
          <w:rFonts w:hint="eastAsia" w:ascii="Times New Roman" w:hAnsi="Times New Roman" w:cs="Times New Roman"/>
          <w:b/>
          <w:bCs/>
          <w:sz w:val="24"/>
          <w:szCs w:val="24"/>
          <w:highlight w:val="none"/>
          <w:lang w:val="en-US" w:eastAsia="zh-CN"/>
        </w:rPr>
        <w:t>规划公墓需求预测</w:t>
      </w:r>
      <w:r>
        <w:rPr>
          <w:b/>
          <w:bCs/>
          <w:sz w:val="24"/>
          <w:szCs w:val="24"/>
        </w:rPr>
        <w:tab/>
      </w:r>
      <w:r>
        <w:rPr>
          <w:b/>
          <w:bCs/>
          <w:sz w:val="24"/>
          <w:szCs w:val="24"/>
        </w:rPr>
        <w:fldChar w:fldCharType="begin"/>
      </w:r>
      <w:r>
        <w:rPr>
          <w:b/>
          <w:bCs/>
          <w:sz w:val="24"/>
          <w:szCs w:val="24"/>
        </w:rPr>
        <w:instrText xml:space="preserve"> PAGEREF _Toc19712 \h </w:instrText>
      </w:r>
      <w:r>
        <w:rPr>
          <w:b/>
          <w:bCs/>
          <w:sz w:val="24"/>
          <w:szCs w:val="24"/>
        </w:rPr>
        <w:fldChar w:fldCharType="separate"/>
      </w:r>
      <w:r>
        <w:rPr>
          <w:b/>
          <w:bCs/>
          <w:sz w:val="24"/>
          <w:szCs w:val="24"/>
        </w:rPr>
        <w:t>4</w:t>
      </w:r>
      <w:r>
        <w:rPr>
          <w:b/>
          <w:bCs/>
          <w:sz w:val="24"/>
          <w:szCs w:val="24"/>
        </w:rPr>
        <w:fldChar w:fldCharType="end"/>
      </w:r>
      <w:r>
        <w:rPr>
          <w:rFonts w:ascii="Times New Roman" w:hAnsi="Times New Roman"/>
          <w:b/>
          <w:bCs/>
          <w:sz w:val="24"/>
          <w:szCs w:val="24"/>
          <w:highlight w:val="none"/>
        </w:rPr>
        <w:fldChar w:fldCharType="end"/>
      </w:r>
    </w:p>
    <w:p w14:paraId="1A4A3FF0">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_Toc27630 </w:instrText>
      </w:r>
      <w:r>
        <w:rPr>
          <w:rFonts w:ascii="Times New Roman" w:hAnsi="Times New Roman"/>
          <w:sz w:val="24"/>
          <w:szCs w:val="24"/>
          <w:highlight w:val="none"/>
        </w:rPr>
        <w:fldChar w:fldCharType="separate"/>
      </w:r>
      <w:r>
        <w:rPr>
          <w:rFonts w:hint="eastAsia" w:ascii="Times New Roman" w:hAnsi="Times New Roman" w:cs="Times New Roman"/>
          <w:sz w:val="24"/>
          <w:szCs w:val="24"/>
        </w:rPr>
        <w:t xml:space="preserve">第八条 </w:t>
      </w:r>
      <w:r>
        <w:rPr>
          <w:rFonts w:hint="eastAsia" w:ascii="Times New Roman" w:hAnsi="Times New Roman" w:cs="Times New Roman"/>
          <w:sz w:val="24"/>
          <w:szCs w:val="24"/>
          <w:highlight w:val="none"/>
          <w:lang w:val="en-US" w:eastAsia="zh-CN"/>
        </w:rPr>
        <w:t>预测规则</w:t>
      </w:r>
      <w:r>
        <w:rPr>
          <w:sz w:val="24"/>
          <w:szCs w:val="24"/>
        </w:rPr>
        <w:tab/>
      </w:r>
      <w:r>
        <w:rPr>
          <w:sz w:val="24"/>
          <w:szCs w:val="24"/>
        </w:rPr>
        <w:fldChar w:fldCharType="begin"/>
      </w:r>
      <w:r>
        <w:rPr>
          <w:sz w:val="24"/>
          <w:szCs w:val="24"/>
        </w:rPr>
        <w:instrText xml:space="preserve"> PAGEREF _Toc27630 \h </w:instrText>
      </w:r>
      <w:r>
        <w:rPr>
          <w:sz w:val="24"/>
          <w:szCs w:val="24"/>
        </w:rPr>
        <w:fldChar w:fldCharType="separate"/>
      </w:r>
      <w:r>
        <w:rPr>
          <w:sz w:val="24"/>
          <w:szCs w:val="24"/>
        </w:rPr>
        <w:t>4</w:t>
      </w:r>
      <w:r>
        <w:rPr>
          <w:sz w:val="24"/>
          <w:szCs w:val="24"/>
        </w:rPr>
        <w:fldChar w:fldCharType="end"/>
      </w:r>
      <w:r>
        <w:rPr>
          <w:rFonts w:ascii="Times New Roman" w:hAnsi="Times New Roman"/>
          <w:sz w:val="24"/>
          <w:szCs w:val="24"/>
          <w:highlight w:val="none"/>
        </w:rPr>
        <w:fldChar w:fldCharType="end"/>
      </w:r>
    </w:p>
    <w:p w14:paraId="6835FC3B">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_Toc672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第九条 </w:t>
      </w:r>
      <w:r>
        <w:rPr>
          <w:rFonts w:hint="eastAsia" w:ascii="Times New Roman" w:hAnsi="Times New Roman" w:cs="Times New Roman"/>
          <w:sz w:val="24"/>
          <w:szCs w:val="24"/>
          <w:highlight w:val="none"/>
          <w:lang w:val="en-US" w:eastAsia="zh-CN"/>
        </w:rPr>
        <w:t>死亡人口预测</w:t>
      </w:r>
      <w:r>
        <w:rPr>
          <w:sz w:val="24"/>
          <w:szCs w:val="24"/>
        </w:rPr>
        <w:tab/>
      </w:r>
      <w:r>
        <w:rPr>
          <w:sz w:val="24"/>
          <w:szCs w:val="24"/>
        </w:rPr>
        <w:fldChar w:fldCharType="begin"/>
      </w:r>
      <w:r>
        <w:rPr>
          <w:sz w:val="24"/>
          <w:szCs w:val="24"/>
        </w:rPr>
        <w:instrText xml:space="preserve"> PAGEREF _Toc672 \h </w:instrText>
      </w:r>
      <w:r>
        <w:rPr>
          <w:sz w:val="24"/>
          <w:szCs w:val="24"/>
        </w:rPr>
        <w:fldChar w:fldCharType="separate"/>
      </w:r>
      <w:r>
        <w:rPr>
          <w:sz w:val="24"/>
          <w:szCs w:val="24"/>
        </w:rPr>
        <w:t>4</w:t>
      </w:r>
      <w:r>
        <w:rPr>
          <w:sz w:val="24"/>
          <w:szCs w:val="24"/>
        </w:rPr>
        <w:fldChar w:fldCharType="end"/>
      </w:r>
      <w:r>
        <w:rPr>
          <w:rFonts w:ascii="Times New Roman" w:hAnsi="Times New Roman"/>
          <w:sz w:val="24"/>
          <w:szCs w:val="24"/>
          <w:highlight w:val="none"/>
        </w:rPr>
        <w:fldChar w:fldCharType="end"/>
      </w:r>
    </w:p>
    <w:p w14:paraId="5E3FDFD7">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_Toc3465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第十条 </w:t>
      </w:r>
      <w:r>
        <w:rPr>
          <w:rFonts w:hint="eastAsia" w:ascii="Times New Roman" w:hAnsi="Times New Roman" w:cs="Times New Roman"/>
          <w:sz w:val="24"/>
          <w:szCs w:val="24"/>
          <w:highlight w:val="none"/>
          <w:lang w:val="en-US" w:eastAsia="zh-CN"/>
        </w:rPr>
        <w:t>需求总量预测</w:t>
      </w:r>
      <w:r>
        <w:rPr>
          <w:sz w:val="24"/>
          <w:szCs w:val="24"/>
        </w:rPr>
        <w:tab/>
      </w:r>
      <w:r>
        <w:rPr>
          <w:sz w:val="24"/>
          <w:szCs w:val="24"/>
        </w:rPr>
        <w:fldChar w:fldCharType="begin"/>
      </w:r>
      <w:r>
        <w:rPr>
          <w:sz w:val="24"/>
          <w:szCs w:val="24"/>
        </w:rPr>
        <w:instrText xml:space="preserve"> PAGEREF _Toc3465 \h </w:instrText>
      </w:r>
      <w:r>
        <w:rPr>
          <w:sz w:val="24"/>
          <w:szCs w:val="24"/>
        </w:rPr>
        <w:fldChar w:fldCharType="separate"/>
      </w:r>
      <w:r>
        <w:rPr>
          <w:sz w:val="24"/>
          <w:szCs w:val="24"/>
        </w:rPr>
        <w:t>4</w:t>
      </w:r>
      <w:r>
        <w:rPr>
          <w:sz w:val="24"/>
          <w:szCs w:val="24"/>
        </w:rPr>
        <w:fldChar w:fldCharType="end"/>
      </w:r>
      <w:r>
        <w:rPr>
          <w:rFonts w:ascii="Times New Roman" w:hAnsi="Times New Roman"/>
          <w:sz w:val="24"/>
          <w:szCs w:val="24"/>
          <w:highlight w:val="none"/>
        </w:rPr>
        <w:fldChar w:fldCharType="end"/>
      </w:r>
    </w:p>
    <w:p w14:paraId="7BF1F180">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_Toc17286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第十一条 </w:t>
      </w:r>
      <w:r>
        <w:rPr>
          <w:rFonts w:hint="eastAsia" w:ascii="Times New Roman" w:hAnsi="Times New Roman" w:cs="Times New Roman"/>
          <w:sz w:val="24"/>
          <w:szCs w:val="24"/>
          <w:highlight w:val="none"/>
          <w:lang w:val="en-US" w:eastAsia="zh-CN"/>
        </w:rPr>
        <w:t>用地规模</w:t>
      </w:r>
      <w:r>
        <w:rPr>
          <w:sz w:val="24"/>
          <w:szCs w:val="24"/>
        </w:rPr>
        <w:tab/>
      </w:r>
      <w:r>
        <w:rPr>
          <w:sz w:val="24"/>
          <w:szCs w:val="24"/>
        </w:rPr>
        <w:fldChar w:fldCharType="begin"/>
      </w:r>
      <w:r>
        <w:rPr>
          <w:sz w:val="24"/>
          <w:szCs w:val="24"/>
        </w:rPr>
        <w:instrText xml:space="preserve"> PAGEREF _Toc17286 \h </w:instrText>
      </w:r>
      <w:r>
        <w:rPr>
          <w:sz w:val="24"/>
          <w:szCs w:val="24"/>
        </w:rPr>
        <w:fldChar w:fldCharType="separate"/>
      </w:r>
      <w:r>
        <w:rPr>
          <w:sz w:val="24"/>
          <w:szCs w:val="24"/>
        </w:rPr>
        <w:t>5</w:t>
      </w:r>
      <w:r>
        <w:rPr>
          <w:sz w:val="24"/>
          <w:szCs w:val="24"/>
        </w:rPr>
        <w:fldChar w:fldCharType="end"/>
      </w:r>
      <w:r>
        <w:rPr>
          <w:rFonts w:ascii="Times New Roman" w:hAnsi="Times New Roman"/>
          <w:sz w:val="24"/>
          <w:szCs w:val="24"/>
          <w:highlight w:val="none"/>
        </w:rPr>
        <w:fldChar w:fldCharType="end"/>
      </w:r>
    </w:p>
    <w:p w14:paraId="6BF4BEB9">
      <w:pPr>
        <w:pStyle w:val="7"/>
        <w:tabs>
          <w:tab w:val="right" w:leader="dot" w:pos="10613"/>
        </w:tabs>
        <w:rPr>
          <w:b/>
          <w:bCs/>
          <w:sz w:val="24"/>
          <w:szCs w:val="24"/>
        </w:rPr>
      </w:pPr>
      <w:r>
        <w:rPr>
          <w:rFonts w:ascii="Times New Roman" w:hAnsi="Times New Roman"/>
          <w:b/>
          <w:bCs/>
          <w:sz w:val="24"/>
          <w:szCs w:val="24"/>
          <w:highlight w:val="none"/>
        </w:rPr>
        <w:fldChar w:fldCharType="begin"/>
      </w:r>
      <w:r>
        <w:rPr>
          <w:rFonts w:ascii="Times New Roman" w:hAnsi="Times New Roman"/>
          <w:b/>
          <w:bCs/>
          <w:sz w:val="24"/>
          <w:szCs w:val="24"/>
          <w:highlight w:val="none"/>
        </w:rPr>
        <w:instrText xml:space="preserve"> HYPERLINK \l _Toc4692 </w:instrText>
      </w:r>
      <w:r>
        <w:rPr>
          <w:rFonts w:ascii="Times New Roman" w:hAnsi="Times New Roman"/>
          <w:b/>
          <w:bCs/>
          <w:sz w:val="24"/>
          <w:szCs w:val="24"/>
          <w:highlight w:val="none"/>
        </w:rPr>
        <w:fldChar w:fldCharType="separate"/>
      </w:r>
      <w:r>
        <w:rPr>
          <w:rFonts w:ascii="Times New Roman" w:hAnsi="Times New Roman" w:cs="Times New Roman"/>
          <w:b/>
          <w:bCs/>
          <w:sz w:val="24"/>
          <w:szCs w:val="24"/>
          <w:highlight w:val="none"/>
        </w:rPr>
        <w:t>第</w:t>
      </w:r>
      <w:r>
        <w:rPr>
          <w:rFonts w:hint="eastAsia" w:ascii="Times New Roman" w:hAnsi="Times New Roman" w:cs="Times New Roman"/>
          <w:b/>
          <w:bCs/>
          <w:sz w:val="24"/>
          <w:szCs w:val="24"/>
          <w:highlight w:val="none"/>
          <w:lang w:val="en-US" w:eastAsia="zh-CN"/>
        </w:rPr>
        <w:t>四</w:t>
      </w:r>
      <w:r>
        <w:rPr>
          <w:rFonts w:ascii="Times New Roman" w:hAnsi="Times New Roman" w:cs="Times New Roman"/>
          <w:b/>
          <w:bCs/>
          <w:sz w:val="24"/>
          <w:szCs w:val="24"/>
          <w:highlight w:val="none"/>
        </w:rPr>
        <w:t xml:space="preserve">章 </w:t>
      </w:r>
      <w:r>
        <w:rPr>
          <w:rFonts w:hint="eastAsia" w:ascii="Times New Roman" w:hAnsi="Times New Roman" w:cs="Times New Roman"/>
          <w:b/>
          <w:bCs/>
          <w:sz w:val="24"/>
          <w:szCs w:val="24"/>
          <w:highlight w:val="none"/>
          <w:lang w:val="en-US" w:eastAsia="zh-CN"/>
        </w:rPr>
        <w:t>规划布局</w:t>
      </w:r>
      <w:r>
        <w:rPr>
          <w:b/>
          <w:bCs/>
          <w:sz w:val="24"/>
          <w:szCs w:val="24"/>
        </w:rPr>
        <w:tab/>
      </w:r>
      <w:r>
        <w:rPr>
          <w:b/>
          <w:bCs/>
          <w:sz w:val="24"/>
          <w:szCs w:val="24"/>
        </w:rPr>
        <w:fldChar w:fldCharType="begin"/>
      </w:r>
      <w:r>
        <w:rPr>
          <w:b/>
          <w:bCs/>
          <w:sz w:val="24"/>
          <w:szCs w:val="24"/>
        </w:rPr>
        <w:instrText xml:space="preserve"> PAGEREF _Toc4692 \h </w:instrText>
      </w:r>
      <w:r>
        <w:rPr>
          <w:b/>
          <w:bCs/>
          <w:sz w:val="24"/>
          <w:szCs w:val="24"/>
        </w:rPr>
        <w:fldChar w:fldCharType="separate"/>
      </w:r>
      <w:r>
        <w:rPr>
          <w:b/>
          <w:bCs/>
          <w:sz w:val="24"/>
          <w:szCs w:val="24"/>
        </w:rPr>
        <w:t>6</w:t>
      </w:r>
      <w:r>
        <w:rPr>
          <w:b/>
          <w:bCs/>
          <w:sz w:val="24"/>
          <w:szCs w:val="24"/>
        </w:rPr>
        <w:fldChar w:fldCharType="end"/>
      </w:r>
      <w:r>
        <w:rPr>
          <w:rFonts w:ascii="Times New Roman" w:hAnsi="Times New Roman"/>
          <w:b/>
          <w:bCs/>
          <w:sz w:val="24"/>
          <w:szCs w:val="24"/>
          <w:highlight w:val="none"/>
        </w:rPr>
        <w:fldChar w:fldCharType="end"/>
      </w:r>
    </w:p>
    <w:p w14:paraId="372270AA">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_Toc13511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第十二条 </w:t>
      </w:r>
      <w:r>
        <w:rPr>
          <w:rFonts w:hint="eastAsia" w:ascii="Times New Roman" w:hAnsi="Times New Roman" w:cs="Times New Roman"/>
          <w:sz w:val="24"/>
          <w:szCs w:val="24"/>
          <w:highlight w:val="none"/>
          <w:lang w:val="en-US" w:eastAsia="zh-CN"/>
        </w:rPr>
        <w:t>规划原则</w:t>
      </w:r>
      <w:r>
        <w:rPr>
          <w:sz w:val="24"/>
          <w:szCs w:val="24"/>
        </w:rPr>
        <w:tab/>
      </w:r>
      <w:r>
        <w:rPr>
          <w:sz w:val="24"/>
          <w:szCs w:val="24"/>
        </w:rPr>
        <w:fldChar w:fldCharType="begin"/>
      </w:r>
      <w:r>
        <w:rPr>
          <w:sz w:val="24"/>
          <w:szCs w:val="24"/>
        </w:rPr>
        <w:instrText xml:space="preserve"> PAGEREF _Toc13511 \h </w:instrText>
      </w:r>
      <w:r>
        <w:rPr>
          <w:sz w:val="24"/>
          <w:szCs w:val="24"/>
        </w:rPr>
        <w:fldChar w:fldCharType="separate"/>
      </w:r>
      <w:r>
        <w:rPr>
          <w:sz w:val="24"/>
          <w:szCs w:val="24"/>
        </w:rPr>
        <w:t>6</w:t>
      </w:r>
      <w:r>
        <w:rPr>
          <w:sz w:val="24"/>
          <w:szCs w:val="24"/>
        </w:rPr>
        <w:fldChar w:fldCharType="end"/>
      </w:r>
      <w:r>
        <w:rPr>
          <w:rFonts w:ascii="Times New Roman" w:hAnsi="Times New Roman"/>
          <w:sz w:val="24"/>
          <w:szCs w:val="24"/>
          <w:highlight w:val="none"/>
        </w:rPr>
        <w:fldChar w:fldCharType="end"/>
      </w:r>
    </w:p>
    <w:p w14:paraId="5BA24522">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_Toc15690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第十三条 </w:t>
      </w:r>
      <w:r>
        <w:rPr>
          <w:rFonts w:hint="eastAsia" w:ascii="Times New Roman" w:hAnsi="Times New Roman" w:cs="Times New Roman"/>
          <w:sz w:val="24"/>
          <w:szCs w:val="24"/>
          <w:highlight w:val="none"/>
          <w:lang w:val="en-US" w:eastAsia="zh-CN"/>
        </w:rPr>
        <w:t>布局思路</w:t>
      </w:r>
      <w:r>
        <w:rPr>
          <w:sz w:val="24"/>
          <w:szCs w:val="24"/>
        </w:rPr>
        <w:tab/>
      </w:r>
      <w:r>
        <w:rPr>
          <w:sz w:val="24"/>
          <w:szCs w:val="24"/>
        </w:rPr>
        <w:fldChar w:fldCharType="begin"/>
      </w:r>
      <w:r>
        <w:rPr>
          <w:sz w:val="24"/>
          <w:szCs w:val="24"/>
        </w:rPr>
        <w:instrText xml:space="preserve"> PAGEREF _Toc15690 \h </w:instrText>
      </w:r>
      <w:r>
        <w:rPr>
          <w:sz w:val="24"/>
          <w:szCs w:val="24"/>
        </w:rPr>
        <w:fldChar w:fldCharType="separate"/>
      </w:r>
      <w:r>
        <w:rPr>
          <w:sz w:val="24"/>
          <w:szCs w:val="24"/>
        </w:rPr>
        <w:t>6</w:t>
      </w:r>
      <w:r>
        <w:rPr>
          <w:sz w:val="24"/>
          <w:szCs w:val="24"/>
        </w:rPr>
        <w:fldChar w:fldCharType="end"/>
      </w:r>
      <w:r>
        <w:rPr>
          <w:rFonts w:ascii="Times New Roman" w:hAnsi="Times New Roman"/>
          <w:sz w:val="24"/>
          <w:szCs w:val="24"/>
          <w:highlight w:val="none"/>
        </w:rPr>
        <w:fldChar w:fldCharType="end"/>
      </w:r>
    </w:p>
    <w:p w14:paraId="05E1A7BD">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_Toc16095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第十四条 </w:t>
      </w:r>
      <w:r>
        <w:rPr>
          <w:rFonts w:hint="eastAsia" w:ascii="Times New Roman" w:hAnsi="Times New Roman" w:cs="Times New Roman"/>
          <w:sz w:val="24"/>
          <w:szCs w:val="24"/>
          <w:highlight w:val="none"/>
          <w:lang w:val="en-US" w:eastAsia="zh-CN"/>
        </w:rPr>
        <w:t>布局原则</w:t>
      </w:r>
      <w:r>
        <w:rPr>
          <w:sz w:val="24"/>
          <w:szCs w:val="24"/>
        </w:rPr>
        <w:tab/>
      </w:r>
      <w:r>
        <w:rPr>
          <w:sz w:val="24"/>
          <w:szCs w:val="24"/>
        </w:rPr>
        <w:fldChar w:fldCharType="begin"/>
      </w:r>
      <w:r>
        <w:rPr>
          <w:sz w:val="24"/>
          <w:szCs w:val="24"/>
        </w:rPr>
        <w:instrText xml:space="preserve"> PAGEREF _Toc16095 \h </w:instrText>
      </w:r>
      <w:r>
        <w:rPr>
          <w:sz w:val="24"/>
          <w:szCs w:val="24"/>
        </w:rPr>
        <w:fldChar w:fldCharType="separate"/>
      </w:r>
      <w:r>
        <w:rPr>
          <w:sz w:val="24"/>
          <w:szCs w:val="24"/>
        </w:rPr>
        <w:t>6</w:t>
      </w:r>
      <w:r>
        <w:rPr>
          <w:sz w:val="24"/>
          <w:szCs w:val="24"/>
        </w:rPr>
        <w:fldChar w:fldCharType="end"/>
      </w:r>
      <w:r>
        <w:rPr>
          <w:rFonts w:ascii="Times New Roman" w:hAnsi="Times New Roman"/>
          <w:sz w:val="24"/>
          <w:szCs w:val="24"/>
          <w:highlight w:val="none"/>
        </w:rPr>
        <w:fldChar w:fldCharType="end"/>
      </w:r>
    </w:p>
    <w:p w14:paraId="2BD80756">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_Toc26802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第十五条 </w:t>
      </w:r>
      <w:r>
        <w:rPr>
          <w:rFonts w:hint="eastAsia" w:ascii="Times New Roman" w:hAnsi="Times New Roman" w:cs="Times New Roman"/>
          <w:sz w:val="24"/>
          <w:szCs w:val="24"/>
          <w:highlight w:val="none"/>
          <w:lang w:val="en-US" w:eastAsia="zh-CN"/>
        </w:rPr>
        <w:t>总体规划布局</w:t>
      </w:r>
      <w:r>
        <w:rPr>
          <w:sz w:val="24"/>
          <w:szCs w:val="24"/>
        </w:rPr>
        <w:tab/>
      </w:r>
      <w:r>
        <w:rPr>
          <w:sz w:val="24"/>
          <w:szCs w:val="24"/>
        </w:rPr>
        <w:fldChar w:fldCharType="begin"/>
      </w:r>
      <w:r>
        <w:rPr>
          <w:sz w:val="24"/>
          <w:szCs w:val="24"/>
        </w:rPr>
        <w:instrText xml:space="preserve"> PAGEREF _Toc26802 \h </w:instrText>
      </w:r>
      <w:r>
        <w:rPr>
          <w:sz w:val="24"/>
          <w:szCs w:val="24"/>
        </w:rPr>
        <w:fldChar w:fldCharType="separate"/>
      </w:r>
      <w:r>
        <w:rPr>
          <w:sz w:val="24"/>
          <w:szCs w:val="24"/>
        </w:rPr>
        <w:t>6</w:t>
      </w:r>
      <w:r>
        <w:rPr>
          <w:sz w:val="24"/>
          <w:szCs w:val="24"/>
        </w:rPr>
        <w:fldChar w:fldCharType="end"/>
      </w:r>
      <w:r>
        <w:rPr>
          <w:rFonts w:ascii="Times New Roman" w:hAnsi="Times New Roman"/>
          <w:sz w:val="24"/>
          <w:szCs w:val="24"/>
          <w:highlight w:val="none"/>
        </w:rPr>
        <w:fldChar w:fldCharType="end"/>
      </w:r>
    </w:p>
    <w:p w14:paraId="5DF29BD4">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_Toc8114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第十六条 </w:t>
      </w:r>
      <w:r>
        <w:rPr>
          <w:rFonts w:hint="eastAsia" w:ascii="Times New Roman" w:hAnsi="Times New Roman" w:cs="Times New Roman"/>
          <w:sz w:val="24"/>
          <w:szCs w:val="24"/>
          <w:highlight w:val="none"/>
          <w:lang w:val="en-US" w:eastAsia="zh-CN"/>
        </w:rPr>
        <w:t>近期建设规划</w:t>
      </w:r>
      <w:r>
        <w:rPr>
          <w:sz w:val="24"/>
          <w:szCs w:val="24"/>
        </w:rPr>
        <w:tab/>
      </w:r>
      <w:r>
        <w:rPr>
          <w:sz w:val="24"/>
          <w:szCs w:val="24"/>
        </w:rPr>
        <w:fldChar w:fldCharType="begin"/>
      </w:r>
      <w:r>
        <w:rPr>
          <w:sz w:val="24"/>
          <w:szCs w:val="24"/>
        </w:rPr>
        <w:instrText xml:space="preserve"> PAGEREF _Toc8114 \h </w:instrText>
      </w:r>
      <w:r>
        <w:rPr>
          <w:sz w:val="24"/>
          <w:szCs w:val="24"/>
        </w:rPr>
        <w:fldChar w:fldCharType="separate"/>
      </w:r>
      <w:r>
        <w:rPr>
          <w:sz w:val="24"/>
          <w:szCs w:val="24"/>
        </w:rPr>
        <w:t>16</w:t>
      </w:r>
      <w:r>
        <w:rPr>
          <w:sz w:val="24"/>
          <w:szCs w:val="24"/>
        </w:rPr>
        <w:fldChar w:fldCharType="end"/>
      </w:r>
      <w:r>
        <w:rPr>
          <w:rFonts w:ascii="Times New Roman" w:hAnsi="Times New Roman"/>
          <w:sz w:val="24"/>
          <w:szCs w:val="24"/>
          <w:highlight w:val="none"/>
        </w:rPr>
        <w:fldChar w:fldCharType="end"/>
      </w:r>
    </w:p>
    <w:p w14:paraId="0238F2F0">
      <w:pPr>
        <w:pStyle w:val="7"/>
        <w:tabs>
          <w:tab w:val="right" w:leader="dot" w:pos="10613"/>
        </w:tabs>
        <w:rPr>
          <w:b/>
          <w:bCs/>
          <w:sz w:val="24"/>
          <w:szCs w:val="24"/>
        </w:rPr>
      </w:pPr>
      <w:r>
        <w:rPr>
          <w:rFonts w:ascii="Times New Roman" w:hAnsi="Times New Roman"/>
          <w:b/>
          <w:bCs/>
          <w:sz w:val="24"/>
          <w:szCs w:val="24"/>
          <w:highlight w:val="none"/>
        </w:rPr>
        <w:fldChar w:fldCharType="begin"/>
      </w:r>
      <w:r>
        <w:rPr>
          <w:rFonts w:ascii="Times New Roman" w:hAnsi="Times New Roman"/>
          <w:b/>
          <w:bCs/>
          <w:sz w:val="24"/>
          <w:szCs w:val="24"/>
          <w:highlight w:val="none"/>
        </w:rPr>
        <w:instrText xml:space="preserve"> HYPERLINK \l _Toc23736 </w:instrText>
      </w:r>
      <w:r>
        <w:rPr>
          <w:rFonts w:ascii="Times New Roman" w:hAnsi="Times New Roman"/>
          <w:b/>
          <w:bCs/>
          <w:sz w:val="24"/>
          <w:szCs w:val="24"/>
          <w:highlight w:val="none"/>
        </w:rPr>
        <w:fldChar w:fldCharType="separate"/>
      </w:r>
      <w:r>
        <w:rPr>
          <w:rFonts w:ascii="Times New Roman" w:hAnsi="Times New Roman" w:cs="Times New Roman"/>
          <w:b/>
          <w:bCs/>
          <w:sz w:val="24"/>
          <w:szCs w:val="24"/>
          <w:highlight w:val="none"/>
        </w:rPr>
        <w:t>第</w:t>
      </w:r>
      <w:r>
        <w:rPr>
          <w:rFonts w:hint="eastAsia" w:ascii="Times New Roman" w:hAnsi="Times New Roman" w:cs="Times New Roman"/>
          <w:b/>
          <w:bCs/>
          <w:sz w:val="24"/>
          <w:szCs w:val="24"/>
          <w:highlight w:val="none"/>
          <w:lang w:val="en-US" w:eastAsia="zh-CN"/>
        </w:rPr>
        <w:t>五</w:t>
      </w:r>
      <w:r>
        <w:rPr>
          <w:rFonts w:ascii="Times New Roman" w:hAnsi="Times New Roman" w:cs="Times New Roman"/>
          <w:b/>
          <w:bCs/>
          <w:sz w:val="24"/>
          <w:szCs w:val="24"/>
          <w:highlight w:val="none"/>
        </w:rPr>
        <w:t xml:space="preserve">章 </w:t>
      </w:r>
      <w:r>
        <w:rPr>
          <w:rFonts w:hint="eastAsia" w:ascii="Times New Roman" w:hAnsi="Times New Roman" w:cs="Times New Roman"/>
          <w:b/>
          <w:bCs/>
          <w:sz w:val="24"/>
          <w:szCs w:val="24"/>
          <w:highlight w:val="none"/>
          <w:lang w:val="en-US" w:eastAsia="zh-CN"/>
        </w:rPr>
        <w:t>实施计划与保障措施</w:t>
      </w:r>
      <w:r>
        <w:rPr>
          <w:b/>
          <w:bCs/>
          <w:sz w:val="24"/>
          <w:szCs w:val="24"/>
        </w:rPr>
        <w:tab/>
      </w:r>
      <w:r>
        <w:rPr>
          <w:b/>
          <w:bCs/>
          <w:sz w:val="24"/>
          <w:szCs w:val="24"/>
        </w:rPr>
        <w:fldChar w:fldCharType="begin"/>
      </w:r>
      <w:r>
        <w:rPr>
          <w:b/>
          <w:bCs/>
          <w:sz w:val="24"/>
          <w:szCs w:val="24"/>
        </w:rPr>
        <w:instrText xml:space="preserve"> PAGEREF _Toc23736 \h </w:instrText>
      </w:r>
      <w:r>
        <w:rPr>
          <w:b/>
          <w:bCs/>
          <w:sz w:val="24"/>
          <w:szCs w:val="24"/>
        </w:rPr>
        <w:fldChar w:fldCharType="separate"/>
      </w:r>
      <w:r>
        <w:rPr>
          <w:b/>
          <w:bCs/>
          <w:sz w:val="24"/>
          <w:szCs w:val="24"/>
        </w:rPr>
        <w:t>17</w:t>
      </w:r>
      <w:r>
        <w:rPr>
          <w:b/>
          <w:bCs/>
          <w:sz w:val="24"/>
          <w:szCs w:val="24"/>
        </w:rPr>
        <w:fldChar w:fldCharType="end"/>
      </w:r>
      <w:r>
        <w:rPr>
          <w:rFonts w:ascii="Times New Roman" w:hAnsi="Times New Roman"/>
          <w:b/>
          <w:bCs/>
          <w:sz w:val="24"/>
          <w:szCs w:val="24"/>
          <w:highlight w:val="none"/>
        </w:rPr>
        <w:fldChar w:fldCharType="end"/>
      </w:r>
    </w:p>
    <w:p w14:paraId="0B6DF763">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_Toc16711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第十七条 </w:t>
      </w:r>
      <w:r>
        <w:rPr>
          <w:rFonts w:hint="default" w:ascii="Times New Roman" w:hAnsi="Times New Roman" w:cs="Times New Roman"/>
          <w:sz w:val="24"/>
          <w:szCs w:val="24"/>
          <w:highlight w:val="none"/>
          <w:lang w:val="en-US" w:eastAsia="zh-CN"/>
        </w:rPr>
        <w:t>规划实施措施​</w:t>
      </w:r>
      <w:r>
        <w:rPr>
          <w:sz w:val="24"/>
          <w:szCs w:val="24"/>
        </w:rPr>
        <w:tab/>
      </w:r>
      <w:r>
        <w:rPr>
          <w:sz w:val="24"/>
          <w:szCs w:val="24"/>
        </w:rPr>
        <w:fldChar w:fldCharType="begin"/>
      </w:r>
      <w:r>
        <w:rPr>
          <w:sz w:val="24"/>
          <w:szCs w:val="24"/>
        </w:rPr>
        <w:instrText xml:space="preserve"> PAGEREF _Toc16711 \h </w:instrText>
      </w:r>
      <w:r>
        <w:rPr>
          <w:sz w:val="24"/>
          <w:szCs w:val="24"/>
        </w:rPr>
        <w:fldChar w:fldCharType="separate"/>
      </w:r>
      <w:r>
        <w:rPr>
          <w:sz w:val="24"/>
          <w:szCs w:val="24"/>
        </w:rPr>
        <w:t>17</w:t>
      </w:r>
      <w:r>
        <w:rPr>
          <w:sz w:val="24"/>
          <w:szCs w:val="24"/>
        </w:rPr>
        <w:fldChar w:fldCharType="end"/>
      </w:r>
      <w:r>
        <w:rPr>
          <w:rFonts w:ascii="Times New Roman" w:hAnsi="Times New Roman"/>
          <w:sz w:val="24"/>
          <w:szCs w:val="24"/>
          <w:highlight w:val="none"/>
        </w:rPr>
        <w:fldChar w:fldCharType="end"/>
      </w:r>
    </w:p>
    <w:p w14:paraId="75E707F2">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_Toc15267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第十八条 </w:t>
      </w:r>
      <w:r>
        <w:rPr>
          <w:rFonts w:hint="default" w:ascii="Times New Roman" w:hAnsi="Times New Roman" w:cs="Times New Roman"/>
          <w:sz w:val="24"/>
          <w:szCs w:val="24"/>
          <w:highlight w:val="none"/>
          <w:lang w:val="en-US" w:eastAsia="zh-CN"/>
        </w:rPr>
        <w:t>保障措施​</w:t>
      </w:r>
      <w:r>
        <w:rPr>
          <w:sz w:val="24"/>
          <w:szCs w:val="24"/>
        </w:rPr>
        <w:tab/>
      </w:r>
      <w:r>
        <w:rPr>
          <w:sz w:val="24"/>
          <w:szCs w:val="24"/>
        </w:rPr>
        <w:fldChar w:fldCharType="begin"/>
      </w:r>
      <w:r>
        <w:rPr>
          <w:sz w:val="24"/>
          <w:szCs w:val="24"/>
        </w:rPr>
        <w:instrText xml:space="preserve"> PAGEREF _Toc15267 \h </w:instrText>
      </w:r>
      <w:r>
        <w:rPr>
          <w:sz w:val="24"/>
          <w:szCs w:val="24"/>
        </w:rPr>
        <w:fldChar w:fldCharType="separate"/>
      </w:r>
      <w:r>
        <w:rPr>
          <w:sz w:val="24"/>
          <w:szCs w:val="24"/>
        </w:rPr>
        <w:t>18</w:t>
      </w:r>
      <w:r>
        <w:rPr>
          <w:sz w:val="24"/>
          <w:szCs w:val="24"/>
        </w:rPr>
        <w:fldChar w:fldCharType="end"/>
      </w:r>
      <w:r>
        <w:rPr>
          <w:rFonts w:ascii="Times New Roman" w:hAnsi="Times New Roman"/>
          <w:sz w:val="24"/>
          <w:szCs w:val="24"/>
          <w:highlight w:val="none"/>
        </w:rPr>
        <w:fldChar w:fldCharType="end"/>
      </w:r>
    </w:p>
    <w:p w14:paraId="739F4E43">
      <w:pPr>
        <w:pStyle w:val="7"/>
        <w:tabs>
          <w:tab w:val="right" w:leader="dot" w:pos="10613"/>
        </w:tabs>
        <w:rPr>
          <w:b/>
          <w:bCs/>
          <w:sz w:val="24"/>
          <w:szCs w:val="24"/>
        </w:rPr>
      </w:pPr>
      <w:r>
        <w:rPr>
          <w:rFonts w:ascii="Times New Roman" w:hAnsi="Times New Roman"/>
          <w:b/>
          <w:bCs/>
          <w:sz w:val="24"/>
          <w:szCs w:val="24"/>
          <w:highlight w:val="none"/>
        </w:rPr>
        <w:fldChar w:fldCharType="begin"/>
      </w:r>
      <w:r>
        <w:rPr>
          <w:rFonts w:ascii="Times New Roman" w:hAnsi="Times New Roman"/>
          <w:b/>
          <w:bCs/>
          <w:sz w:val="24"/>
          <w:szCs w:val="24"/>
          <w:highlight w:val="none"/>
        </w:rPr>
        <w:instrText xml:space="preserve"> HYPERLINK \l _Toc9122 </w:instrText>
      </w:r>
      <w:r>
        <w:rPr>
          <w:rFonts w:ascii="Times New Roman" w:hAnsi="Times New Roman"/>
          <w:b/>
          <w:bCs/>
          <w:sz w:val="24"/>
          <w:szCs w:val="24"/>
          <w:highlight w:val="none"/>
        </w:rPr>
        <w:fldChar w:fldCharType="separate"/>
      </w:r>
      <w:r>
        <w:rPr>
          <w:rFonts w:ascii="Times New Roman" w:hAnsi="Times New Roman" w:cs="Times New Roman"/>
          <w:b/>
          <w:bCs/>
          <w:sz w:val="24"/>
          <w:szCs w:val="24"/>
          <w:highlight w:val="none"/>
        </w:rPr>
        <w:t>第</w:t>
      </w:r>
      <w:r>
        <w:rPr>
          <w:rFonts w:hint="eastAsia" w:ascii="Times New Roman" w:hAnsi="Times New Roman" w:cs="Times New Roman"/>
          <w:b/>
          <w:bCs/>
          <w:sz w:val="24"/>
          <w:szCs w:val="24"/>
          <w:highlight w:val="none"/>
          <w:lang w:val="en-US" w:eastAsia="zh-CN"/>
        </w:rPr>
        <w:t>六</w:t>
      </w:r>
      <w:r>
        <w:rPr>
          <w:rFonts w:ascii="Times New Roman" w:hAnsi="Times New Roman" w:cs="Times New Roman"/>
          <w:b/>
          <w:bCs/>
          <w:sz w:val="24"/>
          <w:szCs w:val="24"/>
          <w:highlight w:val="none"/>
        </w:rPr>
        <w:t xml:space="preserve">章 </w:t>
      </w:r>
      <w:r>
        <w:rPr>
          <w:rFonts w:hint="eastAsia" w:ascii="Times New Roman" w:hAnsi="Times New Roman" w:cs="Times New Roman"/>
          <w:b/>
          <w:bCs/>
          <w:sz w:val="24"/>
          <w:szCs w:val="24"/>
          <w:highlight w:val="none"/>
          <w:lang w:val="en-US" w:eastAsia="zh-CN"/>
        </w:rPr>
        <w:t>附则</w:t>
      </w:r>
      <w:r>
        <w:rPr>
          <w:b/>
          <w:bCs/>
          <w:sz w:val="24"/>
          <w:szCs w:val="24"/>
        </w:rPr>
        <w:tab/>
      </w:r>
      <w:r>
        <w:rPr>
          <w:b/>
          <w:bCs/>
          <w:sz w:val="24"/>
          <w:szCs w:val="24"/>
        </w:rPr>
        <w:fldChar w:fldCharType="begin"/>
      </w:r>
      <w:r>
        <w:rPr>
          <w:b/>
          <w:bCs/>
          <w:sz w:val="24"/>
          <w:szCs w:val="24"/>
        </w:rPr>
        <w:instrText xml:space="preserve"> PAGEREF _Toc9122 \h </w:instrText>
      </w:r>
      <w:r>
        <w:rPr>
          <w:b/>
          <w:bCs/>
          <w:sz w:val="24"/>
          <w:szCs w:val="24"/>
        </w:rPr>
        <w:fldChar w:fldCharType="separate"/>
      </w:r>
      <w:r>
        <w:rPr>
          <w:b/>
          <w:bCs/>
          <w:sz w:val="24"/>
          <w:szCs w:val="24"/>
        </w:rPr>
        <w:t>19</w:t>
      </w:r>
      <w:r>
        <w:rPr>
          <w:b/>
          <w:bCs/>
          <w:sz w:val="24"/>
          <w:szCs w:val="24"/>
        </w:rPr>
        <w:fldChar w:fldCharType="end"/>
      </w:r>
      <w:r>
        <w:rPr>
          <w:rFonts w:ascii="Times New Roman" w:hAnsi="Times New Roman"/>
          <w:b/>
          <w:bCs/>
          <w:sz w:val="24"/>
          <w:szCs w:val="24"/>
          <w:highlight w:val="none"/>
        </w:rPr>
        <w:fldChar w:fldCharType="end"/>
      </w:r>
    </w:p>
    <w:p w14:paraId="7C62F2DA">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_Toc14559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第十九条 </w:t>
      </w:r>
      <w:r>
        <w:rPr>
          <w:sz w:val="24"/>
          <w:szCs w:val="24"/>
        </w:rPr>
        <w:tab/>
      </w:r>
      <w:r>
        <w:rPr>
          <w:sz w:val="24"/>
          <w:szCs w:val="24"/>
        </w:rPr>
        <w:fldChar w:fldCharType="begin"/>
      </w:r>
      <w:r>
        <w:rPr>
          <w:sz w:val="24"/>
          <w:szCs w:val="24"/>
        </w:rPr>
        <w:instrText xml:space="preserve"> PAGEREF _Toc14559 \h </w:instrText>
      </w:r>
      <w:r>
        <w:rPr>
          <w:sz w:val="24"/>
          <w:szCs w:val="24"/>
        </w:rPr>
        <w:fldChar w:fldCharType="separate"/>
      </w:r>
      <w:r>
        <w:rPr>
          <w:sz w:val="24"/>
          <w:szCs w:val="24"/>
        </w:rPr>
        <w:t>19</w:t>
      </w:r>
      <w:r>
        <w:rPr>
          <w:sz w:val="24"/>
          <w:szCs w:val="24"/>
        </w:rPr>
        <w:fldChar w:fldCharType="end"/>
      </w:r>
      <w:r>
        <w:rPr>
          <w:rFonts w:ascii="Times New Roman" w:hAnsi="Times New Roman"/>
          <w:sz w:val="24"/>
          <w:szCs w:val="24"/>
          <w:highlight w:val="none"/>
        </w:rPr>
        <w:fldChar w:fldCharType="end"/>
      </w:r>
    </w:p>
    <w:p w14:paraId="54C9E04F">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_Toc23082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第二十条 </w:t>
      </w:r>
      <w:r>
        <w:rPr>
          <w:sz w:val="24"/>
          <w:szCs w:val="24"/>
        </w:rPr>
        <w:tab/>
      </w:r>
      <w:r>
        <w:rPr>
          <w:sz w:val="24"/>
          <w:szCs w:val="24"/>
        </w:rPr>
        <w:fldChar w:fldCharType="begin"/>
      </w:r>
      <w:r>
        <w:rPr>
          <w:sz w:val="24"/>
          <w:szCs w:val="24"/>
        </w:rPr>
        <w:instrText xml:space="preserve"> PAGEREF _Toc23082 \h </w:instrText>
      </w:r>
      <w:r>
        <w:rPr>
          <w:sz w:val="24"/>
          <w:szCs w:val="24"/>
        </w:rPr>
        <w:fldChar w:fldCharType="separate"/>
      </w:r>
      <w:r>
        <w:rPr>
          <w:sz w:val="24"/>
          <w:szCs w:val="24"/>
        </w:rPr>
        <w:t>19</w:t>
      </w:r>
      <w:r>
        <w:rPr>
          <w:sz w:val="24"/>
          <w:szCs w:val="24"/>
        </w:rPr>
        <w:fldChar w:fldCharType="end"/>
      </w:r>
      <w:r>
        <w:rPr>
          <w:rFonts w:ascii="Times New Roman" w:hAnsi="Times New Roman"/>
          <w:sz w:val="24"/>
          <w:szCs w:val="24"/>
          <w:highlight w:val="none"/>
        </w:rPr>
        <w:fldChar w:fldCharType="end"/>
      </w:r>
    </w:p>
    <w:p w14:paraId="20D947E6">
      <w:pPr>
        <w:pStyle w:val="8"/>
        <w:tabs>
          <w:tab w:val="right" w:leader="dot" w:pos="10613"/>
        </w:tabs>
        <w:rPr>
          <w:sz w:val="24"/>
          <w:szCs w:val="24"/>
        </w:rPr>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_Toc14646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第二十一条 </w:t>
      </w:r>
      <w:r>
        <w:rPr>
          <w:sz w:val="24"/>
          <w:szCs w:val="24"/>
        </w:rPr>
        <w:tab/>
      </w:r>
      <w:r>
        <w:rPr>
          <w:sz w:val="24"/>
          <w:szCs w:val="24"/>
        </w:rPr>
        <w:fldChar w:fldCharType="begin"/>
      </w:r>
      <w:r>
        <w:rPr>
          <w:sz w:val="24"/>
          <w:szCs w:val="24"/>
        </w:rPr>
        <w:instrText xml:space="preserve"> PAGEREF _Toc14646 \h </w:instrText>
      </w:r>
      <w:r>
        <w:rPr>
          <w:sz w:val="24"/>
          <w:szCs w:val="24"/>
        </w:rPr>
        <w:fldChar w:fldCharType="separate"/>
      </w:r>
      <w:r>
        <w:rPr>
          <w:sz w:val="24"/>
          <w:szCs w:val="24"/>
        </w:rPr>
        <w:t>19</w:t>
      </w:r>
      <w:r>
        <w:rPr>
          <w:sz w:val="24"/>
          <w:szCs w:val="24"/>
        </w:rPr>
        <w:fldChar w:fldCharType="end"/>
      </w:r>
      <w:r>
        <w:rPr>
          <w:rFonts w:ascii="Times New Roman" w:hAnsi="Times New Roman"/>
          <w:sz w:val="24"/>
          <w:szCs w:val="24"/>
          <w:highlight w:val="none"/>
        </w:rPr>
        <w:fldChar w:fldCharType="end"/>
      </w:r>
    </w:p>
    <w:p w14:paraId="65FDA5C3">
      <w:pPr>
        <w:pStyle w:val="8"/>
        <w:tabs>
          <w:tab w:val="right" w:leader="dot" w:pos="10613"/>
        </w:tabs>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HYPERLINK \l _Toc24954 </w:instrText>
      </w:r>
      <w:r>
        <w:rPr>
          <w:rFonts w:ascii="Times New Roman" w:hAnsi="Times New Roman"/>
          <w:sz w:val="24"/>
          <w:szCs w:val="24"/>
          <w:highlight w:val="none"/>
        </w:rPr>
        <w:fldChar w:fldCharType="separate"/>
      </w:r>
      <w:r>
        <w:rPr>
          <w:rFonts w:hint="eastAsia" w:ascii="Times New Roman" w:hAnsi="Times New Roman" w:cs="Times New Roman"/>
          <w:sz w:val="24"/>
          <w:szCs w:val="24"/>
          <w:lang w:val="en-US" w:eastAsia="zh-CN"/>
        </w:rPr>
        <w:t xml:space="preserve">第二十二条 </w:t>
      </w:r>
      <w:r>
        <w:rPr>
          <w:sz w:val="24"/>
          <w:szCs w:val="24"/>
        </w:rPr>
        <w:tab/>
      </w:r>
      <w:r>
        <w:rPr>
          <w:sz w:val="24"/>
          <w:szCs w:val="24"/>
        </w:rPr>
        <w:fldChar w:fldCharType="begin"/>
      </w:r>
      <w:r>
        <w:rPr>
          <w:sz w:val="24"/>
          <w:szCs w:val="24"/>
        </w:rPr>
        <w:instrText xml:space="preserve"> PAGEREF _Toc24954 \h </w:instrText>
      </w:r>
      <w:r>
        <w:rPr>
          <w:sz w:val="24"/>
          <w:szCs w:val="24"/>
        </w:rPr>
        <w:fldChar w:fldCharType="separate"/>
      </w:r>
      <w:r>
        <w:rPr>
          <w:sz w:val="24"/>
          <w:szCs w:val="24"/>
        </w:rPr>
        <w:t>19</w:t>
      </w:r>
      <w:r>
        <w:rPr>
          <w:sz w:val="24"/>
          <w:szCs w:val="24"/>
        </w:rPr>
        <w:fldChar w:fldCharType="end"/>
      </w:r>
      <w:r>
        <w:rPr>
          <w:rFonts w:ascii="Times New Roman" w:hAnsi="Times New Roman"/>
          <w:sz w:val="24"/>
          <w:szCs w:val="24"/>
          <w:highlight w:val="none"/>
        </w:rPr>
        <w:fldChar w:fldCharType="end"/>
      </w:r>
    </w:p>
    <w:p w14:paraId="57EBA6C0">
      <w:pPr>
        <w:widowControl/>
        <w:spacing w:line="360" w:lineRule="auto"/>
        <w:ind w:firstLine="440"/>
        <w:rPr>
          <w:rFonts w:ascii="Times New Roman" w:hAnsi="Times New Roman"/>
          <w:highlight w:val="none"/>
        </w:rPr>
        <w:sectPr>
          <w:headerReference r:id="rId13" w:type="first"/>
          <w:footerReference r:id="rId16" w:type="first"/>
          <w:headerReference r:id="rId11" w:type="default"/>
          <w:footerReference r:id="rId14" w:type="default"/>
          <w:headerReference r:id="rId12" w:type="even"/>
          <w:footerReference r:id="rId15" w:type="even"/>
          <w:pgSz w:w="23811" w:h="16838" w:orient="landscape"/>
          <w:pgMar w:top="1440" w:right="1080" w:bottom="1440" w:left="1080" w:header="851" w:footer="992" w:gutter="0"/>
          <w:pgNumType w:fmt="decimal"/>
          <w:cols w:space="425" w:num="2"/>
          <w:docGrid w:type="lines" w:linePitch="312" w:charSpace="0"/>
        </w:sectPr>
      </w:pPr>
      <w:r>
        <w:rPr>
          <w:rFonts w:ascii="Times New Roman" w:hAnsi="Times New Roman"/>
          <w:highlight w:val="none"/>
        </w:rPr>
        <w:fldChar w:fldCharType="end"/>
      </w:r>
    </w:p>
    <w:p w14:paraId="05D6AF48">
      <w:pPr>
        <w:pStyle w:val="15"/>
        <w:ind w:firstLine="562"/>
        <w:outlineLvl w:val="0"/>
        <w:rPr>
          <w:rFonts w:ascii="Times New Roman" w:hAnsi="Times New Roman" w:cs="Times New Roman"/>
          <w:highlight w:val="none"/>
        </w:rPr>
      </w:pPr>
      <w:r>
        <w:rPr>
          <w:rFonts w:ascii="Times New Roman" w:hAnsi="Times New Roman" w:cs="Times New Roman"/>
          <w:highlight w:val="none"/>
        </w:rPr>
        <w:t>第一章 总则</w:t>
      </w:r>
      <w:bookmarkEnd w:id="0"/>
    </w:p>
    <w:p w14:paraId="180F2145">
      <w:pPr>
        <w:pStyle w:val="17"/>
        <w:numPr>
          <w:ilvl w:val="0"/>
          <w:numId w:val="1"/>
        </w:numPr>
        <w:spacing w:before="156"/>
        <w:ind w:left="0" w:leftChars="0" w:firstLine="0" w:firstLineChars="0"/>
        <w:outlineLvl w:val="1"/>
        <w:rPr>
          <w:rFonts w:ascii="Times New Roman" w:hAnsi="Times New Roman" w:cs="Times New Roman"/>
          <w:highlight w:val="none"/>
        </w:rPr>
      </w:pPr>
      <w:r>
        <w:rPr>
          <w:rFonts w:hint="eastAsia" w:ascii="Times New Roman" w:hAnsi="Times New Roman" w:cs="Times New Roman"/>
          <w:highlight w:val="none"/>
          <w:lang w:val="en-US" w:eastAsia="zh-CN"/>
        </w:rPr>
        <w:t xml:space="preserve"> </w:t>
      </w:r>
      <w:bookmarkStart w:id="1" w:name="_Toc30314"/>
      <w:r>
        <w:rPr>
          <w:rFonts w:hint="eastAsia" w:ascii="Times New Roman" w:hAnsi="Times New Roman" w:cs="Times New Roman"/>
          <w:highlight w:val="none"/>
          <w:lang w:val="en-US" w:eastAsia="zh-CN"/>
        </w:rPr>
        <w:t>规划背景</w:t>
      </w:r>
      <w:bookmarkEnd w:id="1"/>
    </w:p>
    <w:p w14:paraId="0CDE09CD">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ascii="Times New Roman" w:hAnsi="Times New Roman" w:cs="Times New Roman"/>
          <w:highlight w:val="none"/>
        </w:rPr>
      </w:pPr>
      <w:r>
        <w:rPr>
          <w:rFonts w:hint="eastAsia" w:ascii="Times New Roman" w:hAnsi="Times New Roman" w:cs="Times New Roman"/>
          <w:highlight w:val="none"/>
        </w:rPr>
        <w:t>为贯彻习近平总书记关于民政工作的重要批示精神，落实国家《关于进一步推动殡葬改革促进殡葬事业发展的指导意见》</w:t>
      </w:r>
      <w:r>
        <w:rPr>
          <w:rFonts w:hint="eastAsia" w:ascii="Times New Roman" w:hAnsi="Times New Roman" w:cs="Times New Roman"/>
          <w:highlight w:val="none"/>
          <w:lang w:eastAsia="zh-CN"/>
        </w:rPr>
        <w:t>（</w:t>
      </w:r>
      <w:r>
        <w:rPr>
          <w:rFonts w:hint="eastAsia" w:ascii="Times New Roman" w:hAnsi="Times New Roman" w:cs="Times New Roman"/>
          <w:highlight w:val="none"/>
          <w:lang w:val="en-US" w:eastAsia="zh-CN"/>
        </w:rPr>
        <w:t>民发〔2018〕5号</w:t>
      </w:r>
      <w:r>
        <w:rPr>
          <w:rFonts w:hint="eastAsia" w:ascii="Times New Roman" w:hAnsi="Times New Roman" w:cs="Times New Roman"/>
          <w:highlight w:val="none"/>
          <w:lang w:eastAsia="zh-CN"/>
        </w:rPr>
        <w:t>）</w:t>
      </w:r>
      <w:r>
        <w:rPr>
          <w:rFonts w:hint="eastAsia" w:ascii="Times New Roman" w:hAnsi="Times New Roman" w:cs="Times New Roman"/>
          <w:highlight w:val="none"/>
        </w:rPr>
        <w:t>、湖北省《关于加强全省城乡公益性公墓建设管理的意见》（</w:t>
      </w:r>
      <w:r>
        <w:rPr>
          <w:rFonts w:hint="eastAsia" w:ascii="Times New Roman" w:hAnsi="Times New Roman" w:cs="Times New Roman"/>
          <w:highlight w:val="none"/>
          <w:lang w:val="en-US" w:eastAsia="zh-CN"/>
        </w:rPr>
        <w:t>鄂民政</w:t>
      </w:r>
      <w:r>
        <w:rPr>
          <w:rFonts w:hint="eastAsia" w:ascii="Times New Roman" w:hAnsi="Times New Roman" w:cs="Times New Roman"/>
          <w:highlight w:val="none"/>
        </w:rPr>
        <w:t>发〔20</w:t>
      </w:r>
      <w:r>
        <w:rPr>
          <w:rFonts w:hint="eastAsia" w:ascii="Times New Roman" w:hAnsi="Times New Roman" w:cs="Times New Roman"/>
          <w:highlight w:val="none"/>
          <w:lang w:val="en-US" w:eastAsia="zh-CN"/>
        </w:rPr>
        <w:t>20</w:t>
      </w:r>
      <w:r>
        <w:rPr>
          <w:rFonts w:hint="eastAsia" w:ascii="Times New Roman" w:hAnsi="Times New Roman" w:cs="Times New Roman"/>
          <w:highlight w:val="none"/>
        </w:rPr>
        <w:t>〕</w:t>
      </w:r>
      <w:r>
        <w:rPr>
          <w:rFonts w:hint="eastAsia" w:ascii="Times New Roman" w:hAnsi="Times New Roman" w:cs="Times New Roman"/>
          <w:highlight w:val="none"/>
          <w:lang w:val="en-US" w:eastAsia="zh-CN"/>
        </w:rPr>
        <w:t>29</w:t>
      </w:r>
      <w:r>
        <w:rPr>
          <w:rFonts w:hint="eastAsia" w:ascii="Times New Roman" w:hAnsi="Times New Roman" w:cs="Times New Roman"/>
          <w:highlight w:val="none"/>
        </w:rPr>
        <w:t>号）</w:t>
      </w:r>
      <w:r>
        <w:rPr>
          <w:rFonts w:hint="eastAsia" w:ascii="Times New Roman" w:hAnsi="Times New Roman" w:cs="Times New Roman"/>
          <w:highlight w:val="none"/>
          <w:lang w:val="en-US" w:eastAsia="zh-CN"/>
        </w:rPr>
        <w:t>及枝江市民政局、枝江市自然资源和规划局、枝江市农业农村局关于印发《枝江市农村公益性公墓建设管理办法》的通知</w:t>
      </w:r>
      <w:r>
        <w:rPr>
          <w:rFonts w:hint="eastAsia" w:ascii="Times New Roman" w:hAnsi="Times New Roman" w:cs="Times New Roman"/>
          <w:highlight w:val="none"/>
        </w:rPr>
        <w:t>（</w:t>
      </w:r>
      <w:r>
        <w:rPr>
          <w:rFonts w:hint="eastAsia" w:ascii="Times New Roman" w:hAnsi="Times New Roman" w:cs="Times New Roman"/>
          <w:highlight w:val="none"/>
          <w:lang w:val="en-US" w:eastAsia="zh-CN"/>
        </w:rPr>
        <w:t>枝民政</w:t>
      </w:r>
      <w:r>
        <w:rPr>
          <w:rFonts w:hint="eastAsia" w:ascii="Times New Roman" w:hAnsi="Times New Roman" w:cs="Times New Roman"/>
          <w:highlight w:val="none"/>
        </w:rPr>
        <w:t>发〔20</w:t>
      </w:r>
      <w:r>
        <w:rPr>
          <w:rFonts w:hint="eastAsia" w:ascii="Times New Roman" w:hAnsi="Times New Roman" w:cs="Times New Roman"/>
          <w:highlight w:val="none"/>
          <w:lang w:val="en-US" w:eastAsia="zh-CN"/>
        </w:rPr>
        <w:t>25</w:t>
      </w:r>
      <w:r>
        <w:rPr>
          <w:rFonts w:hint="eastAsia" w:ascii="Times New Roman" w:hAnsi="Times New Roman" w:cs="Times New Roman"/>
          <w:highlight w:val="none"/>
        </w:rPr>
        <w:t>〕</w:t>
      </w:r>
      <w:r>
        <w:rPr>
          <w:rFonts w:hint="eastAsia" w:ascii="Times New Roman" w:hAnsi="Times New Roman" w:cs="Times New Roman"/>
          <w:highlight w:val="none"/>
          <w:lang w:val="en-US" w:eastAsia="zh-CN"/>
        </w:rPr>
        <w:t>6</w:t>
      </w:r>
      <w:r>
        <w:rPr>
          <w:rFonts w:hint="eastAsia" w:ascii="Times New Roman" w:hAnsi="Times New Roman" w:cs="Times New Roman"/>
          <w:highlight w:val="none"/>
        </w:rPr>
        <w:t>号）等相关要求，进一步深化殡葬改革，节约土地资源，发挥规划引领作用，科学合理配置殡葬基础设施，提高殡葬设施整体服务水平，更好适应殡葬整治、改革和未来殡葬事业发展的需要，实现墓地公益化发展，结合</w:t>
      </w:r>
      <w:r>
        <w:rPr>
          <w:rFonts w:hint="eastAsia" w:ascii="Times New Roman" w:hAnsi="Times New Roman" w:cs="Times New Roman"/>
          <w:highlight w:val="none"/>
          <w:lang w:val="en-US" w:eastAsia="zh-CN"/>
        </w:rPr>
        <w:t>枝江市</w:t>
      </w:r>
      <w:r>
        <w:rPr>
          <w:rFonts w:hint="eastAsia" w:ascii="Times New Roman" w:hAnsi="Times New Roman" w:cs="Times New Roman"/>
          <w:highlight w:val="none"/>
        </w:rPr>
        <w:t>实际情况，</w:t>
      </w:r>
      <w:r>
        <w:rPr>
          <w:rFonts w:hint="eastAsia" w:ascii="Times New Roman" w:hAnsi="Times New Roman" w:cs="Times New Roman"/>
          <w:highlight w:val="none"/>
          <w:lang w:val="en-US" w:eastAsia="zh-CN"/>
        </w:rPr>
        <w:t>特</w:t>
      </w:r>
      <w:r>
        <w:rPr>
          <w:rFonts w:hint="eastAsia" w:ascii="Times New Roman" w:hAnsi="Times New Roman" w:cs="Times New Roman"/>
          <w:highlight w:val="none"/>
        </w:rPr>
        <w:t>编制《</w:t>
      </w:r>
      <w:r>
        <w:rPr>
          <w:rFonts w:hint="eastAsia" w:ascii="Times New Roman" w:hAnsi="Times New Roman" w:cs="Times New Roman"/>
          <w:highlight w:val="none"/>
          <w:lang w:eastAsia="zh-CN"/>
        </w:rPr>
        <w:t>枝江市</w:t>
      </w:r>
      <w:r>
        <w:rPr>
          <w:rFonts w:hint="eastAsia" w:ascii="Times New Roman" w:hAnsi="Times New Roman" w:cs="Times New Roman"/>
          <w:highlight w:val="none"/>
        </w:rPr>
        <w:t>公益性</w:t>
      </w:r>
      <w:r>
        <w:rPr>
          <w:rFonts w:hint="eastAsia" w:ascii="Times New Roman" w:hAnsi="Times New Roman" w:cs="Times New Roman"/>
          <w:highlight w:val="none"/>
          <w:lang w:val="en-US" w:eastAsia="zh-CN"/>
        </w:rPr>
        <w:t>安葬设施</w:t>
      </w:r>
      <w:r>
        <w:rPr>
          <w:rFonts w:hint="eastAsia" w:ascii="Times New Roman" w:hAnsi="Times New Roman" w:cs="Times New Roman"/>
          <w:highlight w:val="none"/>
          <w:lang w:eastAsia="zh-CN"/>
        </w:rPr>
        <w:t>布点规划</w:t>
      </w:r>
      <w:r>
        <w:rPr>
          <w:rFonts w:hint="eastAsia" w:ascii="Times New Roman" w:hAnsi="Times New Roman" w:cs="Times New Roman"/>
          <w:highlight w:val="none"/>
        </w:rPr>
        <w:t>（202</w:t>
      </w:r>
      <w:r>
        <w:rPr>
          <w:rFonts w:hint="eastAsia" w:ascii="Times New Roman" w:hAnsi="Times New Roman" w:cs="Times New Roman"/>
          <w:highlight w:val="none"/>
          <w:lang w:val="en-US" w:eastAsia="zh-CN"/>
        </w:rPr>
        <w:t>5—</w:t>
      </w:r>
      <w:r>
        <w:rPr>
          <w:rFonts w:hint="eastAsia" w:ascii="Times New Roman" w:hAnsi="Times New Roman" w:cs="Times New Roman"/>
          <w:highlight w:val="none"/>
        </w:rPr>
        <w:t>2035</w:t>
      </w:r>
      <w:r>
        <w:rPr>
          <w:rFonts w:hint="eastAsia" w:ascii="Times New Roman" w:hAnsi="Times New Roman" w:cs="Times New Roman"/>
          <w:highlight w:val="none"/>
          <w:lang w:val="en-US" w:eastAsia="zh-CN"/>
        </w:rPr>
        <w:t>年</w:t>
      </w:r>
      <w:r>
        <w:rPr>
          <w:rFonts w:hint="eastAsia" w:ascii="Times New Roman" w:hAnsi="Times New Roman" w:cs="Times New Roman"/>
          <w:highlight w:val="none"/>
        </w:rPr>
        <w:t>）》。</w:t>
      </w:r>
    </w:p>
    <w:p w14:paraId="7B8D3D8F">
      <w:pPr>
        <w:pStyle w:val="17"/>
        <w:numPr>
          <w:ilvl w:val="0"/>
          <w:numId w:val="1"/>
        </w:numPr>
        <w:spacing w:before="156"/>
        <w:ind w:left="0" w:leftChars="0" w:firstLine="0" w:firstLineChars="0"/>
        <w:outlineLvl w:val="1"/>
        <w:rPr>
          <w:rFonts w:ascii="Times New Roman" w:hAnsi="Times New Roman" w:cs="Times New Roman"/>
          <w:highlight w:val="none"/>
        </w:rPr>
      </w:pPr>
      <w:r>
        <w:rPr>
          <w:rFonts w:hint="eastAsia" w:ascii="Times New Roman" w:hAnsi="Times New Roman" w:cs="Times New Roman"/>
          <w:highlight w:val="none"/>
          <w:lang w:val="en-US" w:eastAsia="zh-CN"/>
        </w:rPr>
        <w:t xml:space="preserve"> </w:t>
      </w:r>
      <w:bookmarkStart w:id="2" w:name="_Toc5845"/>
      <w:r>
        <w:rPr>
          <w:rFonts w:ascii="Times New Roman" w:hAnsi="Times New Roman" w:cs="Times New Roman"/>
          <w:highlight w:val="none"/>
        </w:rPr>
        <w:t>规划</w:t>
      </w:r>
      <w:r>
        <w:rPr>
          <w:rFonts w:hint="eastAsia" w:ascii="Times New Roman" w:hAnsi="Times New Roman" w:cs="Times New Roman"/>
          <w:highlight w:val="none"/>
          <w:lang w:val="en-US" w:eastAsia="zh-CN"/>
        </w:rPr>
        <w:t>范围与对象</w:t>
      </w:r>
      <w:bookmarkEnd w:id="2"/>
    </w:p>
    <w:p w14:paraId="0D62EA77">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本次规划的规划范围涵盖枝江市除白洋镇以外的行政辖区，总面积1221.27平方公里，包括 1 个街道及7个镇，即马家店街道、安福寺镇、顾家店镇、董市镇、仙女镇、问安镇、七星台镇、百里洲镇。由宜昌市委、市政府决定，白洋镇已整体托管至宜昌高新技术产业开发区，在行政管理及相关规划统筹上已归属宜昌高新区范畴，鉴于此行政托管现状，本次公益性安葬设施布点规划不将白洋镇纳入规划范围内。</w:t>
      </w:r>
    </w:p>
    <w:p w14:paraId="28A24A3D">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本规划的对象为公益性公墓，是指不以营利为目的，由地方各级人民政府或村（居）自治组织为本地常住人员死亡后提供安葬遗体或骨灰的集体公益性设施。</w:t>
      </w:r>
    </w:p>
    <w:p w14:paraId="427EDDFE">
      <w:pPr>
        <w:pStyle w:val="17"/>
        <w:numPr>
          <w:ilvl w:val="0"/>
          <w:numId w:val="1"/>
        </w:numPr>
        <w:spacing w:before="156"/>
        <w:ind w:left="0" w:leftChars="0" w:firstLine="0" w:firstLineChars="0"/>
        <w:outlineLvl w:val="1"/>
        <w:rPr>
          <w:rFonts w:ascii="Times New Roman" w:hAnsi="Times New Roman" w:cs="Times New Roman"/>
          <w:highlight w:val="none"/>
        </w:rPr>
      </w:pPr>
      <w:r>
        <w:rPr>
          <w:rFonts w:hint="eastAsia" w:ascii="Times New Roman" w:hAnsi="Times New Roman" w:cs="Times New Roman"/>
          <w:highlight w:val="none"/>
          <w:lang w:val="en-US" w:eastAsia="zh-CN"/>
        </w:rPr>
        <w:t xml:space="preserve"> </w:t>
      </w:r>
      <w:bookmarkStart w:id="3" w:name="_Toc4611"/>
      <w:r>
        <w:rPr>
          <w:rFonts w:hint="eastAsia" w:ascii="Times New Roman" w:hAnsi="Times New Roman" w:cs="Times New Roman"/>
          <w:highlight w:val="none"/>
          <w:lang w:val="en-US" w:eastAsia="zh-CN"/>
        </w:rPr>
        <w:t>规划期限</w:t>
      </w:r>
      <w:bookmarkEnd w:id="3"/>
    </w:p>
    <w:p w14:paraId="4192AD16">
      <w:pPr>
        <w:pStyle w:val="19"/>
        <w:keepNext w:val="0"/>
        <w:keepLines w:val="0"/>
        <w:pageBreakBefore w:val="0"/>
        <w:widowControl w:val="0"/>
        <w:kinsoku/>
        <w:wordWrap/>
        <w:overflowPunct/>
        <w:topLinePunct w:val="0"/>
        <w:autoSpaceDE/>
        <w:autoSpaceDN/>
        <w:bidi w:val="0"/>
        <w:adjustRightInd/>
        <w:snapToGrid/>
        <w:spacing w:before="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rPr>
        <w:t>本规划基期年为2024年，规划期限为2024—2035年，远景控制至2055年。</w:t>
      </w:r>
    </w:p>
    <w:p w14:paraId="6D014769">
      <w:pPr>
        <w:pStyle w:val="17"/>
        <w:numPr>
          <w:ilvl w:val="0"/>
          <w:numId w:val="1"/>
        </w:numPr>
        <w:spacing w:before="156"/>
        <w:ind w:left="0" w:leftChars="0" w:firstLine="0" w:firstLineChars="0"/>
        <w:outlineLvl w:val="1"/>
        <w:rPr>
          <w:rFonts w:ascii="Times New Roman" w:hAnsi="Times New Roman" w:cs="Times New Roman"/>
          <w:highlight w:val="none"/>
        </w:rPr>
      </w:pPr>
      <w:r>
        <w:rPr>
          <w:rFonts w:hint="eastAsia" w:ascii="Times New Roman" w:hAnsi="Times New Roman" w:cs="Times New Roman"/>
          <w:highlight w:val="none"/>
          <w:lang w:val="en-US" w:eastAsia="zh-CN"/>
        </w:rPr>
        <w:t xml:space="preserve"> </w:t>
      </w:r>
      <w:bookmarkStart w:id="4" w:name="_Toc7838"/>
      <w:r>
        <w:rPr>
          <w:rFonts w:hint="eastAsia" w:ascii="Times New Roman" w:hAnsi="Times New Roman" w:cs="Times New Roman"/>
          <w:highlight w:val="none"/>
          <w:lang w:val="en-US" w:eastAsia="zh-CN"/>
        </w:rPr>
        <w:t>规划依据</w:t>
      </w:r>
      <w:bookmarkEnd w:id="4"/>
    </w:p>
    <w:p w14:paraId="1F3D262E">
      <w:pPr>
        <w:pStyle w:val="21"/>
        <w:numPr>
          <w:ilvl w:val="0"/>
          <w:numId w:val="2"/>
        </w:numPr>
        <w:spacing w:before="156"/>
        <w:rPr>
          <w:rFonts w:ascii="Times New Roman" w:hAnsi="Times New Roman" w:cs="Times New Roman"/>
          <w:highlight w:val="none"/>
        </w:rPr>
      </w:pPr>
      <w:r>
        <w:rPr>
          <w:rFonts w:ascii="Times New Roman" w:hAnsi="Times New Roman" w:cs="Times New Roman"/>
          <w:highlight w:val="none"/>
        </w:rPr>
        <w:t>法律法规</w:t>
      </w:r>
    </w:p>
    <w:p w14:paraId="07EE7D45">
      <w:pPr>
        <w:pStyle w:val="19"/>
        <w:keepNext w:val="0"/>
        <w:keepLines w:val="0"/>
        <w:pageBreakBefore w:val="0"/>
        <w:widowControl w:val="0"/>
        <w:numPr>
          <w:ilvl w:val="0"/>
          <w:numId w:val="3"/>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《中华人民共和国土地管理法》</w:t>
      </w:r>
      <w:r>
        <w:rPr>
          <w:rFonts w:hint="eastAsia" w:ascii="Times New Roman" w:hAnsi="Times New Roman" w:cs="Times New Roman"/>
          <w:highlight w:val="none"/>
          <w:lang w:eastAsia="zh-CN"/>
        </w:rPr>
        <w:t>（</w:t>
      </w:r>
      <w:r>
        <w:rPr>
          <w:rFonts w:ascii="Times New Roman" w:hAnsi="Times New Roman" w:cs="Times New Roman"/>
          <w:highlight w:val="none"/>
        </w:rPr>
        <w:t>2019年修正</w:t>
      </w:r>
      <w:r>
        <w:rPr>
          <w:rFonts w:hint="eastAsia" w:ascii="Times New Roman" w:hAnsi="Times New Roman" w:cs="Times New Roman"/>
          <w:highlight w:val="none"/>
          <w:lang w:eastAsia="zh-CN"/>
        </w:rPr>
        <w:t>）</w:t>
      </w:r>
      <w:r>
        <w:rPr>
          <w:rFonts w:ascii="Times New Roman" w:hAnsi="Times New Roman" w:cs="Times New Roman"/>
          <w:highlight w:val="none"/>
        </w:rPr>
        <w:t>；</w:t>
      </w:r>
    </w:p>
    <w:p w14:paraId="63486946">
      <w:pPr>
        <w:pStyle w:val="19"/>
        <w:keepNext w:val="0"/>
        <w:keepLines w:val="0"/>
        <w:pageBreakBefore w:val="0"/>
        <w:widowControl w:val="0"/>
        <w:numPr>
          <w:ilvl w:val="0"/>
          <w:numId w:val="3"/>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《中华人民共和国城乡规划法》（2019年修正）；</w:t>
      </w:r>
    </w:p>
    <w:p w14:paraId="6BFB9EE2">
      <w:pPr>
        <w:pStyle w:val="19"/>
        <w:keepNext w:val="0"/>
        <w:keepLines w:val="0"/>
        <w:pageBreakBefore w:val="0"/>
        <w:widowControl w:val="0"/>
        <w:numPr>
          <w:ilvl w:val="0"/>
          <w:numId w:val="3"/>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《中华人民共和国</w:t>
      </w:r>
      <w:r>
        <w:rPr>
          <w:rFonts w:hint="eastAsia" w:ascii="Times New Roman" w:hAnsi="Times New Roman" w:cs="Times New Roman"/>
          <w:highlight w:val="none"/>
        </w:rPr>
        <w:t>殡葬管理条例</w:t>
      </w:r>
      <w:r>
        <w:rPr>
          <w:rFonts w:ascii="Times New Roman" w:hAnsi="Times New Roman" w:cs="Times New Roman"/>
          <w:highlight w:val="none"/>
        </w:rPr>
        <w:t>》（2012年修正）；</w:t>
      </w:r>
    </w:p>
    <w:p w14:paraId="2F0B38FE">
      <w:pPr>
        <w:pStyle w:val="19"/>
        <w:keepNext w:val="0"/>
        <w:keepLines w:val="0"/>
        <w:pageBreakBefore w:val="0"/>
        <w:widowControl w:val="0"/>
        <w:numPr>
          <w:ilvl w:val="0"/>
          <w:numId w:val="3"/>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w:t>
      </w:r>
      <w:r>
        <w:rPr>
          <w:rFonts w:hint="eastAsia" w:ascii="Times New Roman" w:hAnsi="Times New Roman" w:cs="Times New Roman"/>
          <w:highlight w:val="none"/>
        </w:rPr>
        <w:t>湖北省殡葬管理办法</w:t>
      </w:r>
      <w:r>
        <w:rPr>
          <w:rFonts w:ascii="Times New Roman" w:hAnsi="Times New Roman" w:cs="Times New Roman"/>
          <w:highlight w:val="none"/>
        </w:rPr>
        <w:t>》（</w:t>
      </w:r>
      <w:r>
        <w:rPr>
          <w:rFonts w:hint="eastAsia" w:ascii="Times New Roman" w:hAnsi="Times New Roman" w:cs="Times New Roman"/>
          <w:highlight w:val="none"/>
        </w:rPr>
        <w:t>2000年10月17日</w:t>
      </w:r>
      <w:r>
        <w:rPr>
          <w:rFonts w:ascii="Times New Roman" w:hAnsi="Times New Roman" w:cs="Times New Roman"/>
          <w:highlight w:val="none"/>
        </w:rPr>
        <w:t>）；</w:t>
      </w:r>
    </w:p>
    <w:p w14:paraId="5C962989">
      <w:pPr>
        <w:pStyle w:val="19"/>
        <w:keepNext w:val="0"/>
        <w:keepLines w:val="0"/>
        <w:pageBreakBefore w:val="0"/>
        <w:widowControl w:val="0"/>
        <w:numPr>
          <w:ilvl w:val="0"/>
          <w:numId w:val="3"/>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w:t>
      </w:r>
      <w:r>
        <w:rPr>
          <w:rFonts w:hint="eastAsia" w:ascii="Times New Roman" w:hAnsi="Times New Roman" w:cs="Times New Roman"/>
          <w:highlight w:val="none"/>
        </w:rPr>
        <w:t>殡葬管理条例</w:t>
      </w:r>
      <w:r>
        <w:rPr>
          <w:rFonts w:ascii="Times New Roman" w:hAnsi="Times New Roman" w:cs="Times New Roman"/>
          <w:highlight w:val="none"/>
        </w:rPr>
        <w:t>》（</w:t>
      </w:r>
      <w:r>
        <w:rPr>
          <w:rFonts w:hint="eastAsia" w:ascii="Times New Roman" w:hAnsi="Times New Roman" w:cs="Times New Roman"/>
          <w:highlight w:val="none"/>
        </w:rPr>
        <w:t>国务院令第628号，2012</w:t>
      </w:r>
      <w:r>
        <w:rPr>
          <w:rFonts w:ascii="Times New Roman" w:hAnsi="Times New Roman" w:cs="Times New Roman"/>
          <w:highlight w:val="none"/>
        </w:rPr>
        <w:t>）；</w:t>
      </w:r>
    </w:p>
    <w:p w14:paraId="07C44EA1">
      <w:pPr>
        <w:pStyle w:val="19"/>
        <w:keepNext w:val="0"/>
        <w:keepLines w:val="0"/>
        <w:pageBreakBefore w:val="0"/>
        <w:widowControl w:val="0"/>
        <w:numPr>
          <w:ilvl w:val="0"/>
          <w:numId w:val="3"/>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《中华人民共和国土地管理法实施条例》</w:t>
      </w:r>
      <w:r>
        <w:rPr>
          <w:rFonts w:hint="eastAsia" w:ascii="Times New Roman" w:hAnsi="Times New Roman" w:cs="Times New Roman"/>
          <w:highlight w:val="none"/>
          <w:lang w:eastAsia="zh-CN"/>
        </w:rPr>
        <w:t>（</w:t>
      </w:r>
      <w:r>
        <w:rPr>
          <w:rFonts w:ascii="Times New Roman" w:hAnsi="Times New Roman" w:cs="Times New Roman"/>
          <w:highlight w:val="none"/>
        </w:rPr>
        <w:t>2021年修订</w:t>
      </w:r>
      <w:r>
        <w:rPr>
          <w:rFonts w:hint="eastAsia" w:ascii="Times New Roman" w:hAnsi="Times New Roman" w:cs="Times New Roman"/>
          <w:highlight w:val="none"/>
          <w:lang w:eastAsia="zh-CN"/>
        </w:rPr>
        <w:t>）</w:t>
      </w:r>
      <w:r>
        <w:rPr>
          <w:rFonts w:ascii="Times New Roman" w:hAnsi="Times New Roman" w:cs="Times New Roman"/>
          <w:highlight w:val="none"/>
        </w:rPr>
        <w:t>；</w:t>
      </w:r>
    </w:p>
    <w:p w14:paraId="11093282">
      <w:pPr>
        <w:pStyle w:val="19"/>
        <w:keepNext w:val="0"/>
        <w:keepLines w:val="0"/>
        <w:pageBreakBefore w:val="0"/>
        <w:widowControl w:val="0"/>
        <w:numPr>
          <w:ilvl w:val="0"/>
          <w:numId w:val="3"/>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w:t>
      </w:r>
      <w:r>
        <w:rPr>
          <w:rFonts w:hint="eastAsia" w:ascii="Times New Roman" w:hAnsi="Times New Roman" w:cs="Times New Roman"/>
          <w:highlight w:val="none"/>
        </w:rPr>
        <w:t>中华人民共和国森林法</w:t>
      </w:r>
      <w:r>
        <w:rPr>
          <w:rFonts w:ascii="Times New Roman" w:hAnsi="Times New Roman" w:cs="Times New Roman"/>
          <w:highlight w:val="none"/>
        </w:rPr>
        <w:t>》（</w:t>
      </w:r>
      <w:r>
        <w:rPr>
          <w:rFonts w:hint="eastAsia" w:ascii="Times New Roman" w:hAnsi="Times New Roman" w:cs="Times New Roman"/>
          <w:highlight w:val="none"/>
          <w:lang w:val="en-US" w:eastAsia="zh-CN"/>
        </w:rPr>
        <w:t>2009</w:t>
      </w:r>
      <w:r>
        <w:rPr>
          <w:rFonts w:ascii="Times New Roman" w:hAnsi="Times New Roman" w:cs="Times New Roman"/>
          <w:highlight w:val="none"/>
        </w:rPr>
        <w:t>）；</w:t>
      </w:r>
    </w:p>
    <w:p w14:paraId="28E36BA9">
      <w:pPr>
        <w:pStyle w:val="19"/>
        <w:keepNext w:val="0"/>
        <w:keepLines w:val="0"/>
        <w:pageBreakBefore w:val="0"/>
        <w:widowControl w:val="0"/>
        <w:numPr>
          <w:ilvl w:val="0"/>
          <w:numId w:val="3"/>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w:t>
      </w:r>
      <w:r>
        <w:rPr>
          <w:rFonts w:hint="eastAsia" w:ascii="Times New Roman" w:hAnsi="Times New Roman" w:cs="Times New Roman"/>
          <w:highlight w:val="none"/>
        </w:rPr>
        <w:t>中华人民共和国环境保护法</w:t>
      </w:r>
      <w:r>
        <w:rPr>
          <w:rFonts w:ascii="Times New Roman" w:hAnsi="Times New Roman" w:cs="Times New Roman"/>
          <w:highlight w:val="none"/>
        </w:rPr>
        <w:t>》（201</w:t>
      </w:r>
      <w:r>
        <w:rPr>
          <w:rFonts w:hint="eastAsia" w:ascii="Times New Roman" w:hAnsi="Times New Roman" w:cs="Times New Roman"/>
          <w:highlight w:val="none"/>
          <w:lang w:val="en-US" w:eastAsia="zh-CN"/>
        </w:rPr>
        <w:t>5</w:t>
      </w:r>
      <w:r>
        <w:rPr>
          <w:rFonts w:ascii="Times New Roman" w:hAnsi="Times New Roman" w:cs="Times New Roman"/>
          <w:highlight w:val="none"/>
        </w:rPr>
        <w:t>）；</w:t>
      </w:r>
    </w:p>
    <w:p w14:paraId="492F366A">
      <w:pPr>
        <w:pStyle w:val="19"/>
        <w:keepNext w:val="0"/>
        <w:keepLines w:val="0"/>
        <w:pageBreakBefore w:val="0"/>
        <w:widowControl w:val="0"/>
        <w:numPr>
          <w:ilvl w:val="0"/>
          <w:numId w:val="3"/>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rPr>
        <w:t>《中华人民共和国自然保护区条例》（2017年修订）</w:t>
      </w:r>
      <w:r>
        <w:rPr>
          <w:rFonts w:hint="eastAsia" w:ascii="Times New Roman" w:hAnsi="Times New Roman" w:cs="Times New Roman"/>
          <w:highlight w:val="none"/>
          <w:lang w:eastAsia="zh-CN"/>
        </w:rPr>
        <w:t>；</w:t>
      </w:r>
    </w:p>
    <w:p w14:paraId="4C06A90C">
      <w:pPr>
        <w:pStyle w:val="19"/>
        <w:keepNext w:val="0"/>
        <w:keepLines w:val="0"/>
        <w:pageBreakBefore w:val="0"/>
        <w:widowControl w:val="0"/>
        <w:numPr>
          <w:ilvl w:val="0"/>
          <w:numId w:val="3"/>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lang w:eastAsia="zh-CN"/>
        </w:rPr>
        <w:t>《</w:t>
      </w:r>
      <w:r>
        <w:rPr>
          <w:rFonts w:hint="eastAsia" w:ascii="Times New Roman" w:hAnsi="Times New Roman" w:cs="Times New Roman"/>
          <w:highlight w:val="none"/>
        </w:rPr>
        <w:t>中华人民共和国草原法</w:t>
      </w:r>
      <w:r>
        <w:rPr>
          <w:rFonts w:hint="eastAsia" w:ascii="Times New Roman" w:hAnsi="Times New Roman" w:cs="Times New Roman"/>
          <w:highlight w:val="none"/>
          <w:lang w:eastAsia="zh-CN"/>
        </w:rPr>
        <w:t>》（2021年修正）；</w:t>
      </w:r>
    </w:p>
    <w:p w14:paraId="4143B255">
      <w:pPr>
        <w:pStyle w:val="19"/>
        <w:keepNext w:val="0"/>
        <w:keepLines w:val="0"/>
        <w:pageBreakBefore w:val="0"/>
        <w:widowControl w:val="0"/>
        <w:numPr>
          <w:ilvl w:val="0"/>
          <w:numId w:val="3"/>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lang w:val="en-US" w:eastAsia="zh-CN"/>
        </w:rPr>
        <w:t xml:space="preserve"> </w:t>
      </w:r>
      <w:r>
        <w:rPr>
          <w:rFonts w:ascii="Times New Roman" w:hAnsi="Times New Roman" w:cs="Times New Roman"/>
          <w:highlight w:val="none"/>
        </w:rPr>
        <w:t>其他相关</w:t>
      </w:r>
      <w:r>
        <w:rPr>
          <w:rFonts w:hint="eastAsia" w:ascii="Times New Roman" w:hAnsi="Times New Roman" w:cs="Times New Roman"/>
          <w:highlight w:val="none"/>
          <w:lang w:eastAsia="zh-CN"/>
        </w:rPr>
        <w:t>法律法规</w:t>
      </w:r>
      <w:r>
        <w:rPr>
          <w:rFonts w:ascii="Times New Roman" w:hAnsi="Times New Roman" w:cs="Times New Roman"/>
          <w:highlight w:val="none"/>
        </w:rPr>
        <w:t>、文件及条例。</w:t>
      </w:r>
    </w:p>
    <w:p w14:paraId="76B4BC89">
      <w:pPr>
        <w:pStyle w:val="21"/>
        <w:numPr>
          <w:ilvl w:val="0"/>
          <w:numId w:val="2"/>
        </w:numPr>
        <w:spacing w:before="156"/>
        <w:rPr>
          <w:rFonts w:ascii="Times New Roman" w:hAnsi="Times New Roman" w:cs="Times New Roman"/>
          <w:highlight w:val="none"/>
        </w:rPr>
      </w:pPr>
      <w:r>
        <w:rPr>
          <w:rFonts w:hint="eastAsia" w:ascii="Times New Roman" w:hAnsi="Times New Roman" w:cs="Times New Roman"/>
          <w:highlight w:val="none"/>
          <w:lang w:val="en-US" w:eastAsia="zh-CN"/>
        </w:rPr>
        <w:t>相关</w:t>
      </w:r>
      <w:r>
        <w:rPr>
          <w:rFonts w:ascii="Times New Roman" w:hAnsi="Times New Roman" w:cs="Times New Roman"/>
          <w:highlight w:val="none"/>
        </w:rPr>
        <w:t>政策文件</w:t>
      </w:r>
    </w:p>
    <w:p w14:paraId="0EB1DA6B">
      <w:pPr>
        <w:pStyle w:val="19"/>
        <w:keepNext w:val="0"/>
        <w:keepLines w:val="0"/>
        <w:pageBreakBefore w:val="0"/>
        <w:widowControl w:val="0"/>
        <w:numPr>
          <w:ilvl w:val="0"/>
          <w:numId w:val="4"/>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rPr>
        <w:t>中共中央办公厅、国务院办公厅印发《关于党员干部带头推动殡葬改革的意见</w:t>
      </w:r>
      <w:r>
        <w:rPr>
          <w:rFonts w:ascii="Times New Roman" w:hAnsi="Times New Roman" w:cs="Times New Roman"/>
          <w:highlight w:val="none"/>
        </w:rPr>
        <w:t>》</w:t>
      </w:r>
      <w:r>
        <w:rPr>
          <w:rFonts w:hint="eastAsia" w:ascii="Times New Roman" w:hAnsi="Times New Roman" w:cs="Times New Roman"/>
          <w:highlight w:val="none"/>
          <w:lang w:eastAsia="zh-CN"/>
        </w:rPr>
        <w:t>（</w:t>
      </w:r>
      <w:r>
        <w:rPr>
          <w:rFonts w:hint="eastAsia" w:ascii="Times New Roman" w:hAnsi="Times New Roman" w:cs="Times New Roman"/>
          <w:highlight w:val="none"/>
          <w:lang w:val="en-US" w:eastAsia="zh-CN"/>
        </w:rPr>
        <w:t>2014年第1号</w:t>
      </w:r>
      <w:r>
        <w:rPr>
          <w:rFonts w:hint="eastAsia" w:ascii="Times New Roman" w:hAnsi="Times New Roman" w:cs="Times New Roman"/>
          <w:highlight w:val="none"/>
          <w:lang w:eastAsia="zh-CN"/>
        </w:rPr>
        <w:t>）</w:t>
      </w:r>
      <w:r>
        <w:rPr>
          <w:rFonts w:ascii="Times New Roman" w:hAnsi="Times New Roman" w:cs="Times New Roman"/>
          <w:highlight w:val="none"/>
        </w:rPr>
        <w:t>；</w:t>
      </w:r>
    </w:p>
    <w:p w14:paraId="5814FE15">
      <w:pPr>
        <w:pStyle w:val="19"/>
        <w:keepNext w:val="0"/>
        <w:keepLines w:val="0"/>
        <w:pageBreakBefore w:val="0"/>
        <w:widowControl w:val="0"/>
        <w:numPr>
          <w:ilvl w:val="0"/>
          <w:numId w:val="4"/>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w:t>
      </w:r>
      <w:r>
        <w:rPr>
          <w:rFonts w:hint="eastAsia" w:ascii="Times New Roman" w:hAnsi="Times New Roman" w:cs="Times New Roman"/>
          <w:highlight w:val="none"/>
        </w:rPr>
        <w:t>关于推行节地生态安葬的指导意见</w:t>
      </w:r>
      <w:r>
        <w:rPr>
          <w:rFonts w:ascii="Times New Roman" w:hAnsi="Times New Roman" w:cs="Times New Roman"/>
          <w:highlight w:val="none"/>
        </w:rPr>
        <w:t>》（</w:t>
      </w:r>
      <w:r>
        <w:rPr>
          <w:rFonts w:hint="eastAsia" w:ascii="Times New Roman" w:hAnsi="Times New Roman" w:cs="Times New Roman"/>
          <w:highlight w:val="none"/>
        </w:rPr>
        <w:t>民发﹝2016﹞21号</w:t>
      </w:r>
      <w:r>
        <w:rPr>
          <w:rFonts w:ascii="Times New Roman" w:hAnsi="Times New Roman" w:cs="Times New Roman"/>
          <w:highlight w:val="none"/>
        </w:rPr>
        <w:t>）；</w:t>
      </w:r>
    </w:p>
    <w:p w14:paraId="386442D9">
      <w:pPr>
        <w:pStyle w:val="19"/>
        <w:keepNext w:val="0"/>
        <w:keepLines w:val="0"/>
        <w:pageBreakBefore w:val="0"/>
        <w:widowControl w:val="0"/>
        <w:numPr>
          <w:ilvl w:val="0"/>
          <w:numId w:val="4"/>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民政部、中央文明办等16部门联合下发的《</w:t>
      </w:r>
      <w:r>
        <w:rPr>
          <w:rFonts w:hint="eastAsia" w:ascii="Times New Roman" w:hAnsi="Times New Roman" w:cs="Times New Roman"/>
          <w:highlight w:val="none"/>
        </w:rPr>
        <w:t>关于进一步推动殡葬改革促进殡葬事业发展的指导意见</w:t>
      </w:r>
      <w:r>
        <w:rPr>
          <w:rFonts w:ascii="Times New Roman" w:hAnsi="Times New Roman" w:cs="Times New Roman"/>
          <w:highlight w:val="none"/>
        </w:rPr>
        <w:t>》</w:t>
      </w:r>
      <w:r>
        <w:rPr>
          <w:rFonts w:hint="eastAsia" w:ascii="Times New Roman" w:hAnsi="Times New Roman" w:cs="Times New Roman"/>
          <w:highlight w:val="none"/>
        </w:rPr>
        <w:t>（民发﹝201</w:t>
      </w:r>
      <w:r>
        <w:rPr>
          <w:rFonts w:hint="default" w:ascii="Times New Roman" w:hAnsi="Times New Roman" w:cs="Times New Roman"/>
          <w:highlight w:val="none"/>
        </w:rPr>
        <w:t>8</w:t>
      </w:r>
      <w:r>
        <w:rPr>
          <w:rFonts w:hint="eastAsia" w:ascii="Times New Roman" w:hAnsi="Times New Roman" w:cs="Times New Roman"/>
          <w:highlight w:val="none"/>
        </w:rPr>
        <w:t>﹞</w:t>
      </w:r>
      <w:r>
        <w:rPr>
          <w:rFonts w:hint="default" w:ascii="Times New Roman" w:hAnsi="Times New Roman" w:cs="Times New Roman"/>
          <w:highlight w:val="none"/>
        </w:rPr>
        <w:t>5</w:t>
      </w:r>
      <w:r>
        <w:rPr>
          <w:rFonts w:hint="eastAsia" w:ascii="Times New Roman" w:hAnsi="Times New Roman" w:cs="Times New Roman"/>
          <w:highlight w:val="none"/>
        </w:rPr>
        <w:t>号）</w:t>
      </w:r>
      <w:r>
        <w:rPr>
          <w:rFonts w:ascii="Times New Roman" w:hAnsi="Times New Roman" w:cs="Times New Roman"/>
          <w:highlight w:val="none"/>
        </w:rPr>
        <w:t>；</w:t>
      </w:r>
    </w:p>
    <w:p w14:paraId="796542CA">
      <w:pPr>
        <w:pStyle w:val="19"/>
        <w:keepNext w:val="0"/>
        <w:keepLines w:val="0"/>
        <w:pageBreakBefore w:val="0"/>
        <w:widowControl w:val="0"/>
        <w:numPr>
          <w:ilvl w:val="0"/>
          <w:numId w:val="4"/>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湖北省民政厅</w:t>
      </w:r>
      <w:r>
        <w:rPr>
          <w:rFonts w:hint="eastAsia" w:ascii="Times New Roman" w:hAnsi="Times New Roman" w:cs="Times New Roman"/>
          <w:highlight w:val="none"/>
          <w:lang w:eastAsia="zh-CN"/>
        </w:rPr>
        <w:t>、</w:t>
      </w:r>
      <w:r>
        <w:rPr>
          <w:rFonts w:hint="eastAsia" w:ascii="Times New Roman" w:hAnsi="Times New Roman" w:cs="Times New Roman"/>
          <w:highlight w:val="none"/>
          <w:lang w:val="en-US" w:eastAsia="zh-CN"/>
        </w:rPr>
        <w:t>湖北省发展和改革委员会等8部门联合下发的</w:t>
      </w:r>
      <w:r>
        <w:rPr>
          <w:rFonts w:ascii="Times New Roman" w:hAnsi="Times New Roman" w:cs="Times New Roman"/>
          <w:highlight w:val="none"/>
        </w:rPr>
        <w:t>《关于加强</w:t>
      </w:r>
      <w:r>
        <w:rPr>
          <w:rFonts w:hint="eastAsia" w:ascii="Times New Roman" w:hAnsi="Times New Roman" w:cs="Times New Roman"/>
          <w:highlight w:val="none"/>
        </w:rPr>
        <w:t>全省城乡公益性公墓建设管理的意见</w:t>
      </w:r>
      <w:r>
        <w:rPr>
          <w:rFonts w:ascii="Times New Roman" w:hAnsi="Times New Roman" w:cs="Times New Roman"/>
          <w:highlight w:val="none"/>
        </w:rPr>
        <w:t>》</w:t>
      </w:r>
      <w:r>
        <w:rPr>
          <w:rFonts w:hint="eastAsia" w:ascii="Times New Roman" w:hAnsi="Times New Roman" w:cs="Times New Roman"/>
          <w:highlight w:val="none"/>
        </w:rPr>
        <w:t>（</w:t>
      </w:r>
      <w:r>
        <w:rPr>
          <w:rFonts w:hint="eastAsia" w:ascii="Times New Roman" w:hAnsi="Times New Roman" w:cs="Times New Roman"/>
          <w:highlight w:val="none"/>
          <w:lang w:eastAsia="zh-CN"/>
        </w:rPr>
        <w:t>鄂</w:t>
      </w:r>
      <w:r>
        <w:rPr>
          <w:rFonts w:hint="eastAsia" w:ascii="Times New Roman" w:hAnsi="Times New Roman" w:cs="Times New Roman"/>
          <w:highlight w:val="none"/>
          <w:lang w:val="en-US" w:eastAsia="zh-CN"/>
        </w:rPr>
        <w:t>民政</w:t>
      </w:r>
      <w:r>
        <w:rPr>
          <w:rFonts w:hint="eastAsia" w:ascii="Times New Roman" w:hAnsi="Times New Roman" w:cs="Times New Roman"/>
          <w:highlight w:val="none"/>
        </w:rPr>
        <w:t>发﹝20</w:t>
      </w:r>
      <w:r>
        <w:rPr>
          <w:rFonts w:hint="eastAsia" w:ascii="Times New Roman" w:hAnsi="Times New Roman" w:cs="Times New Roman"/>
          <w:highlight w:val="none"/>
          <w:lang w:val="en-US" w:eastAsia="zh-CN"/>
        </w:rPr>
        <w:t>20</w:t>
      </w:r>
      <w:r>
        <w:rPr>
          <w:rFonts w:hint="eastAsia" w:ascii="Times New Roman" w:hAnsi="Times New Roman" w:cs="Times New Roman"/>
          <w:highlight w:val="none"/>
        </w:rPr>
        <w:t>﹞</w:t>
      </w:r>
      <w:r>
        <w:rPr>
          <w:rFonts w:hint="eastAsia" w:ascii="Times New Roman" w:hAnsi="Times New Roman" w:cs="Times New Roman"/>
          <w:highlight w:val="none"/>
          <w:lang w:val="en-US" w:eastAsia="zh-CN"/>
        </w:rPr>
        <w:t>29</w:t>
      </w:r>
      <w:r>
        <w:rPr>
          <w:rFonts w:hint="eastAsia" w:ascii="Times New Roman" w:hAnsi="Times New Roman" w:cs="Times New Roman"/>
          <w:highlight w:val="none"/>
        </w:rPr>
        <w:t>号）</w:t>
      </w:r>
      <w:r>
        <w:rPr>
          <w:rFonts w:ascii="Times New Roman" w:hAnsi="Times New Roman" w:cs="Times New Roman"/>
          <w:highlight w:val="none"/>
        </w:rPr>
        <w:t>；</w:t>
      </w:r>
    </w:p>
    <w:p w14:paraId="34E15FFF">
      <w:pPr>
        <w:pStyle w:val="19"/>
        <w:keepNext w:val="0"/>
        <w:keepLines w:val="0"/>
        <w:pageBreakBefore w:val="0"/>
        <w:widowControl w:val="0"/>
        <w:numPr>
          <w:ilvl w:val="0"/>
          <w:numId w:val="4"/>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rPr>
        <w:t>湖北省民政厅、湖北省发展和改革委员会等8部门联合关于印发</w:t>
      </w:r>
      <w:r>
        <w:rPr>
          <w:rFonts w:hint="eastAsia" w:ascii="Times New Roman" w:hAnsi="Times New Roman" w:cs="Times New Roman"/>
          <w:highlight w:val="none"/>
          <w:lang w:eastAsia="zh-CN"/>
        </w:rPr>
        <w:t>《</w:t>
      </w:r>
      <w:r>
        <w:rPr>
          <w:rFonts w:hint="eastAsia" w:ascii="Times New Roman" w:hAnsi="Times New Roman" w:cs="Times New Roman"/>
          <w:highlight w:val="none"/>
        </w:rPr>
        <w:t>全省安葬设施规划建设管理工作方案</w:t>
      </w:r>
      <w:r>
        <w:rPr>
          <w:rFonts w:hint="eastAsia" w:ascii="Times New Roman" w:hAnsi="Times New Roman" w:cs="Times New Roman"/>
          <w:highlight w:val="none"/>
          <w:lang w:eastAsia="zh-CN"/>
        </w:rPr>
        <w:t>》</w:t>
      </w:r>
      <w:r>
        <w:rPr>
          <w:rFonts w:hint="eastAsia" w:ascii="Times New Roman" w:hAnsi="Times New Roman" w:cs="Times New Roman"/>
          <w:highlight w:val="none"/>
        </w:rPr>
        <w:t>的通知（</w:t>
      </w:r>
      <w:r>
        <w:rPr>
          <w:rFonts w:hint="eastAsia" w:ascii="Times New Roman" w:hAnsi="Times New Roman" w:cs="Times New Roman"/>
          <w:highlight w:val="none"/>
          <w:lang w:eastAsia="zh-CN"/>
        </w:rPr>
        <w:t>鄂</w:t>
      </w:r>
      <w:r>
        <w:rPr>
          <w:rFonts w:hint="eastAsia" w:ascii="Times New Roman" w:hAnsi="Times New Roman" w:cs="Times New Roman"/>
          <w:highlight w:val="none"/>
          <w:lang w:val="en-US" w:eastAsia="zh-CN"/>
        </w:rPr>
        <w:t>民政</w:t>
      </w:r>
      <w:r>
        <w:rPr>
          <w:rFonts w:hint="eastAsia" w:ascii="Times New Roman" w:hAnsi="Times New Roman" w:cs="Times New Roman"/>
          <w:highlight w:val="none"/>
        </w:rPr>
        <w:t>发﹝20</w:t>
      </w:r>
      <w:r>
        <w:rPr>
          <w:rFonts w:hint="eastAsia" w:ascii="Times New Roman" w:hAnsi="Times New Roman" w:cs="Times New Roman"/>
          <w:highlight w:val="none"/>
          <w:lang w:val="en-US" w:eastAsia="zh-CN"/>
        </w:rPr>
        <w:t>25</w:t>
      </w:r>
      <w:r>
        <w:rPr>
          <w:rFonts w:hint="eastAsia" w:ascii="Times New Roman" w:hAnsi="Times New Roman" w:cs="Times New Roman"/>
          <w:highlight w:val="none"/>
        </w:rPr>
        <w:t>﹞</w:t>
      </w:r>
      <w:r>
        <w:rPr>
          <w:rFonts w:hint="eastAsia" w:ascii="Times New Roman" w:hAnsi="Times New Roman" w:cs="Times New Roman"/>
          <w:highlight w:val="none"/>
          <w:lang w:val="en-US" w:eastAsia="zh-CN"/>
        </w:rPr>
        <w:t>6</w:t>
      </w:r>
      <w:r>
        <w:rPr>
          <w:rFonts w:hint="eastAsia" w:ascii="Times New Roman" w:hAnsi="Times New Roman" w:cs="Times New Roman"/>
          <w:highlight w:val="none"/>
        </w:rPr>
        <w:t>号）</w:t>
      </w:r>
      <w:r>
        <w:rPr>
          <w:rFonts w:ascii="Times New Roman" w:hAnsi="Times New Roman" w:cs="Times New Roman"/>
          <w:highlight w:val="none"/>
        </w:rPr>
        <w:t>；</w:t>
      </w:r>
    </w:p>
    <w:p w14:paraId="5E766B75">
      <w:pPr>
        <w:pStyle w:val="19"/>
        <w:keepNext w:val="0"/>
        <w:keepLines w:val="0"/>
        <w:pageBreakBefore w:val="0"/>
        <w:widowControl w:val="0"/>
        <w:numPr>
          <w:ilvl w:val="0"/>
          <w:numId w:val="4"/>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rPr>
        <w:t>湖北省民政厅、湖北省自然资源厅、湖北省林业局等3部门《关于加强城乡公益性安葬设施建设用地保障的通知》（鄂民政发﹝202</w:t>
      </w:r>
      <w:r>
        <w:rPr>
          <w:rFonts w:hint="eastAsia" w:ascii="Times New Roman" w:hAnsi="Times New Roman" w:cs="Times New Roman"/>
          <w:highlight w:val="none"/>
          <w:lang w:val="en-US" w:eastAsia="zh-CN"/>
        </w:rPr>
        <w:t>2</w:t>
      </w:r>
      <w:r>
        <w:rPr>
          <w:rFonts w:hint="eastAsia" w:ascii="Times New Roman" w:hAnsi="Times New Roman" w:cs="Times New Roman"/>
          <w:highlight w:val="none"/>
        </w:rPr>
        <w:t>﹞</w:t>
      </w:r>
      <w:r>
        <w:rPr>
          <w:rFonts w:hint="eastAsia" w:ascii="Times New Roman" w:hAnsi="Times New Roman" w:cs="Times New Roman"/>
          <w:highlight w:val="none"/>
          <w:lang w:val="en-US" w:eastAsia="zh-CN"/>
        </w:rPr>
        <w:t>25</w:t>
      </w:r>
      <w:r>
        <w:rPr>
          <w:rFonts w:hint="eastAsia" w:ascii="Times New Roman" w:hAnsi="Times New Roman" w:cs="Times New Roman"/>
          <w:highlight w:val="none"/>
        </w:rPr>
        <w:t>号）</w:t>
      </w:r>
      <w:r>
        <w:rPr>
          <w:rFonts w:hint="eastAsia" w:ascii="Times New Roman" w:hAnsi="Times New Roman" w:cs="Times New Roman"/>
          <w:highlight w:val="none"/>
          <w:lang w:eastAsia="zh-CN"/>
        </w:rPr>
        <w:t>；</w:t>
      </w:r>
    </w:p>
    <w:p w14:paraId="6B2DE1D0">
      <w:pPr>
        <w:pStyle w:val="19"/>
        <w:keepNext w:val="0"/>
        <w:keepLines w:val="0"/>
        <w:pageBreakBefore w:val="0"/>
        <w:widowControl w:val="0"/>
        <w:numPr>
          <w:ilvl w:val="0"/>
          <w:numId w:val="4"/>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lang w:val="en-US" w:eastAsia="zh-CN"/>
        </w:rPr>
        <w:t>枝江市民政局、枝江市自然资源和规划局、枝江市农业农村局关于印发</w:t>
      </w:r>
      <w:r>
        <w:rPr>
          <w:rFonts w:ascii="Times New Roman" w:hAnsi="Times New Roman" w:cs="Times New Roman"/>
          <w:highlight w:val="none"/>
        </w:rPr>
        <w:t>《</w:t>
      </w:r>
      <w:r>
        <w:rPr>
          <w:rFonts w:hint="eastAsia" w:ascii="Times New Roman" w:hAnsi="Times New Roman" w:cs="Times New Roman"/>
          <w:highlight w:val="none"/>
        </w:rPr>
        <w:t>枝江市农村公益性公墓建设管理办法</w:t>
      </w:r>
      <w:r>
        <w:rPr>
          <w:rFonts w:ascii="Times New Roman" w:hAnsi="Times New Roman" w:cs="Times New Roman"/>
          <w:highlight w:val="none"/>
        </w:rPr>
        <w:t>》</w:t>
      </w:r>
      <w:r>
        <w:rPr>
          <w:rFonts w:hint="eastAsia" w:ascii="Times New Roman" w:hAnsi="Times New Roman" w:cs="Times New Roman"/>
          <w:highlight w:val="none"/>
          <w:lang w:val="en-US" w:eastAsia="zh-CN"/>
        </w:rPr>
        <w:t>的通知（枝民政发﹝2025﹞6号）</w:t>
      </w:r>
      <w:r>
        <w:rPr>
          <w:rFonts w:ascii="Times New Roman" w:hAnsi="Times New Roman" w:cs="Times New Roman"/>
          <w:highlight w:val="none"/>
        </w:rPr>
        <w:t>；</w:t>
      </w:r>
    </w:p>
    <w:p w14:paraId="1D980BF1">
      <w:pPr>
        <w:pStyle w:val="19"/>
        <w:keepNext w:val="0"/>
        <w:keepLines w:val="0"/>
        <w:pageBreakBefore w:val="0"/>
        <w:widowControl w:val="0"/>
        <w:numPr>
          <w:ilvl w:val="0"/>
          <w:numId w:val="4"/>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lang w:eastAsia="zh-CN"/>
        </w:rPr>
        <w:t>其他相关</w:t>
      </w:r>
      <w:r>
        <w:rPr>
          <w:rFonts w:ascii="Times New Roman" w:hAnsi="Times New Roman" w:cs="Times New Roman"/>
          <w:highlight w:val="none"/>
        </w:rPr>
        <w:t>文件。</w:t>
      </w:r>
    </w:p>
    <w:p w14:paraId="6D0EDFAF">
      <w:pPr>
        <w:pStyle w:val="21"/>
        <w:numPr>
          <w:ilvl w:val="0"/>
          <w:numId w:val="2"/>
        </w:numPr>
        <w:spacing w:before="156"/>
        <w:rPr>
          <w:rFonts w:ascii="Times New Roman" w:hAnsi="Times New Roman" w:cs="Times New Roman"/>
          <w:highlight w:val="none"/>
        </w:rPr>
      </w:pPr>
      <w:r>
        <w:rPr>
          <w:rFonts w:hint="eastAsia" w:ascii="Times New Roman" w:hAnsi="Times New Roman" w:cs="Times New Roman"/>
          <w:highlight w:val="none"/>
          <w:lang w:val="en-US" w:eastAsia="zh-CN"/>
        </w:rPr>
        <w:t>相关技术规范及标准</w:t>
      </w:r>
    </w:p>
    <w:p w14:paraId="5F6F4A55">
      <w:pPr>
        <w:pStyle w:val="19"/>
        <w:keepNext w:val="0"/>
        <w:keepLines w:val="0"/>
        <w:pageBreakBefore w:val="0"/>
        <w:widowControl w:val="0"/>
        <w:numPr>
          <w:ilvl w:val="0"/>
          <w:numId w:val="5"/>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lang w:val="en-US" w:eastAsia="zh-CN"/>
        </w:rPr>
        <w:t>《殡葬管理条例》（国务院令第 628 号，2012 修订）</w:t>
      </w:r>
    </w:p>
    <w:p w14:paraId="502B3960">
      <w:pPr>
        <w:pStyle w:val="19"/>
        <w:keepNext w:val="0"/>
        <w:keepLines w:val="0"/>
        <w:pageBreakBefore w:val="0"/>
        <w:widowControl w:val="0"/>
        <w:numPr>
          <w:ilvl w:val="0"/>
          <w:numId w:val="5"/>
        </w:numPr>
        <w:kinsoku/>
        <w:wordWrap/>
        <w:overflowPunct/>
        <w:topLinePunct w:val="0"/>
        <w:autoSpaceDE/>
        <w:autoSpaceDN/>
        <w:bidi w:val="0"/>
        <w:adjustRightInd/>
        <w:snapToGrid/>
        <w:spacing w:before="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《湖北省农村公益性公墓建设基本规范》（鄂民政规〔2011〕3号）</w:t>
      </w:r>
    </w:p>
    <w:p w14:paraId="0C2E9A26">
      <w:pPr>
        <w:pStyle w:val="19"/>
        <w:keepNext w:val="0"/>
        <w:keepLines w:val="0"/>
        <w:pageBreakBefore w:val="0"/>
        <w:widowControl w:val="0"/>
        <w:numPr>
          <w:ilvl w:val="0"/>
          <w:numId w:val="5"/>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lang w:eastAsia="zh-CN"/>
        </w:rPr>
        <w:t>《</w:t>
      </w:r>
      <w:r>
        <w:rPr>
          <w:rFonts w:hint="eastAsia" w:ascii="Times New Roman" w:hAnsi="Times New Roman" w:cs="Times New Roman"/>
          <w:highlight w:val="none"/>
        </w:rPr>
        <w:t>城乡公益性安葬设施建设与管理规范</w:t>
      </w:r>
      <w:r>
        <w:rPr>
          <w:rFonts w:hint="eastAsia" w:ascii="Times New Roman" w:hAnsi="Times New Roman" w:cs="Times New Roman"/>
          <w:highlight w:val="none"/>
          <w:lang w:eastAsia="zh-CN"/>
        </w:rPr>
        <w:t>》（</w:t>
      </w:r>
      <w:r>
        <w:rPr>
          <w:rFonts w:hint="eastAsia" w:ascii="Times New Roman" w:hAnsi="Times New Roman" w:cs="Times New Roman"/>
          <w:highlight w:val="none"/>
        </w:rPr>
        <w:t>DB42/T 1989—2023</w:t>
      </w:r>
      <w:r>
        <w:rPr>
          <w:rFonts w:hint="eastAsia" w:ascii="Times New Roman" w:hAnsi="Times New Roman" w:cs="Times New Roman"/>
          <w:highlight w:val="none"/>
          <w:lang w:eastAsia="zh-CN"/>
        </w:rPr>
        <w:t>）</w:t>
      </w:r>
    </w:p>
    <w:p w14:paraId="6EA8332F">
      <w:pPr>
        <w:pStyle w:val="19"/>
        <w:keepNext w:val="0"/>
        <w:keepLines w:val="0"/>
        <w:pageBreakBefore w:val="0"/>
        <w:widowControl w:val="0"/>
        <w:numPr>
          <w:ilvl w:val="0"/>
          <w:numId w:val="5"/>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w:t>
      </w:r>
      <w:r>
        <w:rPr>
          <w:rFonts w:hint="eastAsia" w:ascii="Times New Roman" w:hAnsi="Times New Roman" w:cs="Times New Roman"/>
          <w:highlight w:val="none"/>
        </w:rPr>
        <w:t>城市公益性公墓建设标准</w:t>
      </w:r>
      <w:r>
        <w:rPr>
          <w:rFonts w:ascii="Times New Roman" w:hAnsi="Times New Roman" w:cs="Times New Roman"/>
          <w:highlight w:val="none"/>
        </w:rPr>
        <w:t>》（</w:t>
      </w:r>
      <w:r>
        <w:rPr>
          <w:rFonts w:hint="eastAsia" w:ascii="Times New Roman" w:hAnsi="Times New Roman" w:cs="Times New Roman"/>
          <w:highlight w:val="none"/>
        </w:rPr>
        <w:t>建标 182</w:t>
      </w:r>
      <w:r>
        <w:rPr>
          <w:rFonts w:hint="eastAsia" w:ascii="Times New Roman" w:hAnsi="Times New Roman" w:cs="Times New Roman"/>
          <w:highlight w:val="none"/>
          <w:lang w:eastAsia="zh-CN"/>
        </w:rPr>
        <w:t>—</w:t>
      </w:r>
      <w:r>
        <w:rPr>
          <w:rFonts w:hint="eastAsia" w:ascii="Times New Roman" w:hAnsi="Times New Roman" w:cs="Times New Roman"/>
          <w:highlight w:val="none"/>
        </w:rPr>
        <w:t>2017</w:t>
      </w:r>
      <w:r>
        <w:rPr>
          <w:rFonts w:ascii="Times New Roman" w:hAnsi="Times New Roman" w:cs="Times New Roman"/>
          <w:highlight w:val="none"/>
        </w:rPr>
        <w:t>）；</w:t>
      </w:r>
    </w:p>
    <w:p w14:paraId="45C08098">
      <w:pPr>
        <w:pStyle w:val="19"/>
        <w:keepNext w:val="0"/>
        <w:keepLines w:val="0"/>
        <w:pageBreakBefore w:val="0"/>
        <w:widowControl w:val="0"/>
        <w:numPr>
          <w:ilvl w:val="0"/>
          <w:numId w:val="5"/>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w:t>
      </w:r>
      <w:r>
        <w:rPr>
          <w:rFonts w:hint="eastAsia" w:ascii="Times New Roman" w:hAnsi="Times New Roman" w:cs="Times New Roman"/>
          <w:highlight w:val="none"/>
        </w:rPr>
        <w:t>公墓和骨灰寄存建筑设计规范</w:t>
      </w:r>
      <w:r>
        <w:rPr>
          <w:rFonts w:ascii="Times New Roman" w:hAnsi="Times New Roman" w:cs="Times New Roman"/>
          <w:highlight w:val="none"/>
        </w:rPr>
        <w:t>》（</w:t>
      </w:r>
      <w:r>
        <w:rPr>
          <w:rFonts w:hint="eastAsia" w:ascii="Times New Roman" w:hAnsi="Times New Roman" w:cs="Times New Roman"/>
          <w:highlight w:val="none"/>
        </w:rPr>
        <w:t>JGJ/T397</w:t>
      </w:r>
      <w:r>
        <w:rPr>
          <w:rFonts w:hint="eastAsia" w:ascii="Times New Roman" w:hAnsi="Times New Roman" w:cs="Times New Roman"/>
          <w:highlight w:val="none"/>
          <w:lang w:eastAsia="zh-CN"/>
        </w:rPr>
        <w:t>—</w:t>
      </w:r>
      <w:r>
        <w:rPr>
          <w:rFonts w:hint="eastAsia" w:ascii="Times New Roman" w:hAnsi="Times New Roman" w:cs="Times New Roman"/>
          <w:highlight w:val="none"/>
        </w:rPr>
        <w:t>2016</w:t>
      </w:r>
      <w:r>
        <w:rPr>
          <w:rFonts w:ascii="Times New Roman" w:hAnsi="Times New Roman" w:cs="Times New Roman"/>
          <w:highlight w:val="none"/>
        </w:rPr>
        <w:t>）；</w:t>
      </w:r>
    </w:p>
    <w:p w14:paraId="05121E11">
      <w:pPr>
        <w:pStyle w:val="19"/>
        <w:keepNext w:val="0"/>
        <w:keepLines w:val="0"/>
        <w:pageBreakBefore w:val="0"/>
        <w:widowControl w:val="0"/>
        <w:numPr>
          <w:ilvl w:val="0"/>
          <w:numId w:val="5"/>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w:t>
      </w:r>
      <w:r>
        <w:rPr>
          <w:rFonts w:hint="eastAsia" w:ascii="Times New Roman" w:hAnsi="Times New Roman" w:cs="Times New Roman"/>
          <w:highlight w:val="none"/>
        </w:rPr>
        <w:t>殡葬术语</w:t>
      </w:r>
      <w:r>
        <w:rPr>
          <w:rFonts w:ascii="Times New Roman" w:hAnsi="Times New Roman" w:cs="Times New Roman"/>
          <w:highlight w:val="none"/>
        </w:rPr>
        <w:t>》（</w:t>
      </w:r>
      <w:r>
        <w:rPr>
          <w:rFonts w:hint="eastAsia" w:ascii="Times New Roman" w:hAnsi="Times New Roman" w:cs="Times New Roman"/>
          <w:highlight w:val="none"/>
        </w:rPr>
        <w:t>GB/T23287</w:t>
      </w:r>
      <w:r>
        <w:rPr>
          <w:rFonts w:hint="eastAsia" w:ascii="Times New Roman" w:hAnsi="Times New Roman" w:cs="Times New Roman"/>
          <w:highlight w:val="none"/>
          <w:lang w:eastAsia="zh-CN"/>
        </w:rPr>
        <w:t>—</w:t>
      </w:r>
      <w:r>
        <w:rPr>
          <w:rFonts w:hint="eastAsia" w:ascii="Times New Roman" w:hAnsi="Times New Roman" w:cs="Times New Roman"/>
          <w:highlight w:val="none"/>
        </w:rPr>
        <w:t>2009</w:t>
      </w:r>
      <w:r>
        <w:rPr>
          <w:rFonts w:ascii="Times New Roman" w:hAnsi="Times New Roman" w:cs="Times New Roman"/>
          <w:highlight w:val="none"/>
        </w:rPr>
        <w:t>）；</w:t>
      </w:r>
    </w:p>
    <w:p w14:paraId="2318134C">
      <w:pPr>
        <w:pStyle w:val="19"/>
        <w:keepNext w:val="0"/>
        <w:keepLines w:val="0"/>
        <w:pageBreakBefore w:val="0"/>
        <w:widowControl w:val="0"/>
        <w:numPr>
          <w:ilvl w:val="0"/>
          <w:numId w:val="5"/>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w:t>
      </w:r>
      <w:r>
        <w:rPr>
          <w:rFonts w:hint="eastAsia" w:ascii="Times New Roman" w:hAnsi="Times New Roman" w:cs="Times New Roman"/>
          <w:highlight w:val="none"/>
        </w:rPr>
        <w:t>殡仪馆建设标准</w:t>
      </w:r>
      <w:r>
        <w:rPr>
          <w:rFonts w:ascii="Times New Roman" w:hAnsi="Times New Roman" w:cs="Times New Roman"/>
          <w:highlight w:val="none"/>
        </w:rPr>
        <w:t>》（</w:t>
      </w:r>
      <w:r>
        <w:rPr>
          <w:rFonts w:hint="eastAsia" w:ascii="Times New Roman" w:hAnsi="Times New Roman" w:cs="Times New Roman"/>
          <w:highlight w:val="none"/>
        </w:rPr>
        <w:t>建标 181</w:t>
      </w:r>
      <w:r>
        <w:rPr>
          <w:rFonts w:hint="eastAsia" w:ascii="Times New Roman" w:hAnsi="Times New Roman" w:cs="Times New Roman"/>
          <w:highlight w:val="none"/>
          <w:lang w:eastAsia="zh-CN"/>
        </w:rPr>
        <w:t>—</w:t>
      </w:r>
      <w:r>
        <w:rPr>
          <w:rFonts w:hint="eastAsia" w:ascii="Times New Roman" w:hAnsi="Times New Roman" w:cs="Times New Roman"/>
          <w:highlight w:val="none"/>
        </w:rPr>
        <w:t>2017</w:t>
      </w:r>
      <w:r>
        <w:rPr>
          <w:rFonts w:ascii="Times New Roman" w:hAnsi="Times New Roman" w:cs="Times New Roman"/>
          <w:highlight w:val="none"/>
        </w:rPr>
        <w:t>）；</w:t>
      </w:r>
    </w:p>
    <w:p w14:paraId="08CC10C9">
      <w:pPr>
        <w:pStyle w:val="19"/>
        <w:keepNext w:val="0"/>
        <w:keepLines w:val="0"/>
        <w:pageBreakBefore w:val="0"/>
        <w:widowControl w:val="0"/>
        <w:numPr>
          <w:ilvl w:val="0"/>
          <w:numId w:val="5"/>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w:t>
      </w:r>
      <w:r>
        <w:rPr>
          <w:rFonts w:hint="eastAsia" w:ascii="Times New Roman" w:hAnsi="Times New Roman" w:cs="Times New Roman"/>
          <w:highlight w:val="none"/>
        </w:rPr>
        <w:t>湖北省农村公益性公墓建设基本规范</w:t>
      </w:r>
      <w:r>
        <w:rPr>
          <w:rFonts w:ascii="Times New Roman" w:hAnsi="Times New Roman" w:cs="Times New Roman"/>
          <w:highlight w:val="none"/>
        </w:rPr>
        <w:t>》</w:t>
      </w:r>
      <w:r>
        <w:rPr>
          <w:rFonts w:hint="eastAsia" w:ascii="Times New Roman" w:hAnsi="Times New Roman" w:cs="Times New Roman"/>
          <w:highlight w:val="none"/>
        </w:rPr>
        <w:t>（鄂民政规</w:t>
      </w:r>
      <w:r>
        <w:rPr>
          <w:rFonts w:ascii="Times New Roman" w:hAnsi="Times New Roman" w:cs="Times New Roman"/>
          <w:highlight w:val="none"/>
        </w:rPr>
        <w:t>〔201</w:t>
      </w:r>
      <w:r>
        <w:rPr>
          <w:rFonts w:hint="eastAsia" w:ascii="Times New Roman" w:hAnsi="Times New Roman" w:cs="Times New Roman"/>
          <w:highlight w:val="none"/>
          <w:lang w:val="en-US" w:eastAsia="zh-CN"/>
        </w:rPr>
        <w:t>1</w:t>
      </w:r>
      <w:r>
        <w:rPr>
          <w:rFonts w:ascii="Times New Roman" w:hAnsi="Times New Roman" w:cs="Times New Roman"/>
          <w:highlight w:val="none"/>
        </w:rPr>
        <w:t>〕</w:t>
      </w:r>
      <w:r>
        <w:rPr>
          <w:rFonts w:hint="eastAsia" w:ascii="Times New Roman" w:hAnsi="Times New Roman" w:cs="Times New Roman"/>
          <w:highlight w:val="none"/>
        </w:rPr>
        <w:t>3号）</w:t>
      </w:r>
      <w:r>
        <w:rPr>
          <w:rFonts w:ascii="Times New Roman" w:hAnsi="Times New Roman" w:cs="Times New Roman"/>
          <w:highlight w:val="none"/>
        </w:rPr>
        <w:t>；</w:t>
      </w:r>
    </w:p>
    <w:p w14:paraId="0B726FA3">
      <w:pPr>
        <w:pStyle w:val="19"/>
        <w:keepNext w:val="0"/>
        <w:keepLines w:val="0"/>
        <w:pageBreakBefore w:val="0"/>
        <w:widowControl w:val="0"/>
        <w:numPr>
          <w:ilvl w:val="0"/>
          <w:numId w:val="5"/>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rPr>
        <w:t>《湖北省产业用地目录和用地标准》（202</w:t>
      </w:r>
      <w:r>
        <w:rPr>
          <w:rFonts w:hint="eastAsia" w:ascii="Times New Roman" w:hAnsi="Times New Roman" w:cs="Times New Roman"/>
          <w:highlight w:val="none"/>
          <w:lang w:val="en-US" w:eastAsia="zh-CN"/>
        </w:rPr>
        <w:t>3</w:t>
      </w:r>
      <w:r>
        <w:rPr>
          <w:rFonts w:hint="eastAsia" w:ascii="Times New Roman" w:hAnsi="Times New Roman" w:cs="Times New Roman"/>
          <w:highlight w:val="none"/>
        </w:rPr>
        <w:t>年本）</w:t>
      </w:r>
    </w:p>
    <w:p w14:paraId="4B016C88">
      <w:pPr>
        <w:pStyle w:val="19"/>
        <w:keepNext w:val="0"/>
        <w:keepLines w:val="0"/>
        <w:pageBreakBefore w:val="0"/>
        <w:widowControl w:val="0"/>
        <w:numPr>
          <w:ilvl w:val="0"/>
          <w:numId w:val="5"/>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其他相关技术规范、标准。</w:t>
      </w:r>
    </w:p>
    <w:p w14:paraId="10AD7FB7">
      <w:pPr>
        <w:pStyle w:val="21"/>
        <w:numPr>
          <w:ilvl w:val="0"/>
          <w:numId w:val="2"/>
        </w:numPr>
        <w:spacing w:before="156"/>
        <w:rPr>
          <w:rFonts w:ascii="Times New Roman" w:hAnsi="Times New Roman" w:cs="Times New Roman"/>
          <w:highlight w:val="none"/>
        </w:rPr>
      </w:pPr>
      <w:r>
        <w:rPr>
          <w:rFonts w:ascii="Times New Roman" w:hAnsi="Times New Roman" w:cs="Times New Roman"/>
          <w:highlight w:val="none"/>
        </w:rPr>
        <w:t>相关规划</w:t>
      </w:r>
      <w:r>
        <w:rPr>
          <w:rFonts w:hint="eastAsia" w:ascii="Times New Roman" w:hAnsi="Times New Roman" w:cs="Times New Roman"/>
          <w:highlight w:val="none"/>
          <w:lang w:val="en-US" w:eastAsia="zh-CN"/>
        </w:rPr>
        <w:t>及其他资料</w:t>
      </w:r>
    </w:p>
    <w:p w14:paraId="070271BE">
      <w:pPr>
        <w:pStyle w:val="19"/>
        <w:keepNext w:val="0"/>
        <w:keepLines w:val="0"/>
        <w:pageBreakBefore w:val="0"/>
        <w:widowControl w:val="0"/>
        <w:numPr>
          <w:ilvl w:val="0"/>
          <w:numId w:val="6"/>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lang w:eastAsia="zh-CN"/>
        </w:rPr>
        <w:t>《</w:t>
      </w:r>
      <w:r>
        <w:rPr>
          <w:rFonts w:hint="eastAsia" w:ascii="Times New Roman" w:hAnsi="Times New Roman" w:cs="Times New Roman"/>
          <w:highlight w:val="none"/>
        </w:rPr>
        <w:t>湖北省城乡公益性安葬设施建设“十四五”规划</w:t>
      </w:r>
      <w:r>
        <w:rPr>
          <w:rFonts w:hint="eastAsia" w:ascii="Times New Roman" w:hAnsi="Times New Roman" w:cs="Times New Roman"/>
          <w:highlight w:val="none"/>
          <w:lang w:eastAsia="zh-CN"/>
        </w:rPr>
        <w:t>》</w:t>
      </w:r>
      <w:r>
        <w:rPr>
          <w:rFonts w:hint="eastAsia" w:ascii="Times New Roman" w:hAnsi="Times New Roman" w:cs="Times New Roman"/>
          <w:highlight w:val="none"/>
        </w:rPr>
        <w:t>（鄂民政发〔2021〕53号）</w:t>
      </w:r>
    </w:p>
    <w:p w14:paraId="6B094EF1">
      <w:pPr>
        <w:pStyle w:val="19"/>
        <w:keepNext w:val="0"/>
        <w:keepLines w:val="0"/>
        <w:pageBreakBefore w:val="0"/>
        <w:widowControl w:val="0"/>
        <w:numPr>
          <w:ilvl w:val="0"/>
          <w:numId w:val="6"/>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w:t>
      </w:r>
      <w:r>
        <w:rPr>
          <w:rFonts w:hint="eastAsia" w:ascii="Times New Roman" w:hAnsi="Times New Roman" w:cs="Times New Roman"/>
          <w:highlight w:val="none"/>
          <w:lang w:val="en-US" w:eastAsia="zh-CN"/>
        </w:rPr>
        <w:t>枝江市国土空间总体规划（2021—2035年）</w:t>
      </w:r>
      <w:r>
        <w:rPr>
          <w:rFonts w:ascii="Times New Roman" w:hAnsi="Times New Roman" w:cs="Times New Roman"/>
          <w:highlight w:val="none"/>
        </w:rPr>
        <w:t>》；</w:t>
      </w:r>
    </w:p>
    <w:p w14:paraId="5F266DFB">
      <w:pPr>
        <w:pStyle w:val="19"/>
        <w:keepNext w:val="0"/>
        <w:keepLines w:val="0"/>
        <w:pageBreakBefore w:val="0"/>
        <w:widowControl w:val="0"/>
        <w:numPr>
          <w:ilvl w:val="0"/>
          <w:numId w:val="6"/>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w:t>
      </w:r>
      <w:r>
        <w:rPr>
          <w:rFonts w:hint="eastAsia" w:ascii="Times New Roman" w:hAnsi="Times New Roman" w:cs="Times New Roman"/>
          <w:highlight w:val="none"/>
          <w:lang w:val="en-US" w:eastAsia="zh-CN"/>
        </w:rPr>
        <w:t>枝江市农村区域性公墓规划设计（2020—2030年）</w:t>
      </w:r>
      <w:r>
        <w:rPr>
          <w:rFonts w:ascii="Times New Roman" w:hAnsi="Times New Roman" w:cs="Times New Roman"/>
          <w:highlight w:val="none"/>
        </w:rPr>
        <w:t>》；</w:t>
      </w:r>
    </w:p>
    <w:p w14:paraId="50523CEA">
      <w:pPr>
        <w:pStyle w:val="19"/>
        <w:keepNext w:val="0"/>
        <w:keepLines w:val="0"/>
        <w:pageBreakBefore w:val="0"/>
        <w:widowControl w:val="0"/>
        <w:numPr>
          <w:ilvl w:val="0"/>
          <w:numId w:val="6"/>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lang w:val="en-US" w:eastAsia="zh-CN"/>
        </w:rPr>
        <w:t>枝江市各村村庄规划；</w:t>
      </w:r>
    </w:p>
    <w:p w14:paraId="5EF90F58">
      <w:pPr>
        <w:pStyle w:val="19"/>
        <w:keepNext w:val="0"/>
        <w:keepLines w:val="0"/>
        <w:pageBreakBefore w:val="0"/>
        <w:widowControl w:val="0"/>
        <w:numPr>
          <w:ilvl w:val="0"/>
          <w:numId w:val="6"/>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hint="eastAsia" w:ascii="Times New Roman" w:hAnsi="Times New Roman" w:cs="Times New Roman"/>
          <w:highlight w:val="none"/>
          <w:lang w:val="en-US" w:eastAsia="zh-CN"/>
        </w:rPr>
        <w:t>枝江市</w:t>
      </w:r>
      <w:r>
        <w:rPr>
          <w:rFonts w:hint="eastAsia" w:ascii="Times New Roman" w:hAnsi="Times New Roman" w:cs="Times New Roman"/>
          <w:highlight w:val="none"/>
        </w:rPr>
        <w:t>永久基本农田、生态保护红线、生态公益性、风景名胜区等数据；</w:t>
      </w:r>
    </w:p>
    <w:p w14:paraId="31C2B878">
      <w:pPr>
        <w:pStyle w:val="19"/>
        <w:keepNext w:val="0"/>
        <w:keepLines w:val="0"/>
        <w:pageBreakBefore w:val="0"/>
        <w:widowControl w:val="0"/>
        <w:numPr>
          <w:ilvl w:val="0"/>
          <w:numId w:val="6"/>
        </w:numPr>
        <w:kinsoku/>
        <w:wordWrap/>
        <w:overflowPunct/>
        <w:topLinePunct w:val="0"/>
        <w:autoSpaceDE/>
        <w:autoSpaceDN/>
        <w:bidi w:val="0"/>
        <w:adjustRightInd/>
        <w:snapToGrid/>
        <w:spacing w:before="0"/>
        <w:textAlignment w:val="auto"/>
        <w:rPr>
          <w:rFonts w:ascii="Times New Roman" w:hAnsi="Times New Roman" w:cs="Times New Roman"/>
          <w:highlight w:val="none"/>
        </w:rPr>
      </w:pPr>
      <w:r>
        <w:rPr>
          <w:rFonts w:ascii="Times New Roman" w:hAnsi="Times New Roman" w:cs="Times New Roman"/>
          <w:highlight w:val="none"/>
        </w:rPr>
        <w:t>其他相关规划等。</w:t>
      </w:r>
      <w:r>
        <w:rPr>
          <w:rFonts w:hint="eastAsia" w:ascii="Times New Roman" w:hAnsi="Times New Roman" w:cs="Times New Roman"/>
          <w:highlight w:val="none"/>
        </w:rPr>
        <w:t>他相关法律法规、标准规范和</w:t>
      </w:r>
      <w:r>
        <w:rPr>
          <w:rFonts w:hint="eastAsia" w:ascii="Times New Roman" w:hAnsi="Times New Roman" w:cs="Times New Roman"/>
          <w:highlight w:val="none"/>
          <w:lang w:eastAsia="zh-CN"/>
        </w:rPr>
        <w:t>布点规划</w:t>
      </w:r>
      <w:r>
        <w:rPr>
          <w:rFonts w:hint="eastAsia" w:ascii="Times New Roman" w:hAnsi="Times New Roman" w:cs="Times New Roman"/>
          <w:highlight w:val="none"/>
        </w:rPr>
        <w:t>，以及有关部门提供的相关图纸、资料等。</w:t>
      </w:r>
    </w:p>
    <w:p w14:paraId="2EAFD9ED">
      <w:pPr>
        <w:pStyle w:val="17"/>
        <w:numPr>
          <w:ilvl w:val="0"/>
          <w:numId w:val="1"/>
        </w:numPr>
        <w:spacing w:before="156"/>
        <w:ind w:left="0" w:leftChars="0" w:firstLine="0" w:firstLineChars="0"/>
        <w:outlineLvl w:val="1"/>
        <w:rPr>
          <w:rFonts w:ascii="Times New Roman" w:hAnsi="Times New Roman" w:cs="Times New Roman"/>
          <w:highlight w:val="none"/>
        </w:rPr>
      </w:pPr>
      <w:r>
        <w:rPr>
          <w:rFonts w:hint="eastAsia" w:ascii="Times New Roman" w:hAnsi="Times New Roman" w:cs="Times New Roman"/>
          <w:highlight w:val="none"/>
          <w:lang w:val="en-US" w:eastAsia="zh-CN"/>
        </w:rPr>
        <w:t xml:space="preserve"> </w:t>
      </w:r>
      <w:bookmarkStart w:id="5" w:name="_Toc1035"/>
      <w:r>
        <w:rPr>
          <w:rFonts w:hint="eastAsia" w:ascii="Times New Roman" w:hAnsi="Times New Roman" w:cs="Times New Roman"/>
          <w:highlight w:val="none"/>
          <w:lang w:val="en-US" w:eastAsia="zh-CN"/>
        </w:rPr>
        <w:t>规划目标</w:t>
      </w:r>
      <w:bookmarkEnd w:id="5"/>
    </w:p>
    <w:p w14:paraId="69FE983D">
      <w:pPr>
        <w:pStyle w:val="26"/>
        <w:spacing w:before="156"/>
        <w:rPr>
          <w:rFonts w:hint="eastAsia" w:ascii="Times New Roman" w:hAnsi="Times New Roman" w:eastAsia="仿宋" w:cs="Times New Roman"/>
          <w:b w:val="0"/>
          <w:bCs w:val="0"/>
          <w:kern w:val="2"/>
          <w:sz w:val="24"/>
          <w:szCs w:val="24"/>
          <w:highlight w:val="none"/>
          <w:u w:val="none"/>
          <w:lang w:val="en-US" w:eastAsia="zh-CN" w:bidi="ar-SA"/>
          <w14:ligatures w14:val="standardContextual"/>
        </w:rPr>
      </w:pP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构建绿色集约、服务健全、健康文明的现代殡葬设施服务体系；</w:t>
      </w:r>
    </w:p>
    <w:p w14:paraId="41A71018">
      <w:pPr>
        <w:pStyle w:val="26"/>
        <w:spacing w:before="156"/>
        <w:rPr>
          <w:rFonts w:hint="eastAsia" w:ascii="Times New Roman" w:hAnsi="Times New Roman" w:eastAsia="仿宋" w:cs="Times New Roman"/>
          <w:b w:val="0"/>
          <w:bCs w:val="0"/>
          <w:kern w:val="2"/>
          <w:sz w:val="24"/>
          <w:szCs w:val="24"/>
          <w:highlight w:val="none"/>
          <w:u w:val="none"/>
          <w:lang w:val="en-US" w:eastAsia="zh-CN" w:bidi="ar-SA"/>
          <w14:ligatures w14:val="standardContextual"/>
        </w:rPr>
      </w:pP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公益性公墓设施覆盖率达到100%，全</w:t>
      </w:r>
      <w:r>
        <w:rPr>
          <w:rFonts w:hint="eastAsia" w:ascii="Times New Roman" w:hAnsi="Times New Roman" w:cs="Times New Roman"/>
          <w:b w:val="0"/>
          <w:bCs w:val="0"/>
          <w:kern w:val="2"/>
          <w:sz w:val="24"/>
          <w:szCs w:val="24"/>
          <w:highlight w:val="none"/>
          <w:u w:val="none"/>
          <w:lang w:val="en-US" w:eastAsia="zh-CN" w:bidi="ar-SA"/>
          <w14:ligatures w14:val="standardContextual"/>
        </w:rPr>
        <w:t>市</w:t>
      </w: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无非法公墓和乱埋乱葬现象；</w:t>
      </w:r>
    </w:p>
    <w:p w14:paraId="78A3D8B9">
      <w:pPr>
        <w:pStyle w:val="26"/>
        <w:spacing w:before="156"/>
        <w:rPr>
          <w:rFonts w:hint="eastAsia" w:ascii="Times New Roman" w:hAnsi="Times New Roman" w:eastAsia="仿宋" w:cs="Times New Roman"/>
          <w:b w:val="0"/>
          <w:bCs w:val="0"/>
          <w:kern w:val="2"/>
          <w:sz w:val="24"/>
          <w:szCs w:val="24"/>
          <w:highlight w:val="none"/>
          <w:u w:val="none"/>
          <w:lang w:val="en-US" w:eastAsia="zh-CN" w:bidi="ar-SA"/>
          <w14:ligatures w14:val="standardContextual"/>
        </w:rPr>
      </w:pP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逐渐减少传统公墓，普及生态、节地葬法，加快立体式骨灰存放设施建设，新建公益性公墓节地生态安葬率</w:t>
      </w:r>
      <w:r>
        <w:rPr>
          <w:rFonts w:hint="eastAsia" w:ascii="Times New Roman" w:hAnsi="Times New Roman" w:cs="Times New Roman"/>
          <w:b w:val="0"/>
          <w:bCs w:val="0"/>
          <w:kern w:val="2"/>
          <w:sz w:val="24"/>
          <w:szCs w:val="24"/>
          <w:highlight w:val="none"/>
          <w:u w:val="none"/>
          <w:lang w:val="en-US" w:eastAsia="zh-CN" w:bidi="ar-SA"/>
          <w14:ligatures w14:val="standardContextual"/>
        </w:rPr>
        <w:t>100%</w:t>
      </w: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w:t>
      </w:r>
    </w:p>
    <w:p w14:paraId="2A8FD224">
      <w:pPr>
        <w:pStyle w:val="26"/>
        <w:spacing w:before="156"/>
        <w:rPr>
          <w:rFonts w:hint="eastAsia" w:ascii="Times New Roman" w:hAnsi="Times New Roman" w:eastAsia="仿宋" w:cs="Times New Roman"/>
          <w:b w:val="0"/>
          <w:bCs w:val="0"/>
          <w:kern w:val="2"/>
          <w:sz w:val="24"/>
          <w:szCs w:val="24"/>
          <w:highlight w:val="none"/>
          <w:u w:val="none"/>
          <w:lang w:val="en-US" w:eastAsia="zh-CN" w:bidi="ar-SA"/>
          <w14:ligatures w14:val="standardContextual"/>
        </w:rPr>
      </w:pP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适应城乡殡葬改革要求，建立完善的城乡殡仪服务网络，满足城乡居民文明治丧的需求；</w:t>
      </w:r>
    </w:p>
    <w:p w14:paraId="7D6AB306">
      <w:pPr>
        <w:pStyle w:val="26"/>
        <w:spacing w:before="156"/>
        <w:rPr>
          <w:rFonts w:hint="eastAsia" w:ascii="Times New Roman" w:hAnsi="Times New Roman" w:eastAsia="仿宋" w:cs="Times New Roman"/>
          <w:b w:val="0"/>
          <w:bCs w:val="0"/>
          <w:kern w:val="2"/>
          <w:sz w:val="24"/>
          <w:szCs w:val="24"/>
          <w:highlight w:val="none"/>
          <w:u w:val="none"/>
          <w:lang w:val="en-US" w:eastAsia="zh-CN" w:bidi="ar-SA"/>
          <w14:ligatures w14:val="standardContextual"/>
        </w:rPr>
      </w:pP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建立殡葬管理长效机制，实现民政与其他相关部门协同共管，完善</w:t>
      </w:r>
      <w:r>
        <w:rPr>
          <w:rFonts w:hint="eastAsia" w:ascii="Times New Roman" w:hAnsi="Times New Roman" w:cs="Times New Roman"/>
          <w:b w:val="0"/>
          <w:bCs w:val="0"/>
          <w:kern w:val="2"/>
          <w:sz w:val="24"/>
          <w:szCs w:val="24"/>
          <w:highlight w:val="none"/>
          <w:u w:val="none"/>
          <w:lang w:val="en-US" w:eastAsia="zh-CN" w:bidi="ar-SA"/>
          <w14:ligatures w14:val="standardContextual"/>
        </w:rPr>
        <w:t>县—</w:t>
      </w: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镇</w:t>
      </w:r>
      <w:r>
        <w:rPr>
          <w:rFonts w:hint="eastAsia" w:ascii="Times New Roman" w:hAnsi="Times New Roman" w:cs="Times New Roman"/>
          <w:b w:val="0"/>
          <w:bCs w:val="0"/>
          <w:kern w:val="2"/>
          <w:sz w:val="24"/>
          <w:szCs w:val="24"/>
          <w:highlight w:val="none"/>
          <w:u w:val="none"/>
          <w:lang w:val="en-US" w:eastAsia="zh-CN" w:bidi="ar-SA"/>
          <w14:ligatures w14:val="standardContextual"/>
        </w:rPr>
        <w:t>—</w:t>
      </w: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村三级殡葬管理体系，深入实施相关政策法规，形成规范的殡葬管理体系。</w:t>
      </w:r>
    </w:p>
    <w:p w14:paraId="3CA20ED9">
      <w:pPr>
        <w:rPr>
          <w:rFonts w:hint="eastAsia" w:ascii="Times New Roman" w:hAnsi="Times New Roman" w:eastAsia="仿宋" w:cs="Times New Roman"/>
          <w:b w:val="0"/>
          <w:bCs w:val="0"/>
          <w:kern w:val="2"/>
          <w:sz w:val="24"/>
          <w:szCs w:val="24"/>
          <w:highlight w:val="none"/>
          <w:u w:val="none"/>
          <w:lang w:val="en-US" w:eastAsia="zh-CN" w:bidi="ar-SA"/>
          <w14:ligatures w14:val="standardContextual"/>
        </w:rPr>
      </w:pP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br w:type="page"/>
      </w:r>
    </w:p>
    <w:p w14:paraId="0340D927">
      <w:pPr>
        <w:pStyle w:val="15"/>
        <w:ind w:firstLine="562"/>
        <w:outlineLvl w:val="0"/>
        <w:rPr>
          <w:rFonts w:hint="default" w:ascii="Times New Roman" w:hAnsi="Times New Roman" w:eastAsia="仿宋" w:cs="Times New Roman"/>
          <w:b w:val="0"/>
          <w:bCs w:val="0"/>
          <w:kern w:val="2"/>
          <w:sz w:val="24"/>
          <w:szCs w:val="24"/>
          <w:highlight w:val="none"/>
          <w:u w:val="none"/>
          <w:lang w:val="en-US" w:eastAsia="zh-CN" w:bidi="ar-SA"/>
          <w14:ligatures w14:val="standardContextual"/>
        </w:rPr>
      </w:pPr>
      <w:bookmarkStart w:id="6" w:name="_Toc24824"/>
      <w:r>
        <w:rPr>
          <w:rFonts w:ascii="Times New Roman" w:hAnsi="Times New Roman" w:cs="Times New Roman"/>
          <w:highlight w:val="none"/>
        </w:rPr>
        <w:t>第</w:t>
      </w:r>
      <w:r>
        <w:rPr>
          <w:rFonts w:hint="eastAsia" w:ascii="Times New Roman" w:hAnsi="Times New Roman" w:cs="Times New Roman"/>
          <w:highlight w:val="none"/>
          <w:lang w:val="en-US" w:eastAsia="zh-CN"/>
        </w:rPr>
        <w:t>二</w:t>
      </w:r>
      <w:r>
        <w:rPr>
          <w:rFonts w:ascii="Times New Roman" w:hAnsi="Times New Roman" w:cs="Times New Roman"/>
          <w:highlight w:val="none"/>
        </w:rPr>
        <w:t xml:space="preserve">章 </w:t>
      </w:r>
      <w:r>
        <w:rPr>
          <w:rFonts w:hint="eastAsia" w:ascii="Times New Roman" w:hAnsi="Times New Roman" w:cs="Times New Roman"/>
          <w:highlight w:val="none"/>
          <w:lang w:val="en-US" w:eastAsia="zh-CN"/>
        </w:rPr>
        <w:t>公益性公墓建设标准</w:t>
      </w:r>
      <w:bookmarkEnd w:id="6"/>
    </w:p>
    <w:p w14:paraId="18D69DFE">
      <w:pPr>
        <w:pStyle w:val="17"/>
        <w:numPr>
          <w:ilvl w:val="0"/>
          <w:numId w:val="1"/>
        </w:numPr>
        <w:spacing w:before="156"/>
        <w:ind w:left="0" w:leftChars="0" w:firstLine="0" w:firstLineChars="0"/>
        <w:outlineLvl w:val="1"/>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 xml:space="preserve"> </w:t>
      </w:r>
      <w:bookmarkStart w:id="7" w:name="_Toc21960"/>
      <w:r>
        <w:rPr>
          <w:rFonts w:hint="eastAsia" w:ascii="Times New Roman" w:hAnsi="Times New Roman" w:cs="Times New Roman"/>
          <w:highlight w:val="none"/>
          <w:lang w:val="en-US" w:eastAsia="zh-CN"/>
        </w:rPr>
        <w:t>公益性公墓建设基本规范</w:t>
      </w:r>
      <w:bookmarkEnd w:id="7"/>
    </w:p>
    <w:p w14:paraId="0DBB3C8C">
      <w:pPr>
        <w:pStyle w:val="21"/>
        <w:numPr>
          <w:ilvl w:val="0"/>
          <w:numId w:val="7"/>
        </w:numPr>
        <w:spacing w:before="156"/>
        <w:rPr>
          <w:rFonts w:hint="eastAsia" w:ascii="Times New Roman" w:hAnsi="Times New Roman" w:eastAsia="仿宋" w:cs="Times New Roman"/>
          <w:b/>
          <w:bCs/>
          <w:kern w:val="2"/>
          <w:sz w:val="24"/>
          <w:szCs w:val="24"/>
          <w:highlight w:val="none"/>
          <w:u w:val="none"/>
          <w:lang w:val="en-US" w:eastAsia="zh-CN" w:bidi="ar-SA"/>
          <w14:ligatures w14:val="standardContextual"/>
        </w:rPr>
      </w:pPr>
      <w:r>
        <w:rPr>
          <w:rFonts w:hint="eastAsia" w:ascii="Times New Roman" w:hAnsi="Times New Roman" w:eastAsia="仿宋" w:cs="Times New Roman"/>
          <w:b/>
          <w:bCs/>
          <w:kern w:val="2"/>
          <w:sz w:val="24"/>
          <w:szCs w:val="24"/>
          <w:highlight w:val="none"/>
          <w:u w:val="none"/>
          <w:lang w:val="en-US" w:eastAsia="zh-CN" w:bidi="ar-SA"/>
          <w14:ligatures w14:val="standardContextual"/>
        </w:rPr>
        <w:t>选址要求</w:t>
      </w:r>
    </w:p>
    <w:p w14:paraId="0A9A5761">
      <w:pPr>
        <w:pStyle w:val="26"/>
        <w:spacing w:before="156"/>
        <w:rPr>
          <w:rFonts w:hint="eastAsia" w:ascii="Times New Roman" w:hAnsi="Times New Roman" w:eastAsia="仿宋" w:cs="Times New Roman"/>
          <w:b w:val="0"/>
          <w:bCs w:val="0"/>
          <w:kern w:val="2"/>
          <w:sz w:val="24"/>
          <w:szCs w:val="24"/>
          <w:highlight w:val="none"/>
          <w:u w:val="none"/>
          <w:lang w:val="en-US" w:eastAsia="zh-CN" w:bidi="ar-SA"/>
          <w14:ligatures w14:val="standardContextual"/>
        </w:rPr>
      </w:pP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需符合新农村建设规划布局，优先选用荒山瘠地，严控占用耕地、天然林公益林；需符合风景名胜区、文物保护区、水源保护区、水库湖泊及引水渠堤坝周边，以及铁路、公路主干线等管控要求；</w:t>
      </w:r>
    </w:p>
    <w:p w14:paraId="7A505844">
      <w:pPr>
        <w:pStyle w:val="21"/>
        <w:numPr>
          <w:ilvl w:val="0"/>
          <w:numId w:val="7"/>
        </w:numPr>
        <w:spacing w:before="156"/>
        <w:rPr>
          <w:rFonts w:hint="eastAsia" w:ascii="Times New Roman" w:hAnsi="Times New Roman" w:eastAsia="仿宋" w:cs="Times New Roman"/>
          <w:b/>
          <w:bCs/>
          <w:kern w:val="2"/>
          <w:sz w:val="24"/>
          <w:szCs w:val="24"/>
          <w:highlight w:val="none"/>
          <w:u w:val="none"/>
          <w:lang w:val="en-US" w:eastAsia="zh-CN" w:bidi="ar-SA"/>
          <w14:ligatures w14:val="standardContextual"/>
        </w:rPr>
      </w:pPr>
      <w:r>
        <w:rPr>
          <w:rFonts w:hint="eastAsia" w:ascii="Times New Roman" w:hAnsi="Times New Roman" w:eastAsia="仿宋" w:cs="Times New Roman"/>
          <w:b/>
          <w:bCs/>
          <w:kern w:val="2"/>
          <w:sz w:val="24"/>
          <w:szCs w:val="24"/>
          <w:highlight w:val="none"/>
          <w:u w:val="none"/>
          <w:lang w:val="en-US" w:eastAsia="zh-CN" w:bidi="ar-SA"/>
          <w14:ligatures w14:val="standardContextual"/>
        </w:rPr>
        <w:t>规模与布局</w:t>
      </w:r>
    </w:p>
    <w:p w14:paraId="2A967E86">
      <w:pPr>
        <w:pStyle w:val="26"/>
        <w:spacing w:before="156"/>
        <w:rPr>
          <w:rFonts w:hint="eastAsia" w:ascii="Times New Roman" w:hAnsi="Times New Roman" w:eastAsia="仿宋" w:cs="Times New Roman"/>
          <w:b w:val="0"/>
          <w:bCs w:val="0"/>
          <w:kern w:val="2"/>
          <w:sz w:val="24"/>
          <w:szCs w:val="24"/>
          <w:highlight w:val="none"/>
          <w:u w:val="none"/>
          <w:lang w:val="en-US" w:eastAsia="zh-CN" w:bidi="ar-SA"/>
          <w14:ligatures w14:val="standardContextual"/>
        </w:rPr>
      </w:pP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农村公益性公墓建设要因地制宜，原则上以行政村为单位，1 个村设置 1个公益性公墓，一般规划用地不超过 10 亩。在人口较为集中、交通便利、土地较少的地区提倡以乡镇为单位或由若干相邻的行政村联建，一般规划用地不超过 20 亩。</w:t>
      </w:r>
    </w:p>
    <w:p w14:paraId="452FCDED">
      <w:pPr>
        <w:pStyle w:val="21"/>
        <w:numPr>
          <w:ilvl w:val="0"/>
          <w:numId w:val="7"/>
        </w:numPr>
        <w:spacing w:before="156"/>
        <w:rPr>
          <w:rFonts w:hint="eastAsia" w:ascii="Times New Roman" w:hAnsi="Times New Roman" w:eastAsia="仿宋" w:cs="Times New Roman"/>
          <w:b/>
          <w:bCs/>
          <w:kern w:val="2"/>
          <w:sz w:val="24"/>
          <w:szCs w:val="24"/>
          <w:highlight w:val="none"/>
          <w:u w:val="none"/>
          <w:lang w:val="en-US" w:eastAsia="zh-CN" w:bidi="ar-SA"/>
          <w14:ligatures w14:val="standardContextual"/>
        </w:rPr>
      </w:pPr>
      <w:r>
        <w:rPr>
          <w:rFonts w:hint="eastAsia" w:ascii="Times New Roman" w:hAnsi="Times New Roman" w:eastAsia="仿宋" w:cs="Times New Roman"/>
          <w:b/>
          <w:bCs/>
          <w:kern w:val="2"/>
          <w:sz w:val="24"/>
          <w:szCs w:val="24"/>
          <w:highlight w:val="none"/>
          <w:u w:val="none"/>
          <w:lang w:val="en-US" w:eastAsia="zh-CN" w:bidi="ar-SA"/>
          <w14:ligatures w14:val="standardContextual"/>
        </w:rPr>
        <w:t>节地与墓型规范</w:t>
      </w:r>
    </w:p>
    <w:p w14:paraId="09EFF31F">
      <w:pPr>
        <w:pStyle w:val="26"/>
        <w:spacing w:before="156"/>
        <w:rPr>
          <w:rFonts w:hint="eastAsia" w:ascii="Times New Roman" w:hAnsi="Times New Roman" w:eastAsia="仿宋" w:cs="Times New Roman"/>
          <w:b w:val="0"/>
          <w:bCs w:val="0"/>
          <w:kern w:val="2"/>
          <w:sz w:val="24"/>
          <w:szCs w:val="24"/>
          <w:highlight w:val="none"/>
          <w:u w:val="none"/>
          <w:lang w:val="en-US" w:eastAsia="zh-CN" w:bidi="ar-SA"/>
          <w14:ligatures w14:val="standardContextual"/>
        </w:rPr>
      </w:pP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坚持节约土地、文明节俭原则，严格落实墓穴(墓位)占地面积要求，按照“占地少、碑卧倒、绿化好、硬化少”要求，提高土地使用率，确保符合节地生态要求。倡导生态安葬在公益性安葬设施内积极推行树葬、花葬、草坪葬、骨灰撒散等生态葬法。</w:t>
      </w:r>
    </w:p>
    <w:p w14:paraId="5046A805">
      <w:pPr>
        <w:pStyle w:val="17"/>
        <w:numPr>
          <w:ilvl w:val="0"/>
          <w:numId w:val="1"/>
        </w:numPr>
        <w:spacing w:before="156"/>
        <w:ind w:left="0" w:leftChars="0" w:firstLine="0" w:firstLineChars="0"/>
        <w:outlineLvl w:val="1"/>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 xml:space="preserve"> </w:t>
      </w:r>
      <w:bookmarkStart w:id="8" w:name="_Toc31491"/>
      <w:r>
        <w:rPr>
          <w:rFonts w:hint="eastAsia" w:ascii="Times New Roman" w:hAnsi="Times New Roman" w:cs="Times New Roman"/>
          <w:highlight w:val="none"/>
          <w:lang w:val="en-US" w:eastAsia="zh-CN"/>
        </w:rPr>
        <w:t>墓区建设标准</w:t>
      </w:r>
      <w:bookmarkEnd w:id="8"/>
    </w:p>
    <w:p w14:paraId="7FAD27F6">
      <w:pPr>
        <w:pStyle w:val="21"/>
        <w:numPr>
          <w:ilvl w:val="0"/>
          <w:numId w:val="8"/>
        </w:numPr>
        <w:spacing w:before="156"/>
        <w:rPr>
          <w:rFonts w:hint="eastAsia" w:ascii="Times New Roman" w:hAnsi="Times New Roman" w:eastAsia="仿宋" w:cs="Times New Roman"/>
          <w:b/>
          <w:bCs/>
          <w:kern w:val="2"/>
          <w:sz w:val="24"/>
          <w:szCs w:val="24"/>
          <w:highlight w:val="none"/>
          <w:u w:val="none"/>
          <w:lang w:val="en-US" w:eastAsia="zh-CN" w:bidi="ar-SA"/>
          <w14:ligatures w14:val="standardContextual"/>
        </w:rPr>
      </w:pPr>
      <w:r>
        <w:rPr>
          <w:rFonts w:hint="eastAsia" w:ascii="Times New Roman" w:hAnsi="Times New Roman" w:eastAsia="仿宋" w:cs="Times New Roman"/>
          <w:b/>
          <w:bCs/>
          <w:kern w:val="2"/>
          <w:sz w:val="24"/>
          <w:szCs w:val="24"/>
          <w:highlight w:val="none"/>
          <w:u w:val="none"/>
          <w:lang w:val="en-US" w:eastAsia="zh-CN" w:bidi="ar-SA"/>
          <w14:ligatures w14:val="standardContextual"/>
        </w:rPr>
        <w:t>墓区面积测算​</w:t>
      </w:r>
    </w:p>
    <w:p w14:paraId="0D4C0B8C">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eastAsia="仿宋" w:cs="Times New Roman"/>
          <w:b w:val="0"/>
          <w:bCs w:val="0"/>
          <w:kern w:val="2"/>
          <w:sz w:val="24"/>
          <w:szCs w:val="24"/>
          <w:highlight w:val="none"/>
          <w:u w:val="none"/>
          <w:lang w:val="en-US" w:eastAsia="zh-CN" w:bidi="ar-SA"/>
          <w14:ligatures w14:val="standardContextual"/>
        </w:rPr>
      </w:pP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墓区总面积按 “安葬需求面积 + 公共服务区域面积” 综合确定。其中，安葬需求面积依据服务区域常住人口数量、人口年死亡率、30年服务周期及每亩安葬量测算，公式为：安葬需求面积 =（服务区域常住人口数量×人口年死亡率×30年）/ 每亩安葬量（每亩不低于300个）。配套服务设施结合墓区功能配套需求合理规划，保障祭扫、休息等基础服务空间，公共服务区域面积按照墓区总规模的30%计算。</w:t>
      </w:r>
    </w:p>
    <w:p w14:paraId="7C9783B8">
      <w:pPr>
        <w:pStyle w:val="21"/>
        <w:numPr>
          <w:ilvl w:val="0"/>
          <w:numId w:val="8"/>
        </w:numPr>
        <w:spacing w:before="156"/>
        <w:rPr>
          <w:rFonts w:hint="eastAsia" w:ascii="Times New Roman" w:hAnsi="Times New Roman" w:eastAsia="仿宋" w:cs="Times New Roman"/>
          <w:b/>
          <w:bCs/>
          <w:kern w:val="2"/>
          <w:sz w:val="24"/>
          <w:szCs w:val="24"/>
          <w:highlight w:val="none"/>
          <w:u w:val="none"/>
          <w:lang w:val="en-US" w:eastAsia="zh-CN" w:bidi="ar-SA"/>
          <w14:ligatures w14:val="standardContextual"/>
        </w:rPr>
      </w:pPr>
      <w:r>
        <w:rPr>
          <w:rFonts w:hint="eastAsia" w:ascii="Times New Roman" w:hAnsi="Times New Roman" w:eastAsia="仿宋" w:cs="Times New Roman"/>
          <w:b/>
          <w:bCs/>
          <w:kern w:val="2"/>
          <w:sz w:val="24"/>
          <w:szCs w:val="24"/>
          <w:highlight w:val="none"/>
          <w:u w:val="none"/>
          <w:lang w:val="en-US" w:eastAsia="zh-CN" w:bidi="ar-SA"/>
          <w14:ligatures w14:val="standardContextual"/>
        </w:rPr>
        <w:t>墓位占地面积控制​</w:t>
      </w:r>
    </w:p>
    <w:p w14:paraId="1E3EE831">
      <w:pPr>
        <w:pStyle w:val="26"/>
        <w:spacing w:before="156"/>
        <w:rPr>
          <w:rFonts w:hint="eastAsia" w:ascii="Times New Roman" w:hAnsi="Times New Roman" w:eastAsia="仿宋" w:cs="Times New Roman"/>
          <w:b w:val="0"/>
          <w:bCs w:val="0"/>
          <w:kern w:val="2"/>
          <w:sz w:val="24"/>
          <w:szCs w:val="24"/>
          <w:highlight w:val="none"/>
          <w:u w:val="none"/>
          <w:lang w:val="en-US" w:eastAsia="zh-CN" w:bidi="ar-SA"/>
          <w14:ligatures w14:val="standardContextual"/>
        </w:rPr>
      </w:pP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骨灰安葬墓位：单人墓位（含墓穴）占地面积不得超过0.5平方米，合葬墓位占地面积不得超过0.8平方米，骨灰堂安葬：按照用地0.1-0.5平方米/格计算。</w:t>
      </w:r>
    </w:p>
    <w:p w14:paraId="43CEC365">
      <w:pPr>
        <w:pStyle w:val="26"/>
        <w:spacing w:before="156"/>
        <w:rPr>
          <w:rFonts w:hint="eastAsia" w:ascii="Times New Roman" w:hAnsi="Times New Roman" w:eastAsia="仿宋" w:cs="Times New Roman"/>
          <w:b w:val="0"/>
          <w:bCs w:val="0"/>
          <w:kern w:val="2"/>
          <w:sz w:val="24"/>
          <w:szCs w:val="24"/>
          <w:highlight w:val="none"/>
          <w:u w:val="none"/>
          <w:lang w:val="en-US" w:eastAsia="zh-CN" w:bidi="ar-SA"/>
          <w14:ligatures w14:val="standardContextual"/>
        </w:rPr>
      </w:pPr>
      <w:r>
        <w:rPr>
          <w:rFonts w:hint="eastAsia" w:ascii="Times New Roman" w:hAnsi="Times New Roman" w:eastAsia="仿宋" w:cs="Times New Roman"/>
          <w:b w:val="0"/>
          <w:bCs w:val="0"/>
          <w:kern w:val="2"/>
          <w:sz w:val="24"/>
          <w:szCs w:val="24"/>
          <w:highlight w:val="none"/>
          <w:u w:val="none"/>
          <w:lang w:val="en-US" w:eastAsia="zh-CN" w:bidi="ar-SA"/>
          <w14:ligatures w14:val="standardContextual"/>
        </w:rPr>
        <w:t>土葬区遗体安葬墓位：单人墓占地面积不得超过4平方米，双人合葬墓占地面积不得超过6平方米；墓碑设置不得超出墓位占地范围，且墓碑面积不超过0.4平方米。</w:t>
      </w:r>
    </w:p>
    <w:p w14:paraId="232FB588">
      <w:pPr>
        <w:rPr>
          <w:rFonts w:ascii="Times New Roman" w:hAnsi="Times New Roman" w:eastAsia="仿宋" w:cs="Times New Roman"/>
          <w:sz w:val="24"/>
          <w:highlight w:val="none"/>
        </w:rPr>
      </w:pPr>
      <w:r>
        <w:rPr>
          <w:rFonts w:ascii="Times New Roman" w:hAnsi="Times New Roman" w:eastAsia="仿宋" w:cs="Times New Roman"/>
          <w:sz w:val="24"/>
          <w:highlight w:val="none"/>
        </w:rPr>
        <w:br w:type="page"/>
      </w:r>
    </w:p>
    <w:p w14:paraId="577D2628">
      <w:pPr>
        <w:pStyle w:val="15"/>
        <w:ind w:firstLine="562"/>
        <w:outlineLvl w:val="0"/>
        <w:rPr>
          <w:rFonts w:hint="default" w:ascii="Times New Roman" w:hAnsi="Times New Roman" w:eastAsia="仿宋" w:cs="Times New Roman"/>
          <w:highlight w:val="none"/>
          <w:lang w:val="en-US" w:eastAsia="zh-CN"/>
        </w:rPr>
      </w:pPr>
      <w:bookmarkStart w:id="9" w:name="_Toc19712"/>
      <w:r>
        <w:rPr>
          <w:rFonts w:ascii="Times New Roman" w:hAnsi="Times New Roman" w:cs="Times New Roman"/>
          <w:highlight w:val="none"/>
        </w:rPr>
        <w:t>第</w:t>
      </w:r>
      <w:r>
        <w:rPr>
          <w:rFonts w:hint="eastAsia" w:ascii="Times New Roman" w:hAnsi="Times New Roman" w:cs="Times New Roman"/>
          <w:highlight w:val="none"/>
          <w:lang w:val="en-US" w:eastAsia="zh-CN"/>
        </w:rPr>
        <w:t>三</w:t>
      </w:r>
      <w:r>
        <w:rPr>
          <w:rFonts w:ascii="Times New Roman" w:hAnsi="Times New Roman" w:cs="Times New Roman"/>
          <w:highlight w:val="none"/>
        </w:rPr>
        <w:t xml:space="preserve">章 </w:t>
      </w:r>
      <w:r>
        <w:rPr>
          <w:rFonts w:hint="eastAsia" w:ascii="Times New Roman" w:hAnsi="Times New Roman" w:cs="Times New Roman"/>
          <w:highlight w:val="none"/>
          <w:lang w:val="en-US" w:eastAsia="zh-CN"/>
        </w:rPr>
        <w:t>规划公墓需求预测</w:t>
      </w:r>
      <w:bookmarkEnd w:id="9"/>
    </w:p>
    <w:p w14:paraId="0ECF8230">
      <w:pPr>
        <w:pStyle w:val="17"/>
        <w:numPr>
          <w:ilvl w:val="0"/>
          <w:numId w:val="1"/>
        </w:numPr>
        <w:spacing w:before="156"/>
        <w:ind w:left="0" w:leftChars="0" w:firstLine="0" w:firstLineChars="0"/>
        <w:outlineLvl w:val="1"/>
        <w:rPr>
          <w:rFonts w:ascii="Times New Roman" w:hAnsi="Times New Roman" w:cs="Times New Roman"/>
          <w:highlight w:val="none"/>
        </w:rPr>
      </w:pPr>
      <w:r>
        <w:rPr>
          <w:rFonts w:hint="eastAsia" w:ascii="Times New Roman" w:hAnsi="Times New Roman" w:cs="Times New Roman"/>
          <w:highlight w:val="none"/>
          <w:lang w:val="en-US" w:eastAsia="zh-CN"/>
        </w:rPr>
        <w:t xml:space="preserve"> </w:t>
      </w:r>
      <w:bookmarkStart w:id="10" w:name="_Toc27630"/>
      <w:r>
        <w:rPr>
          <w:rFonts w:hint="eastAsia" w:ascii="Times New Roman" w:hAnsi="Times New Roman" w:cs="Times New Roman"/>
          <w:highlight w:val="none"/>
          <w:lang w:val="en-US" w:eastAsia="zh-CN"/>
        </w:rPr>
        <w:t>预测规则</w:t>
      </w:r>
      <w:bookmarkEnd w:id="10"/>
    </w:p>
    <w:p w14:paraId="38E80580">
      <w:pPr>
        <w:pStyle w:val="21"/>
        <w:numPr>
          <w:ilvl w:val="0"/>
          <w:numId w:val="9"/>
        </w:numPr>
        <w:spacing w:before="156"/>
        <w:rPr>
          <w:rFonts w:hint="eastAsia" w:ascii="Times New Roman" w:hAnsi="Times New Roman" w:cs="Times New Roman"/>
          <w:highlight w:val="none"/>
        </w:rPr>
      </w:pPr>
      <w:r>
        <w:rPr>
          <w:rFonts w:hint="eastAsia" w:ascii="Times New Roman" w:hAnsi="Times New Roman" w:cs="Times New Roman"/>
          <w:highlight w:val="none"/>
          <w:lang w:val="en-US" w:eastAsia="zh-CN"/>
        </w:rPr>
        <w:t>未来常住人口预测</w:t>
      </w:r>
    </w:p>
    <w:p w14:paraId="3AD9F9C1">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根据枝江市人口统计资料计算，按照4.4‰的人口增长率，计算每一年的常住人口。</w:t>
      </w:r>
    </w:p>
    <w:p w14:paraId="23A4E124">
      <w:pPr>
        <w:pStyle w:val="21"/>
        <w:numPr>
          <w:ilvl w:val="0"/>
          <w:numId w:val="9"/>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未来死亡人口预测</w:t>
      </w:r>
    </w:p>
    <w:p w14:paraId="54027C07">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根据枝江市统计年鉴，以7.5‰的年平均死亡率计算使用周期内死亡人口数量。</w:t>
      </w:r>
    </w:p>
    <w:p w14:paraId="7CE15C81">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 xml:space="preserve"> </w:t>
      </w:r>
      <w:bookmarkStart w:id="11" w:name="_Toc672"/>
      <w:r>
        <w:rPr>
          <w:rFonts w:hint="eastAsia" w:ascii="Times New Roman" w:hAnsi="Times New Roman" w:cs="Times New Roman"/>
          <w:highlight w:val="none"/>
          <w:lang w:val="en-US" w:eastAsia="zh-CN"/>
        </w:rPr>
        <w:t>死亡人口预测</w:t>
      </w:r>
      <w:bookmarkEnd w:id="11"/>
    </w:p>
    <w:p w14:paraId="2419C550">
      <w:pPr>
        <w:pStyle w:val="19"/>
        <w:bidi w:val="0"/>
        <w:rPr>
          <w:rFonts w:hint="default"/>
          <w:lang w:val="en-US" w:eastAsia="zh-CN"/>
        </w:rPr>
      </w:pPr>
      <w:r>
        <w:rPr>
          <w:rFonts w:hint="eastAsia"/>
          <w:lang w:val="en-US" w:eastAsia="zh-CN"/>
        </w:rPr>
        <w:t>根据</w:t>
      </w:r>
      <w:r>
        <w:rPr>
          <w:rFonts w:hint="default"/>
          <w:lang w:val="en-US" w:eastAsia="zh-CN"/>
        </w:rPr>
        <w:t>《关于加强全省城乡公益性公墓建设管理的意见》第</w:t>
      </w:r>
      <w:r>
        <w:rPr>
          <w:rFonts w:hint="eastAsia"/>
          <w:lang w:val="en-US" w:eastAsia="zh-CN"/>
        </w:rPr>
        <w:t>四</w:t>
      </w:r>
      <w:r>
        <w:rPr>
          <w:rFonts w:hint="default"/>
          <w:lang w:val="en-US" w:eastAsia="zh-CN"/>
        </w:rPr>
        <w:t>条的规定，以30年使用周期测算使用量。则</w:t>
      </w:r>
      <w:r>
        <w:rPr>
          <w:rFonts w:hint="eastAsia"/>
          <w:lang w:val="en-US" w:eastAsia="zh-CN"/>
        </w:rPr>
        <w:t>墓区面积应</w:t>
      </w:r>
      <w:r>
        <w:rPr>
          <w:rFonts w:hint="default"/>
          <w:lang w:val="en-US" w:eastAsia="zh-CN"/>
        </w:rPr>
        <w:t>远景展望至205</w:t>
      </w:r>
      <w:r>
        <w:rPr>
          <w:rFonts w:hint="eastAsia"/>
          <w:lang w:val="en-US" w:eastAsia="zh-CN"/>
        </w:rPr>
        <w:t>5</w:t>
      </w:r>
      <w:r>
        <w:rPr>
          <w:rFonts w:hint="default"/>
          <w:lang w:val="en-US" w:eastAsia="zh-CN"/>
        </w:rPr>
        <w:t>年。</w:t>
      </w:r>
    </w:p>
    <w:p w14:paraId="16049D22">
      <w:pPr>
        <w:pStyle w:val="21"/>
        <w:numPr>
          <w:ilvl w:val="0"/>
          <w:numId w:val="10"/>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马家店街道人口预测</w:t>
      </w:r>
    </w:p>
    <w:p w14:paraId="693DAEFE">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马家店街道2024年末常住人口共92182人，预测至2035年常住人口为96320人，预测至2035年马家店街道累计死亡人口约为7069人，至远景2055年累计死亡人口约为21206人。</w:t>
      </w:r>
    </w:p>
    <w:p w14:paraId="1D51BA5D">
      <w:pPr>
        <w:pStyle w:val="21"/>
        <w:numPr>
          <w:ilvl w:val="0"/>
          <w:numId w:val="10"/>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安福寺镇人口预测</w:t>
      </w:r>
    </w:p>
    <w:p w14:paraId="5C22A449">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安福寺镇2024年末常住人口共44811人，预测至2035年常住人口为46823人，预测至2035年安福寺镇累计死亡人口约为3436人，至远景2055年累计死亡人口约为10309人。</w:t>
      </w:r>
    </w:p>
    <w:p w14:paraId="37FB439B">
      <w:pPr>
        <w:pStyle w:val="21"/>
        <w:numPr>
          <w:ilvl w:val="0"/>
          <w:numId w:val="10"/>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顾家店镇人口预测</w:t>
      </w:r>
    </w:p>
    <w:p w14:paraId="49214334">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顾家店镇2024年末常住人口共22493人，预测至2035年常住人口为23502人，预测至2035年顾家店镇累计死亡人口约1725人，至远景2055年累计死亡人口约为5174人。</w:t>
      </w:r>
    </w:p>
    <w:p w14:paraId="3495ADAE">
      <w:pPr>
        <w:pStyle w:val="21"/>
        <w:numPr>
          <w:ilvl w:val="0"/>
          <w:numId w:val="10"/>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董市镇人口预测</w:t>
      </w:r>
    </w:p>
    <w:p w14:paraId="5652B7C2">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董市镇2024年末常住人口共48057人，预测至2035年常住人口为50214人，预测至2035年董市镇累计死亡人口约为3685人，至远景2055年累计死亡人口约为11055人。</w:t>
      </w:r>
    </w:p>
    <w:p w14:paraId="14E2678C">
      <w:pPr>
        <w:pStyle w:val="21"/>
        <w:numPr>
          <w:ilvl w:val="0"/>
          <w:numId w:val="10"/>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仙女镇人口预测</w:t>
      </w:r>
    </w:p>
    <w:p w14:paraId="55AD05DC">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仙女镇2024年末常住人口共30978人，预测至2035年常住人口为32368人，预测至2035年仙女镇累计死亡人口约为2375人，至远景2055年累计死亡人口约为7126人。</w:t>
      </w:r>
    </w:p>
    <w:p w14:paraId="2909B934">
      <w:pPr>
        <w:pStyle w:val="21"/>
        <w:numPr>
          <w:ilvl w:val="0"/>
          <w:numId w:val="10"/>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问安镇人口预测</w:t>
      </w:r>
    </w:p>
    <w:p w14:paraId="53EB7FB9">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问安镇2024年末常住人口共41476人，预测至2035年常住人口为43337人，预测至2035年问安镇累计死亡人口约为3180人，至远景2055年累计死亡人口约为9541人。</w:t>
      </w:r>
    </w:p>
    <w:p w14:paraId="612C1F2B">
      <w:pPr>
        <w:pStyle w:val="21"/>
        <w:numPr>
          <w:ilvl w:val="0"/>
          <w:numId w:val="10"/>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七星台镇人口预测</w:t>
      </w:r>
    </w:p>
    <w:p w14:paraId="303E157C">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七星台镇2024年末常住人口共40631人，预测至2035年常住人口为42455人，预测至2035年七星台镇累计死亡人口约为3116人，至远景2055年累计死亡人口约为9347人。</w:t>
      </w:r>
    </w:p>
    <w:p w14:paraId="32628D1B">
      <w:pPr>
        <w:pStyle w:val="21"/>
        <w:numPr>
          <w:ilvl w:val="0"/>
          <w:numId w:val="10"/>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百里洲镇人口预测</w:t>
      </w:r>
    </w:p>
    <w:p w14:paraId="5F10EF93">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百里洲镇2024年末常住人口共70760人，预测至2035年常住人口为73936人，预测至2035年百里洲镇累计死亡人口约为5426人，至远景2055年累计死亡人口约为16278人。</w:t>
      </w:r>
    </w:p>
    <w:p w14:paraId="7BCDD557">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p>
    <w:p w14:paraId="27F06027">
      <w:pPr>
        <w:pStyle w:val="19"/>
        <w:keepNext w:val="0"/>
        <w:keepLines w:val="0"/>
        <w:pageBreakBefore w:val="0"/>
        <w:widowControl w:val="0"/>
        <w:kinsoku/>
        <w:wordWrap/>
        <w:overflowPunct/>
        <w:topLinePunct w:val="0"/>
        <w:autoSpaceDE/>
        <w:autoSpaceDN/>
        <w:bidi w:val="0"/>
        <w:adjustRightInd/>
        <w:snapToGrid/>
        <w:spacing w:before="0"/>
        <w:ind w:left="0" w:leftChars="0" w:firstLine="0" w:firstLineChars="0"/>
        <w:jc w:val="center"/>
        <w:textAlignment w:val="auto"/>
        <w:rPr>
          <w:rFonts w:hint="default" w:ascii="Times New Roman" w:hAnsi="Times New Roman" w:cs="Times New Roman"/>
          <w:b/>
          <w:bCs/>
          <w:highlight w:val="none"/>
          <w:lang w:val="en-US" w:eastAsia="zh-CN"/>
        </w:rPr>
      </w:pPr>
      <w:r>
        <w:rPr>
          <w:rFonts w:hint="eastAsia" w:ascii="Times New Roman" w:hAnsi="Times New Roman" w:cs="Times New Roman"/>
          <w:b/>
          <w:bCs/>
          <w:highlight w:val="none"/>
          <w:lang w:val="en-US" w:eastAsia="zh-CN"/>
        </w:rPr>
        <w:t xml:space="preserve">表3-1 </w:t>
      </w:r>
      <w:r>
        <w:rPr>
          <w:rFonts w:hint="default" w:ascii="Times New Roman" w:hAnsi="Times New Roman" w:cs="Times New Roman"/>
          <w:b/>
          <w:bCs/>
          <w:highlight w:val="none"/>
          <w:lang w:val="en-US" w:eastAsia="zh-CN"/>
        </w:rPr>
        <w:t>规划期内各</w:t>
      </w:r>
      <w:r>
        <w:rPr>
          <w:rFonts w:hint="eastAsia" w:ascii="Times New Roman" w:hAnsi="Times New Roman" w:cs="Times New Roman"/>
          <w:b/>
          <w:bCs/>
          <w:highlight w:val="none"/>
          <w:lang w:val="en-US" w:eastAsia="zh-CN"/>
        </w:rPr>
        <w:t>街道、</w:t>
      </w:r>
      <w:r>
        <w:rPr>
          <w:rFonts w:hint="default" w:ascii="Times New Roman" w:hAnsi="Times New Roman" w:cs="Times New Roman"/>
          <w:b/>
          <w:bCs/>
          <w:highlight w:val="none"/>
          <w:lang w:val="en-US" w:eastAsia="zh-CN"/>
        </w:rPr>
        <w:t>镇死亡人口估算表</w:t>
      </w:r>
    </w:p>
    <w:tbl>
      <w:tblPr>
        <w:tblStyle w:val="1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37"/>
        <w:gridCol w:w="1483"/>
        <w:gridCol w:w="1567"/>
        <w:gridCol w:w="1895"/>
        <w:gridCol w:w="2723"/>
        <w:gridCol w:w="2724"/>
      </w:tblGrid>
      <w:tr w14:paraId="4DD760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blHeader/>
        </w:trPr>
        <w:tc>
          <w:tcPr>
            <w:tcW w:w="2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76B01">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序号</w:t>
            </w:r>
          </w:p>
        </w:tc>
        <w:tc>
          <w:tcPr>
            <w:tcW w:w="6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07602">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街道/镇</w:t>
            </w:r>
          </w:p>
        </w:tc>
        <w:tc>
          <w:tcPr>
            <w:tcW w:w="7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1624E">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2025年常住人口（人）</w:t>
            </w:r>
          </w:p>
        </w:tc>
        <w:tc>
          <w:tcPr>
            <w:tcW w:w="8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FD2C8">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预测2035年常住人口（人）</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FB879">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远期2035年累计新增死亡人口（人）</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F472F">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远景2055年累计新增死亡人口（人）</w:t>
            </w:r>
          </w:p>
        </w:tc>
      </w:tr>
      <w:tr w14:paraId="7B35FE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B2071">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14:ligatures w14:val="standardContextual"/>
              </w:rPr>
              <w:t>1</w:t>
            </w:r>
          </w:p>
        </w:tc>
        <w:tc>
          <w:tcPr>
            <w:tcW w:w="6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C7974">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14:ligatures w14:val="standardContextual"/>
              </w:rPr>
              <w:t>马家店街道</w:t>
            </w:r>
          </w:p>
        </w:tc>
        <w:tc>
          <w:tcPr>
            <w:tcW w:w="7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2E1DC">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14:ligatures w14:val="standardContextual"/>
              </w:rPr>
              <w:t>92182</w:t>
            </w:r>
          </w:p>
        </w:tc>
        <w:tc>
          <w:tcPr>
            <w:tcW w:w="8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56573">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96320</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691A0">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7069</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55A28">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21206</w:t>
            </w:r>
          </w:p>
        </w:tc>
      </w:tr>
      <w:tr w14:paraId="54C93E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A011B">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14:ligatures w14:val="standardContextual"/>
              </w:rPr>
              <w:t>2</w:t>
            </w:r>
          </w:p>
        </w:tc>
        <w:tc>
          <w:tcPr>
            <w:tcW w:w="6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61E6B">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安福寺镇</w:t>
            </w:r>
          </w:p>
        </w:tc>
        <w:tc>
          <w:tcPr>
            <w:tcW w:w="7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3F259">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44811</w:t>
            </w:r>
          </w:p>
        </w:tc>
        <w:tc>
          <w:tcPr>
            <w:tcW w:w="8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0C775">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46823</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9F7F2">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3436</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C3634">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10309</w:t>
            </w:r>
          </w:p>
        </w:tc>
      </w:tr>
      <w:tr w14:paraId="564B15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B17A9">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14:ligatures w14:val="standardContextual"/>
              </w:rPr>
              <w:t>3</w:t>
            </w:r>
          </w:p>
        </w:tc>
        <w:tc>
          <w:tcPr>
            <w:tcW w:w="6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2AD13">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顾家店镇</w:t>
            </w:r>
          </w:p>
        </w:tc>
        <w:tc>
          <w:tcPr>
            <w:tcW w:w="7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7DCB6">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22493</w:t>
            </w:r>
          </w:p>
        </w:tc>
        <w:tc>
          <w:tcPr>
            <w:tcW w:w="8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E735B">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23502</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21365">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1725</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AB810">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5174</w:t>
            </w:r>
          </w:p>
        </w:tc>
      </w:tr>
      <w:tr w14:paraId="2CE482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1025F">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14:ligatures w14:val="standardContextual"/>
              </w:rPr>
              <w:t>4</w:t>
            </w:r>
          </w:p>
        </w:tc>
        <w:tc>
          <w:tcPr>
            <w:tcW w:w="6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68C50">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董市镇</w:t>
            </w:r>
          </w:p>
        </w:tc>
        <w:tc>
          <w:tcPr>
            <w:tcW w:w="7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7E00C">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48057</w:t>
            </w:r>
          </w:p>
        </w:tc>
        <w:tc>
          <w:tcPr>
            <w:tcW w:w="8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8D7C9">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50214</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34518">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3685</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5F43D">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11055</w:t>
            </w:r>
          </w:p>
        </w:tc>
      </w:tr>
      <w:tr w14:paraId="64E271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10D14">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14:ligatures w14:val="standardContextual"/>
              </w:rPr>
              <w:t>5</w:t>
            </w:r>
          </w:p>
        </w:tc>
        <w:tc>
          <w:tcPr>
            <w:tcW w:w="6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EAB94">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仙女镇</w:t>
            </w:r>
          </w:p>
        </w:tc>
        <w:tc>
          <w:tcPr>
            <w:tcW w:w="7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C5785">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30978</w:t>
            </w:r>
          </w:p>
        </w:tc>
        <w:tc>
          <w:tcPr>
            <w:tcW w:w="8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BE043">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32368</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92776">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2375</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77AFD">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7126</w:t>
            </w:r>
          </w:p>
        </w:tc>
      </w:tr>
      <w:tr w14:paraId="4B4235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222B4">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sz w:val="24"/>
                <w:szCs w:val="24"/>
                <w:u w:val="none"/>
                <w:lang w:val="en-US"/>
              </w:rPr>
            </w:pPr>
            <w:r>
              <w:rPr>
                <w:rFonts w:hint="eastAsia" w:ascii="仿宋" w:hAnsi="仿宋" w:eastAsia="仿宋" w:cs="仿宋"/>
                <w:i w:val="0"/>
                <w:iCs w:val="0"/>
                <w:color w:val="000000"/>
                <w:kern w:val="0"/>
                <w:sz w:val="24"/>
                <w:szCs w:val="24"/>
                <w:u w:val="none"/>
                <w:lang w:val="en-US" w:eastAsia="zh-CN" w:bidi="ar"/>
                <w14:ligatures w14:val="standardContextual"/>
              </w:rPr>
              <w:t>6</w:t>
            </w:r>
          </w:p>
        </w:tc>
        <w:tc>
          <w:tcPr>
            <w:tcW w:w="6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A5FB5">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问安镇</w:t>
            </w:r>
          </w:p>
        </w:tc>
        <w:tc>
          <w:tcPr>
            <w:tcW w:w="7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DA06E">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41476</w:t>
            </w:r>
          </w:p>
        </w:tc>
        <w:tc>
          <w:tcPr>
            <w:tcW w:w="8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C46C2">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43337</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B0480">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3180</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B3572">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9541</w:t>
            </w:r>
          </w:p>
        </w:tc>
      </w:tr>
      <w:tr w14:paraId="7E3C49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650C5">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sz w:val="24"/>
                <w:szCs w:val="24"/>
                <w:u w:val="none"/>
                <w:lang w:val="en-US" w:eastAsia="zh-CN"/>
              </w:rPr>
            </w:pPr>
            <w:r>
              <w:rPr>
                <w:rFonts w:hint="eastAsia" w:ascii="仿宋" w:hAnsi="仿宋" w:eastAsia="仿宋" w:cs="仿宋"/>
                <w:i w:val="0"/>
                <w:iCs w:val="0"/>
                <w:color w:val="000000"/>
                <w:sz w:val="24"/>
                <w:szCs w:val="24"/>
                <w:u w:val="none"/>
                <w:lang w:val="en-US" w:eastAsia="zh-CN"/>
              </w:rPr>
              <w:t>7</w:t>
            </w:r>
          </w:p>
        </w:tc>
        <w:tc>
          <w:tcPr>
            <w:tcW w:w="6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FF3D9">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七星台镇</w:t>
            </w:r>
          </w:p>
        </w:tc>
        <w:tc>
          <w:tcPr>
            <w:tcW w:w="7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B019D">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40631</w:t>
            </w:r>
          </w:p>
        </w:tc>
        <w:tc>
          <w:tcPr>
            <w:tcW w:w="8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ED8B6">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42455</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96AC8">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3116</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C0D8A">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9347</w:t>
            </w:r>
          </w:p>
        </w:tc>
      </w:tr>
      <w:tr w14:paraId="0F2C4A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050FB">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sz w:val="24"/>
                <w:szCs w:val="24"/>
                <w:u w:val="none"/>
                <w:lang w:val="en-US" w:eastAsia="zh-CN"/>
              </w:rPr>
            </w:pPr>
            <w:r>
              <w:rPr>
                <w:rFonts w:hint="eastAsia" w:ascii="仿宋" w:hAnsi="仿宋" w:eastAsia="仿宋" w:cs="仿宋"/>
                <w:i w:val="0"/>
                <w:iCs w:val="0"/>
                <w:color w:val="000000"/>
                <w:sz w:val="24"/>
                <w:szCs w:val="24"/>
                <w:u w:val="none"/>
                <w:lang w:val="en-US" w:eastAsia="zh-CN"/>
              </w:rPr>
              <w:t>8</w:t>
            </w:r>
          </w:p>
        </w:tc>
        <w:tc>
          <w:tcPr>
            <w:tcW w:w="6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625B9">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百里洲镇</w:t>
            </w:r>
          </w:p>
        </w:tc>
        <w:tc>
          <w:tcPr>
            <w:tcW w:w="7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538F7">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70760</w:t>
            </w:r>
          </w:p>
        </w:tc>
        <w:tc>
          <w:tcPr>
            <w:tcW w:w="8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24B31">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73936</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45A93">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5426</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075A0">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16278</w:t>
            </w:r>
          </w:p>
        </w:tc>
      </w:tr>
    </w:tbl>
    <w:p w14:paraId="3823EC6E">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p>
    <w:p w14:paraId="4F649048">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 xml:space="preserve"> </w:t>
      </w:r>
      <w:bookmarkStart w:id="12" w:name="_Toc3465"/>
      <w:r>
        <w:rPr>
          <w:rFonts w:hint="eastAsia" w:ascii="Times New Roman" w:hAnsi="Times New Roman" w:cs="Times New Roman"/>
          <w:highlight w:val="none"/>
          <w:lang w:val="en-US" w:eastAsia="zh-CN"/>
        </w:rPr>
        <w:t>需求总量预测</w:t>
      </w:r>
      <w:bookmarkEnd w:id="12"/>
    </w:p>
    <w:p w14:paraId="24D9E556">
      <w:pPr>
        <w:pStyle w:val="21"/>
        <w:numPr>
          <w:ilvl w:val="0"/>
          <w:numId w:val="11"/>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规划期内新增死亡人口所需规模</w:t>
      </w:r>
    </w:p>
    <w:p w14:paraId="12D5F696">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根据关于印发《枝江市农村公益性公墓建设管理办法》的通知（枝民政发﹝2025﹞6号）第七条规定：每亩建设墓穴不低于300个，同时结合枝江市各乡镇的实际情况，最终确定出枝江市公益性公墓每亩安葬量为300个。再依据规划期内累计新增死亡人口可计算出市域范围内2025—2035年死亡人口所需墓位建设规模。</w:t>
      </w:r>
    </w:p>
    <w:p w14:paraId="55703DB1">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预计至2035年，全市累计死亡人口约为30013人，按照100%的入葬率，预计需墓位30013个；远景至2055年，预计需墓位90038个。</w:t>
      </w:r>
    </w:p>
    <w:p w14:paraId="35550382">
      <w:pPr>
        <w:pStyle w:val="21"/>
        <w:numPr>
          <w:ilvl w:val="0"/>
          <w:numId w:val="11"/>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墓穴搬迁所需规模</w:t>
      </w:r>
    </w:p>
    <w:p w14:paraId="009A2A63">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因发展需要，市域内需进行一定规模的建设，综合统计市域内因建设需搬迁或将废弃的集中埋葬点整治进行整体搬迁的数据，枝江市域内需搬迁的墓穴数约991个。</w:t>
      </w:r>
    </w:p>
    <w:p w14:paraId="38F73FE5">
      <w:pPr>
        <w:pStyle w:val="21"/>
        <w:numPr>
          <w:ilvl w:val="0"/>
          <w:numId w:val="11"/>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不可预见量</w:t>
      </w:r>
    </w:p>
    <w:p w14:paraId="6018CB87">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规划期内因一些未可预知事件会产生一定数量的墓地需求量，不可预见量按照基本需求量的5%计算。预计至2035年，全市不可预见需求量约为1501个；则30年使用期限内全市不可预见需求量约为4502个。</w:t>
      </w:r>
    </w:p>
    <w:p w14:paraId="78A87DE3">
      <w:pPr>
        <w:pStyle w:val="21"/>
        <w:numPr>
          <w:ilvl w:val="0"/>
          <w:numId w:val="11"/>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现状公墓剩余容量</w:t>
      </w:r>
    </w:p>
    <w:p w14:paraId="1C7262B6">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根据各村现状公墓调研情况进行计算，截止至2025年枝江市现状各县级、村级公墓剩余容量总数为42055个。</w:t>
      </w:r>
    </w:p>
    <w:p w14:paraId="43792886">
      <w:pPr>
        <w:pStyle w:val="21"/>
        <w:numPr>
          <w:ilvl w:val="0"/>
          <w:numId w:val="11"/>
        </w:numPr>
        <w:spacing w:before="156"/>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公墓总需求</w:t>
      </w:r>
    </w:p>
    <w:p w14:paraId="0E2F17F2">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default" w:ascii="Times New Roman" w:hAnsi="Times New Roman" w:cs="Times New Roman"/>
          <w:highlight w:val="none"/>
          <w:lang w:val="en-US" w:eastAsia="zh-CN"/>
        </w:rPr>
        <w:t>综上所述，结合规划期内新增死亡人口数、因建设或其他原因产生的需求量和5%不可预见量，现状公墓剩余总容量基本可满足至2035年枝江市公墓墓位需求，同时考虑以30年为使用周期测算，可得至2055年需规划总墓位数</w:t>
      </w:r>
      <w:r>
        <w:rPr>
          <w:rFonts w:hint="eastAsia" w:ascii="Times New Roman" w:hAnsi="Times New Roman" w:cs="Times New Roman"/>
          <w:highlight w:val="none"/>
          <w:lang w:val="en-US" w:eastAsia="zh-CN"/>
        </w:rPr>
        <w:t>53476</w:t>
      </w:r>
      <w:r>
        <w:rPr>
          <w:rFonts w:hint="default" w:ascii="Times New Roman" w:hAnsi="Times New Roman" w:cs="Times New Roman"/>
          <w:highlight w:val="none"/>
          <w:lang w:val="en-US" w:eastAsia="zh-CN"/>
        </w:rPr>
        <w:t>个。</w:t>
      </w:r>
    </w:p>
    <w:p w14:paraId="467EE333">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 xml:space="preserve"> </w:t>
      </w:r>
      <w:bookmarkStart w:id="13" w:name="_Toc17286"/>
      <w:r>
        <w:rPr>
          <w:rFonts w:hint="eastAsia" w:ascii="Times New Roman" w:hAnsi="Times New Roman" w:cs="Times New Roman"/>
          <w:highlight w:val="none"/>
          <w:lang w:val="en-US" w:eastAsia="zh-CN"/>
        </w:rPr>
        <w:t>用地规模</w:t>
      </w:r>
      <w:bookmarkEnd w:id="13"/>
    </w:p>
    <w:p w14:paraId="5D9CECC9">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预计30年使用期限内全市需规划总墓位数</w:t>
      </w:r>
      <w:r>
        <w:rPr>
          <w:rFonts w:hint="eastAsia" w:ascii="Times New Roman" w:hAnsi="Times New Roman" w:cs="Times New Roman"/>
          <w:highlight w:val="none"/>
          <w:lang w:val="en-US" w:eastAsia="zh-CN"/>
        </w:rPr>
        <w:t>53476</w:t>
      </w:r>
      <w:r>
        <w:rPr>
          <w:rFonts w:hint="default" w:ascii="Times New Roman" w:hAnsi="Times New Roman" w:cs="Times New Roman"/>
          <w:highlight w:val="none"/>
          <w:lang w:val="en-US" w:eastAsia="zh-CN"/>
        </w:rPr>
        <w:t>个，按照公益性公墓墓区每亩300个墓位计算，规划新增公益性公墓墓区用地总规模为178.25亩，叠加30%配套设施面积，则规划新增公益性公墓用地总规模为254.65亩。</w:t>
      </w:r>
    </w:p>
    <w:p w14:paraId="150A2E57">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p>
    <w:p w14:paraId="1A4488B2">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p>
    <w:p w14:paraId="1372A0FA">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p>
    <w:p w14:paraId="42426B07">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p>
    <w:p w14:paraId="4B50D2F1">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p>
    <w:p w14:paraId="58C272B6">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p>
    <w:p w14:paraId="16110769">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p>
    <w:p w14:paraId="5B1141BC">
      <w:pPr>
        <w:pStyle w:val="19"/>
        <w:keepNext w:val="0"/>
        <w:keepLines w:val="0"/>
        <w:pageBreakBefore w:val="0"/>
        <w:widowControl w:val="0"/>
        <w:kinsoku/>
        <w:wordWrap/>
        <w:overflowPunct/>
        <w:topLinePunct w:val="0"/>
        <w:autoSpaceDE/>
        <w:autoSpaceDN/>
        <w:bidi w:val="0"/>
        <w:adjustRightInd/>
        <w:snapToGrid/>
        <w:spacing w:before="0"/>
        <w:ind w:left="0" w:leftChars="0" w:firstLine="0" w:firstLineChars="0"/>
        <w:jc w:val="center"/>
        <w:textAlignment w:val="auto"/>
        <w:rPr>
          <w:rFonts w:hint="default" w:ascii="Times New Roman" w:hAnsi="Times New Roman" w:cs="Times New Roman"/>
          <w:b/>
          <w:bCs/>
          <w:highlight w:val="none"/>
          <w:lang w:val="en-US" w:eastAsia="zh-CN"/>
        </w:rPr>
      </w:pPr>
      <w:r>
        <w:rPr>
          <w:rFonts w:hint="eastAsia" w:ascii="Times New Roman" w:hAnsi="Times New Roman" w:cs="Times New Roman"/>
          <w:b/>
          <w:bCs/>
          <w:highlight w:val="none"/>
          <w:lang w:val="en-US" w:eastAsia="zh-CN"/>
        </w:rPr>
        <w:t xml:space="preserve">表3-2 </w:t>
      </w:r>
      <w:r>
        <w:rPr>
          <w:rFonts w:hint="default" w:ascii="Times New Roman" w:hAnsi="Times New Roman" w:cs="Times New Roman"/>
          <w:b/>
          <w:bCs/>
          <w:highlight w:val="none"/>
          <w:lang w:val="en-US" w:eastAsia="zh-CN"/>
        </w:rPr>
        <w:t>各乡镇公益性公墓</w:t>
      </w:r>
      <w:r>
        <w:rPr>
          <w:rFonts w:hint="eastAsia" w:ascii="Times New Roman" w:hAnsi="Times New Roman" w:cs="Times New Roman"/>
          <w:b/>
          <w:bCs/>
          <w:highlight w:val="none"/>
          <w:lang w:val="en-US" w:eastAsia="zh-CN"/>
        </w:rPr>
        <w:t>需求量及用地规模</w:t>
      </w:r>
      <w:r>
        <w:rPr>
          <w:rFonts w:hint="default" w:ascii="Times New Roman" w:hAnsi="Times New Roman" w:cs="Times New Roman"/>
          <w:b/>
          <w:bCs/>
          <w:highlight w:val="none"/>
          <w:lang w:val="en-US" w:eastAsia="zh-CN"/>
        </w:rPr>
        <w:t>预测表</w:t>
      </w:r>
    </w:p>
    <w:tbl>
      <w:tblPr>
        <w:tblStyle w:val="11"/>
        <w:tblW w:w="493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20"/>
        <w:gridCol w:w="904"/>
        <w:gridCol w:w="865"/>
        <w:gridCol w:w="901"/>
        <w:gridCol w:w="720"/>
        <w:gridCol w:w="997"/>
        <w:gridCol w:w="1113"/>
        <w:gridCol w:w="1205"/>
        <w:gridCol w:w="1237"/>
        <w:gridCol w:w="805"/>
        <w:gridCol w:w="930"/>
      </w:tblGrid>
      <w:tr w14:paraId="132E29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15" w:hRule="atLeast"/>
        </w:trPr>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701101">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行政区</w:t>
            </w:r>
          </w:p>
        </w:tc>
        <w:tc>
          <w:tcPr>
            <w:tcW w:w="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BF8F06">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备案管理公墓剩余容量（个）</w:t>
            </w:r>
          </w:p>
        </w:tc>
        <w:tc>
          <w:tcPr>
            <w:tcW w:w="4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A70DFF">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封闭管理公墓剩余容量（个）</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CF111A">
            <w:pPr>
              <w:keepNext w:val="0"/>
              <w:keepLines w:val="0"/>
              <w:widowControl/>
              <w:suppressLineNumbers w:val="0"/>
              <w:ind w:left="0" w:leftChars="0" w:firstLine="0" w:firstLineChars="0"/>
              <w:jc w:val="center"/>
              <w:textAlignment w:val="center"/>
              <w:rPr>
                <w:rFonts w:hint="default"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剩余总容量（个）</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AD544A">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迁坟数量（个）</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BC92B1">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预测2035年累计新增死亡人口（人）</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D91491">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预测到2035年的5%不可预见量（个）</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568FA">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2"/>
                <w:sz w:val="24"/>
                <w:szCs w:val="24"/>
                <w:u w:val="none"/>
                <w:lang w:val="en-US" w:eastAsia="zh-CN" w:bidi="ar-SA"/>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预测30年使用期限累计新增死亡人口（人）</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84DE5E">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预测30年使用期限的5%不可预见量（个）</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C1D605">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墓位需求总量（个）</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60C572">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公墓折合面积（亩）</w:t>
            </w:r>
          </w:p>
        </w:tc>
      </w:tr>
      <w:tr w14:paraId="3E986B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1" w:hRule="atLeast"/>
        </w:trPr>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E5FAE9">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14:ligatures w14:val="standardContextual"/>
              </w:rPr>
              <w:t>马家店街道</w:t>
            </w:r>
          </w:p>
        </w:tc>
        <w:tc>
          <w:tcPr>
            <w:tcW w:w="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A23C6A">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14705</w:t>
            </w:r>
          </w:p>
        </w:tc>
        <w:tc>
          <w:tcPr>
            <w:tcW w:w="4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807F45">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875</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D97177">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15580 </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DE30CF">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640 </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F48D17">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7069 </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9A3104">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353 </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E2BA1B">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21206 </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858054">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1060 </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757332">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7327 </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939E64">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34.89 </w:t>
            </w:r>
          </w:p>
        </w:tc>
      </w:tr>
      <w:tr w14:paraId="647587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95" w:hRule="atLeast"/>
        </w:trPr>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57FD31">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安福寺镇</w:t>
            </w:r>
          </w:p>
        </w:tc>
        <w:tc>
          <w:tcPr>
            <w:tcW w:w="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537D88">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3147</w:t>
            </w:r>
          </w:p>
        </w:tc>
        <w:tc>
          <w:tcPr>
            <w:tcW w:w="4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8C0E96">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1349</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ED4B4F">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4496 </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E2781C">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0 </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1B331D">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3436 </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BC6CCE">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172 </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0AE4A5">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10309 </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A42599">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515 </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1A618A">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6328 </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D74298">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30.13 </w:t>
            </w:r>
          </w:p>
        </w:tc>
      </w:tr>
      <w:tr w14:paraId="2E735F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95" w:hRule="atLeast"/>
        </w:trPr>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1AEDE6">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顾家店镇</w:t>
            </w:r>
          </w:p>
        </w:tc>
        <w:tc>
          <w:tcPr>
            <w:tcW w:w="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BD53E9">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2610</w:t>
            </w:r>
          </w:p>
        </w:tc>
        <w:tc>
          <w:tcPr>
            <w:tcW w:w="4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ABC0F1">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545</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ADBEEB">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3155 </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64D51A">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290 </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61AF21">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1725 </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842CB6">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86 </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B3860F">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5174 </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3F5430">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259 </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655F1B">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2568 </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6234D">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12.23 </w:t>
            </w:r>
          </w:p>
        </w:tc>
      </w:tr>
      <w:tr w14:paraId="6A9022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1" w:hRule="atLeast"/>
        </w:trPr>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FBCB40">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董市镇</w:t>
            </w:r>
          </w:p>
        </w:tc>
        <w:tc>
          <w:tcPr>
            <w:tcW w:w="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159201">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6109</w:t>
            </w:r>
          </w:p>
        </w:tc>
        <w:tc>
          <w:tcPr>
            <w:tcW w:w="4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1D6EF3">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839</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9F8CEF">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6948 </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C83F9">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0 </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BD1BAE">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3685 </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67E94C">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184 </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FBCC55">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11055 </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DEA2BD">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553 </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A6A89C">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4660 </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D92482">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22.19 </w:t>
            </w:r>
          </w:p>
        </w:tc>
      </w:tr>
      <w:tr w14:paraId="611379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1" w:hRule="atLeast"/>
        </w:trPr>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68A99A">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仙女镇</w:t>
            </w:r>
          </w:p>
        </w:tc>
        <w:tc>
          <w:tcPr>
            <w:tcW w:w="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BC195C">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2057</w:t>
            </w:r>
          </w:p>
        </w:tc>
        <w:tc>
          <w:tcPr>
            <w:tcW w:w="4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85DF16">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2162</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11572F">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4219 </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81BC5B">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61 </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290686">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2375 </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4B42A">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119 </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3F48E">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7126 </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FC3BDA">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356 </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FC3BB">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3325 </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9EA6CD">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15.83 </w:t>
            </w:r>
          </w:p>
        </w:tc>
      </w:tr>
      <w:tr w14:paraId="17EE96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1" w:hRule="atLeast"/>
        </w:trPr>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247BED">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问安镇</w:t>
            </w:r>
          </w:p>
        </w:tc>
        <w:tc>
          <w:tcPr>
            <w:tcW w:w="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88A33">
            <w:pPr>
              <w:keepNext w:val="0"/>
              <w:keepLines w:val="0"/>
              <w:widowControl/>
              <w:suppressLineNumbers w:val="0"/>
              <w:ind w:left="0" w:leftChars="0" w:firstLine="0" w:firstLineChars="0"/>
              <w:jc w:val="center"/>
              <w:textAlignment w:val="center"/>
              <w:rPr>
                <w:rFonts w:hint="default"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600</w:t>
            </w:r>
          </w:p>
        </w:tc>
        <w:tc>
          <w:tcPr>
            <w:tcW w:w="4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69BCCD">
            <w:pPr>
              <w:keepNext w:val="0"/>
              <w:keepLines w:val="0"/>
              <w:widowControl/>
              <w:suppressLineNumbers w:val="0"/>
              <w:ind w:left="0" w:leftChars="0" w:firstLine="0" w:firstLineChars="0"/>
              <w:jc w:val="center"/>
              <w:textAlignment w:val="center"/>
              <w:rPr>
                <w:rFonts w:hint="default"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1425</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BCCACC">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2025 </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558E23">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0 </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B8E87D">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3180 </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6EEC41">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159 </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D1055">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9541 </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EB5BE8">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477 </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EAF838">
            <w:pPr>
              <w:keepNext w:val="0"/>
              <w:keepLines w:val="0"/>
              <w:widowControl/>
              <w:suppressLineNumbers w:val="0"/>
              <w:ind w:left="0" w:leftChars="0" w:firstLine="0" w:firstLineChars="0"/>
              <w:jc w:val="center"/>
              <w:textAlignment w:val="center"/>
              <w:rPr>
                <w:rFonts w:hint="default"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7993 </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C15E27">
            <w:pPr>
              <w:keepNext w:val="0"/>
              <w:keepLines w:val="0"/>
              <w:widowControl/>
              <w:suppressLineNumbers w:val="0"/>
              <w:ind w:left="0" w:leftChars="0" w:firstLine="0" w:firstLineChars="0"/>
              <w:jc w:val="center"/>
              <w:textAlignment w:val="center"/>
              <w:rPr>
                <w:rFonts w:hint="default"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38.06 </w:t>
            </w:r>
          </w:p>
        </w:tc>
      </w:tr>
      <w:tr w14:paraId="2CF930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95" w:hRule="atLeast"/>
        </w:trPr>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6B1F56">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七星台镇</w:t>
            </w:r>
          </w:p>
        </w:tc>
        <w:tc>
          <w:tcPr>
            <w:tcW w:w="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4122AE">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2489</w:t>
            </w:r>
          </w:p>
        </w:tc>
        <w:tc>
          <w:tcPr>
            <w:tcW w:w="4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C4F168">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1566</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079B45">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4055 </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931C31">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0 </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40F9FF">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3116 </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375E29">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156 </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0E6F4">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9347 </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C4268">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467 </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094E2D">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5760 </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B0448E">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27.43 </w:t>
            </w:r>
          </w:p>
        </w:tc>
      </w:tr>
      <w:tr w14:paraId="7EA82D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95" w:hRule="atLeast"/>
        </w:trPr>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D047F9">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百里洲镇</w:t>
            </w:r>
          </w:p>
        </w:tc>
        <w:tc>
          <w:tcPr>
            <w:tcW w:w="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1CBA89">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35</w:t>
            </w:r>
          </w:p>
        </w:tc>
        <w:tc>
          <w:tcPr>
            <w:tcW w:w="4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9F683D">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1542</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F2BC65">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1577 </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C8ADE8">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0 </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4F601">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5426 </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A79E0A">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271 </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B8B283">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16278 </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0892EB">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814 </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F60ED3">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15515 </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BC664B">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73.88 </w:t>
            </w:r>
          </w:p>
        </w:tc>
      </w:tr>
      <w:tr w14:paraId="75B525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27" w:hRule="atLeast"/>
        </w:trPr>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EC2DD5">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14:ligatures w14:val="standardContextual"/>
              </w:rPr>
              <w:t>合计</w:t>
            </w:r>
          </w:p>
        </w:tc>
        <w:tc>
          <w:tcPr>
            <w:tcW w:w="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59DF3F">
            <w:pPr>
              <w:keepNext w:val="0"/>
              <w:keepLines w:val="0"/>
              <w:widowControl/>
              <w:suppressLineNumbers w:val="0"/>
              <w:ind w:left="0" w:leftChars="0" w:firstLine="0" w:firstLineChars="0"/>
              <w:jc w:val="center"/>
              <w:textAlignment w:val="center"/>
              <w:rPr>
                <w:rFonts w:hint="default"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31752</w:t>
            </w:r>
          </w:p>
        </w:tc>
        <w:tc>
          <w:tcPr>
            <w:tcW w:w="4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75FD6A">
            <w:pPr>
              <w:keepNext w:val="0"/>
              <w:keepLines w:val="0"/>
              <w:widowControl/>
              <w:suppressLineNumbers w:val="0"/>
              <w:ind w:left="0" w:leftChars="0" w:firstLine="0" w:firstLineChars="0"/>
              <w:jc w:val="center"/>
              <w:textAlignment w:val="center"/>
              <w:rPr>
                <w:rFonts w:hint="default"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10303</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1719E6">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42055 </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2BCCF1">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991</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235CD0">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30013 </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7000E2">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1501 </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BECABA">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90038 </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2D89B3">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4502 </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7D5EA8">
            <w:pPr>
              <w:keepNext w:val="0"/>
              <w:keepLines w:val="0"/>
              <w:widowControl/>
              <w:suppressLineNumbers w:val="0"/>
              <w:ind w:left="0" w:leftChars="0" w:firstLine="0" w:firstLineChars="0"/>
              <w:jc w:val="center"/>
              <w:textAlignment w:val="center"/>
              <w:rPr>
                <w:rFonts w:hint="default"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53476 </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0AD90C">
            <w:pPr>
              <w:keepNext w:val="0"/>
              <w:keepLines w:val="0"/>
              <w:widowControl/>
              <w:suppressLineNumbers w:val="0"/>
              <w:ind w:left="0" w:leftChars="0" w:firstLine="0" w:firstLineChars="0"/>
              <w:jc w:val="center"/>
              <w:textAlignment w:val="center"/>
              <w:rPr>
                <w:rFonts w:hint="eastAsia" w:ascii="仿宋" w:hAnsi="仿宋" w:eastAsia="仿宋" w:cs="仿宋"/>
                <w:i w:val="0"/>
                <w:iCs w:val="0"/>
                <w:color w:val="000000"/>
                <w:kern w:val="0"/>
                <w:sz w:val="24"/>
                <w:szCs w:val="24"/>
                <w:u w:val="none"/>
                <w:lang w:val="en-US" w:eastAsia="zh-CN" w:bidi="ar"/>
                <w14:ligatures w14:val="standardContextual"/>
              </w:rPr>
            </w:pPr>
            <w:r>
              <w:rPr>
                <w:rFonts w:hint="eastAsia" w:ascii="仿宋" w:hAnsi="仿宋" w:eastAsia="仿宋" w:cs="仿宋"/>
                <w:i w:val="0"/>
                <w:iCs w:val="0"/>
                <w:color w:val="000000"/>
                <w:kern w:val="0"/>
                <w:sz w:val="24"/>
                <w:szCs w:val="24"/>
                <w:u w:val="none"/>
                <w:lang w:val="en-US" w:eastAsia="zh-CN" w:bidi="ar"/>
                <w14:ligatures w14:val="standardContextual"/>
              </w:rPr>
              <w:t xml:space="preserve">254.65 </w:t>
            </w:r>
          </w:p>
        </w:tc>
      </w:tr>
    </w:tbl>
    <w:p w14:paraId="24A589C8">
      <w:pPr>
        <w:pStyle w:val="15"/>
        <w:ind w:firstLine="562"/>
        <w:outlineLvl w:val="0"/>
        <w:rPr>
          <w:rFonts w:hint="default" w:ascii="Times New Roman" w:hAnsi="Times New Roman" w:eastAsia="仿宋" w:cs="Times New Roman"/>
          <w:highlight w:val="none"/>
          <w:lang w:val="en-US" w:eastAsia="zh-CN"/>
        </w:rPr>
      </w:pPr>
      <w:r>
        <w:rPr>
          <w:rFonts w:hint="default" w:ascii="Times New Roman" w:hAnsi="Times New Roman" w:cs="Times New Roman"/>
          <w:highlight w:val="none"/>
          <w:lang w:val="en-US" w:eastAsia="zh-CN"/>
        </w:rPr>
        <w:br w:type="page"/>
      </w:r>
      <w:bookmarkStart w:id="14" w:name="_Toc4692"/>
      <w:r>
        <w:rPr>
          <w:rFonts w:ascii="Times New Roman" w:hAnsi="Times New Roman" w:cs="Times New Roman"/>
          <w:highlight w:val="none"/>
        </w:rPr>
        <w:t>第</w:t>
      </w:r>
      <w:r>
        <w:rPr>
          <w:rFonts w:hint="eastAsia" w:ascii="Times New Roman" w:hAnsi="Times New Roman" w:cs="Times New Roman"/>
          <w:highlight w:val="none"/>
          <w:lang w:val="en-US" w:eastAsia="zh-CN"/>
        </w:rPr>
        <w:t>四</w:t>
      </w:r>
      <w:r>
        <w:rPr>
          <w:rFonts w:ascii="Times New Roman" w:hAnsi="Times New Roman" w:cs="Times New Roman"/>
          <w:highlight w:val="none"/>
        </w:rPr>
        <w:t xml:space="preserve">章 </w:t>
      </w:r>
      <w:r>
        <w:rPr>
          <w:rFonts w:hint="eastAsia" w:ascii="Times New Roman" w:hAnsi="Times New Roman" w:cs="Times New Roman"/>
          <w:highlight w:val="none"/>
          <w:lang w:val="en-US" w:eastAsia="zh-CN"/>
        </w:rPr>
        <w:t>规划布局</w:t>
      </w:r>
      <w:bookmarkEnd w:id="14"/>
    </w:p>
    <w:p w14:paraId="2F193E15">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 xml:space="preserve"> </w:t>
      </w:r>
      <w:bookmarkStart w:id="15" w:name="_Toc13511"/>
      <w:r>
        <w:rPr>
          <w:rFonts w:hint="eastAsia" w:ascii="Times New Roman" w:hAnsi="Times New Roman" w:cs="Times New Roman"/>
          <w:highlight w:val="none"/>
          <w:lang w:val="en-US" w:eastAsia="zh-CN"/>
        </w:rPr>
        <w:t>规划原则</w:t>
      </w:r>
      <w:bookmarkEnd w:id="15"/>
    </w:p>
    <w:p w14:paraId="687E2785">
      <w:pPr>
        <w:pStyle w:val="21"/>
        <w:numPr>
          <w:ilvl w:val="0"/>
          <w:numId w:val="12"/>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多规协调、合理布局</w:t>
      </w:r>
    </w:p>
    <w:p w14:paraId="1847AA31">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殡葬设施的规划布局应与国土空间规划及其它</w:t>
      </w:r>
      <w:r>
        <w:rPr>
          <w:rFonts w:hint="eastAsia" w:ascii="Times New Roman" w:hAnsi="Times New Roman" w:cs="Times New Roman"/>
          <w:highlight w:val="none"/>
          <w:lang w:val="en-US" w:eastAsia="zh-CN"/>
        </w:rPr>
        <w:t>布点规划</w:t>
      </w:r>
      <w:r>
        <w:rPr>
          <w:rFonts w:hint="default" w:ascii="Times New Roman" w:hAnsi="Times New Roman" w:cs="Times New Roman"/>
          <w:highlight w:val="none"/>
          <w:lang w:val="en-US" w:eastAsia="zh-CN"/>
        </w:rPr>
        <w:t>相协调。适当考虑设施服务半径、交通可达性等要求合理布局。</w:t>
      </w:r>
    </w:p>
    <w:p w14:paraId="02544589">
      <w:pPr>
        <w:pStyle w:val="21"/>
        <w:numPr>
          <w:ilvl w:val="0"/>
          <w:numId w:val="12"/>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节约土地、绿色发展</w:t>
      </w:r>
    </w:p>
    <w:p w14:paraId="110580DC">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坚持殡葬改革方向，节约用地，贯彻少占地、不占地、复合利用土地的原则，加强殡葬设施的复合利用。合理引导，逐步过渡，积极发展生态殡葬，推广骨灰树葬、花坛葬、草坪葬、水葬等少占地、不占地的生态型葬式，实现葬式节地化，保护好城乡风景、森林和人居等生态环境。</w:t>
      </w:r>
    </w:p>
    <w:p w14:paraId="2DD02AA3">
      <w:pPr>
        <w:pStyle w:val="21"/>
        <w:numPr>
          <w:ilvl w:val="0"/>
          <w:numId w:val="12"/>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适度超前、永续发展</w:t>
      </w:r>
    </w:p>
    <w:p w14:paraId="742C2452">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综合考虑</w:t>
      </w:r>
      <w:r>
        <w:rPr>
          <w:rFonts w:hint="eastAsia" w:ascii="Times New Roman" w:hAnsi="Times New Roman" w:cs="Times New Roman"/>
          <w:highlight w:val="none"/>
          <w:lang w:val="en-US" w:eastAsia="zh-CN"/>
        </w:rPr>
        <w:t>枝江市</w:t>
      </w:r>
      <w:r>
        <w:rPr>
          <w:rFonts w:hint="default" w:ascii="Times New Roman" w:hAnsi="Times New Roman" w:cs="Times New Roman"/>
          <w:highlight w:val="none"/>
          <w:lang w:val="en-US" w:eastAsia="zh-CN"/>
        </w:rPr>
        <w:t>经济社会发展水平、未来人口规模和殡葬事业长远发展需要等因素，结合殡葬改革的发展方向，规模上适度超前，并逐步实现“入土”向“入室”的转变。</w:t>
      </w:r>
    </w:p>
    <w:p w14:paraId="21068B4A">
      <w:pPr>
        <w:pStyle w:val="21"/>
        <w:numPr>
          <w:ilvl w:val="0"/>
          <w:numId w:val="12"/>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以人为本、人文关怀</w:t>
      </w:r>
    </w:p>
    <w:p w14:paraId="742D2907">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贯彻“以人为本”的原则，健全基本殡葬服务保障体系，适当兼顾中国特有的丧葬习俗，使殡葬场所成为生命文化的集中体现。</w:t>
      </w:r>
    </w:p>
    <w:p w14:paraId="220380E4">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 xml:space="preserve"> </w:t>
      </w:r>
      <w:bookmarkStart w:id="16" w:name="_Toc15690"/>
      <w:r>
        <w:rPr>
          <w:rFonts w:hint="eastAsia" w:ascii="Times New Roman" w:hAnsi="Times New Roman" w:cs="Times New Roman"/>
          <w:highlight w:val="none"/>
          <w:lang w:val="en-US" w:eastAsia="zh-CN"/>
        </w:rPr>
        <w:t>布局思路</w:t>
      </w:r>
      <w:bookmarkEnd w:id="16"/>
    </w:p>
    <w:p w14:paraId="028275EE">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规划按照“</w:t>
      </w:r>
      <w:r>
        <w:rPr>
          <w:rFonts w:hint="eastAsia" w:ascii="Times New Roman" w:hAnsi="Times New Roman" w:cs="Times New Roman"/>
          <w:highlight w:val="none"/>
          <w:lang w:val="en-US" w:eastAsia="zh-CN"/>
        </w:rPr>
        <w:t>县</w:t>
      </w:r>
      <w:r>
        <w:rPr>
          <w:rFonts w:hint="default" w:ascii="Times New Roman" w:hAnsi="Times New Roman" w:cs="Times New Roman"/>
          <w:highlight w:val="none"/>
          <w:lang w:val="en-US" w:eastAsia="zh-CN"/>
        </w:rPr>
        <w:t>级</w:t>
      </w:r>
      <w:r>
        <w:rPr>
          <w:rFonts w:hint="eastAsia" w:ascii="Times New Roman" w:hAnsi="Times New Roman" w:cs="Times New Roman"/>
          <w:highlight w:val="none"/>
          <w:lang w:val="en-US" w:eastAsia="zh-CN"/>
        </w:rPr>
        <w:t>—镇级—</w:t>
      </w:r>
      <w:r>
        <w:rPr>
          <w:rFonts w:hint="default" w:ascii="Times New Roman" w:hAnsi="Times New Roman" w:cs="Times New Roman"/>
          <w:highlight w:val="none"/>
          <w:lang w:val="en-US" w:eastAsia="zh-CN"/>
        </w:rPr>
        <w:t>村级”</w:t>
      </w:r>
      <w:r>
        <w:rPr>
          <w:rFonts w:hint="eastAsia" w:ascii="Times New Roman" w:hAnsi="Times New Roman" w:cs="Times New Roman"/>
          <w:highlight w:val="none"/>
          <w:lang w:val="en-US" w:eastAsia="zh-CN"/>
        </w:rPr>
        <w:t>三级</w:t>
      </w:r>
      <w:r>
        <w:rPr>
          <w:rFonts w:hint="default" w:ascii="Times New Roman" w:hAnsi="Times New Roman" w:cs="Times New Roman"/>
          <w:highlight w:val="none"/>
          <w:lang w:val="en-US" w:eastAsia="zh-CN"/>
        </w:rPr>
        <w:t>公益性公墓配置体系，整合现有公益性公墓，充分尊重地方意愿，</w:t>
      </w:r>
      <w:r>
        <w:rPr>
          <w:rFonts w:hint="eastAsia" w:ascii="Times New Roman" w:hAnsi="Times New Roman" w:cs="Times New Roman"/>
          <w:highlight w:val="none"/>
          <w:lang w:val="en-US" w:eastAsia="zh-CN"/>
        </w:rPr>
        <w:t>分级分类</w:t>
      </w:r>
      <w:r>
        <w:rPr>
          <w:rFonts w:hint="default" w:ascii="Times New Roman" w:hAnsi="Times New Roman" w:cs="Times New Roman"/>
          <w:highlight w:val="none"/>
          <w:lang w:val="en-US" w:eastAsia="zh-CN"/>
        </w:rPr>
        <w:t>布局</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既考虑用地的集约性，尽可能集中布局，同时又考虑就近安葬的实际需求，局部分散布局。</w:t>
      </w:r>
    </w:p>
    <w:p w14:paraId="7D00B675">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县</w:t>
      </w:r>
      <w:r>
        <w:rPr>
          <w:rFonts w:hint="default" w:ascii="Times New Roman" w:hAnsi="Times New Roman" w:cs="Times New Roman"/>
          <w:highlight w:val="none"/>
          <w:lang w:val="en-US" w:eastAsia="zh-CN"/>
        </w:rPr>
        <w:t>级公墓</w:t>
      </w:r>
      <w:r>
        <w:rPr>
          <w:rFonts w:hint="eastAsia" w:ascii="Times New Roman" w:hAnsi="Times New Roman" w:cs="Times New Roman"/>
          <w:highlight w:val="none"/>
          <w:lang w:val="en-US" w:eastAsia="zh-CN"/>
        </w:rPr>
        <w:t>：服务枝江市中心城区城镇人口，规模较大，占地100亩以上，</w:t>
      </w:r>
      <w:r>
        <w:rPr>
          <w:rFonts w:hint="default" w:ascii="Times New Roman" w:hAnsi="Times New Roman" w:cs="Times New Roman"/>
          <w:highlight w:val="none"/>
          <w:lang w:val="en-US" w:eastAsia="zh-CN"/>
        </w:rPr>
        <w:t>选址充分衔接</w:t>
      </w:r>
      <w:r>
        <w:rPr>
          <w:rFonts w:hint="eastAsia" w:ascii="Times New Roman" w:hAnsi="Times New Roman" w:cs="Times New Roman"/>
          <w:highlight w:val="none"/>
          <w:lang w:val="en-US" w:eastAsia="zh-CN"/>
        </w:rPr>
        <w:t>枝江市</w:t>
      </w:r>
      <w:r>
        <w:rPr>
          <w:rFonts w:hint="default" w:ascii="Times New Roman" w:hAnsi="Times New Roman" w:cs="Times New Roman"/>
          <w:highlight w:val="none"/>
          <w:lang w:val="en-US" w:eastAsia="zh-CN"/>
        </w:rPr>
        <w:t>国土空间总体规划</w:t>
      </w:r>
      <w:r>
        <w:rPr>
          <w:rFonts w:hint="eastAsia" w:ascii="Times New Roman" w:hAnsi="Times New Roman" w:cs="Times New Roman"/>
          <w:highlight w:val="none"/>
          <w:lang w:val="en-US" w:eastAsia="zh-CN"/>
        </w:rPr>
        <w:t>；</w:t>
      </w:r>
    </w:p>
    <w:p w14:paraId="383A6BCD">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乡镇级公墓：服务各乡镇城镇人口及邻近城镇区的村庄和无公墓用地的村庄，有条件的乡镇需设至少一处，为中型公墓，占地10亩以上；</w:t>
      </w:r>
    </w:p>
    <w:p w14:paraId="3068EC68">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村级公墓</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规划覆盖至所有中心村、集中易迁安置点、片区、乡村振兴重点村，基层村结合实际可以灵活配置</w:t>
      </w:r>
      <w:r>
        <w:rPr>
          <w:rFonts w:hint="eastAsia" w:ascii="Times New Roman" w:hAnsi="Times New Roman" w:cs="Times New Roman"/>
          <w:highlight w:val="none"/>
          <w:lang w:val="en-US" w:eastAsia="zh-CN"/>
        </w:rPr>
        <w:t>，各村根据实际用地条件进行多村联合或单村建设</w:t>
      </w:r>
      <w:r>
        <w:rPr>
          <w:rFonts w:hint="default" w:ascii="Times New Roman" w:hAnsi="Times New Roman" w:cs="Times New Roman"/>
          <w:highlight w:val="none"/>
          <w:lang w:val="en-US" w:eastAsia="zh-CN"/>
        </w:rPr>
        <w:t>。</w:t>
      </w:r>
    </w:p>
    <w:p w14:paraId="5960B0B2">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 xml:space="preserve"> </w:t>
      </w:r>
      <w:bookmarkStart w:id="17" w:name="_Toc16095"/>
      <w:r>
        <w:rPr>
          <w:rFonts w:hint="eastAsia" w:ascii="Times New Roman" w:hAnsi="Times New Roman" w:cs="Times New Roman"/>
          <w:highlight w:val="none"/>
          <w:lang w:val="en-US" w:eastAsia="zh-CN"/>
        </w:rPr>
        <w:t>布局原则</w:t>
      </w:r>
      <w:bookmarkEnd w:id="17"/>
    </w:p>
    <w:p w14:paraId="539CB565">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选址必须符合国土空间规划的要求，以交通方便、适宜绿化、为大多数群众接受的荒山荒地或不易垦种的瘠地为主要选择区域。</w:t>
      </w:r>
    </w:p>
    <w:p w14:paraId="27AF75F4">
      <w:pPr>
        <w:pStyle w:val="19"/>
        <w:keepNext w:val="0"/>
        <w:keepLines w:val="0"/>
        <w:pageBreakBefore w:val="0"/>
        <w:widowControl w:val="0"/>
        <w:numPr>
          <w:ilvl w:val="0"/>
          <w:numId w:val="13"/>
        </w:numPr>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殡葬设施不得占用</w:t>
      </w:r>
      <w:r>
        <w:rPr>
          <w:rFonts w:hint="eastAsia" w:ascii="Times New Roman" w:hAnsi="Times New Roman" w:cs="Times New Roman"/>
          <w:highlight w:val="none"/>
          <w:lang w:val="en-US" w:eastAsia="zh-CN"/>
        </w:rPr>
        <w:t>耕地、</w:t>
      </w:r>
      <w:r>
        <w:rPr>
          <w:rFonts w:hint="default" w:ascii="Times New Roman" w:hAnsi="Times New Roman" w:cs="Times New Roman"/>
          <w:highlight w:val="none"/>
          <w:lang w:val="en-US" w:eastAsia="zh-CN"/>
        </w:rPr>
        <w:t>基本农田、生态保护红线、风景名胜区、文物保护区和城区公园；</w:t>
      </w:r>
    </w:p>
    <w:p w14:paraId="21C4C051">
      <w:pPr>
        <w:pStyle w:val="19"/>
        <w:keepNext w:val="0"/>
        <w:keepLines w:val="0"/>
        <w:pageBreakBefore w:val="0"/>
        <w:widowControl w:val="0"/>
        <w:numPr>
          <w:ilvl w:val="0"/>
          <w:numId w:val="13"/>
        </w:numPr>
        <w:kinsoku/>
        <w:wordWrap/>
        <w:overflowPunct/>
        <w:topLinePunct w:val="0"/>
        <w:autoSpaceDE/>
        <w:autoSpaceDN/>
        <w:bidi w:val="0"/>
        <w:adjustRightInd/>
        <w:snapToGrid/>
        <w:spacing w:before="0"/>
        <w:ind w:left="0" w:leftChars="0" w:firstLine="480" w:firstLineChars="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现状占用基本农田、生态保护红线、风景名胜区、文物保护区和城区公园</w:t>
      </w:r>
      <w:r>
        <w:rPr>
          <w:rFonts w:hint="eastAsia" w:ascii="Times New Roman" w:hAnsi="Times New Roman" w:cs="Times New Roman"/>
          <w:highlight w:val="none"/>
          <w:lang w:val="en-US" w:eastAsia="zh-CN"/>
        </w:rPr>
        <w:t>等不符合国土空间用地管制条件</w:t>
      </w:r>
      <w:r>
        <w:rPr>
          <w:rFonts w:hint="default" w:ascii="Times New Roman" w:hAnsi="Times New Roman" w:cs="Times New Roman"/>
          <w:highlight w:val="none"/>
          <w:lang w:val="en-US" w:eastAsia="zh-CN"/>
        </w:rPr>
        <w:t>的殡葬设施，原则上</w:t>
      </w:r>
      <w:r>
        <w:rPr>
          <w:rFonts w:hint="eastAsia" w:ascii="Times New Roman" w:hAnsi="Times New Roman" w:cs="Times New Roman"/>
          <w:highlight w:val="none"/>
          <w:lang w:val="en-US" w:eastAsia="zh-CN"/>
        </w:rPr>
        <w:t>进行搬迁或封闭管理</w:t>
      </w:r>
      <w:r>
        <w:rPr>
          <w:rFonts w:hint="default" w:ascii="Times New Roman" w:hAnsi="Times New Roman" w:cs="Times New Roman"/>
          <w:highlight w:val="none"/>
          <w:lang w:val="en-US" w:eastAsia="zh-CN"/>
        </w:rPr>
        <w:t>；</w:t>
      </w:r>
    </w:p>
    <w:p w14:paraId="429F526B">
      <w:pPr>
        <w:pStyle w:val="19"/>
        <w:keepNext w:val="0"/>
        <w:keepLines w:val="0"/>
        <w:pageBreakBefore w:val="0"/>
        <w:widowControl w:val="0"/>
        <w:numPr>
          <w:ilvl w:val="0"/>
          <w:numId w:val="13"/>
        </w:numPr>
        <w:kinsoku/>
        <w:wordWrap/>
        <w:overflowPunct/>
        <w:topLinePunct w:val="0"/>
        <w:autoSpaceDE/>
        <w:autoSpaceDN/>
        <w:bidi w:val="0"/>
        <w:adjustRightInd/>
        <w:snapToGrid/>
        <w:spacing w:before="0"/>
        <w:ind w:left="0" w:leftChars="0" w:firstLine="480" w:firstLineChars="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殡葬设施应符合水利、公路、铁路等相关部门规定的安全防护距离，</w:t>
      </w:r>
      <w:r>
        <w:rPr>
          <w:rFonts w:hint="eastAsia" w:ascii="Times New Roman" w:hAnsi="Times New Roman" w:cs="Times New Roman"/>
          <w:highlight w:val="none"/>
          <w:lang w:val="en-US" w:eastAsia="zh-CN"/>
        </w:rPr>
        <w:t>县级</w:t>
      </w:r>
      <w:r>
        <w:rPr>
          <w:rFonts w:hint="default" w:ascii="Times New Roman" w:hAnsi="Times New Roman" w:cs="Times New Roman"/>
          <w:highlight w:val="none"/>
          <w:lang w:val="en-US" w:eastAsia="zh-CN"/>
        </w:rPr>
        <w:t>公墓规模大，应与以上要素保持500米的安全距离；</w:t>
      </w:r>
    </w:p>
    <w:p w14:paraId="50F05008">
      <w:pPr>
        <w:pStyle w:val="19"/>
        <w:keepNext w:val="0"/>
        <w:keepLines w:val="0"/>
        <w:pageBreakBefore w:val="0"/>
        <w:widowControl w:val="0"/>
        <w:numPr>
          <w:ilvl w:val="0"/>
          <w:numId w:val="13"/>
        </w:numPr>
        <w:kinsoku/>
        <w:wordWrap/>
        <w:overflowPunct/>
        <w:topLinePunct w:val="0"/>
        <w:autoSpaceDE/>
        <w:autoSpaceDN/>
        <w:bidi w:val="0"/>
        <w:adjustRightInd/>
        <w:snapToGrid/>
        <w:spacing w:before="0"/>
        <w:ind w:left="0" w:leftChars="0" w:firstLine="480" w:firstLineChars="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现状占用和规划确需占用一般</w:t>
      </w:r>
      <w:r>
        <w:rPr>
          <w:rFonts w:hint="eastAsia" w:ascii="Times New Roman" w:hAnsi="Times New Roman" w:cs="Times New Roman"/>
          <w:highlight w:val="none"/>
          <w:lang w:val="en-US" w:eastAsia="zh-CN"/>
        </w:rPr>
        <w:t>农用地</w:t>
      </w:r>
      <w:r>
        <w:rPr>
          <w:rFonts w:hint="default" w:ascii="Times New Roman" w:hAnsi="Times New Roman" w:cs="Times New Roman"/>
          <w:highlight w:val="none"/>
          <w:lang w:val="en-US" w:eastAsia="zh-CN"/>
        </w:rPr>
        <w:t>和林业用地的殡葬设施，由国土空间规划进行统筹；</w:t>
      </w:r>
    </w:p>
    <w:p w14:paraId="611205AD">
      <w:pPr>
        <w:pStyle w:val="19"/>
        <w:keepNext w:val="0"/>
        <w:keepLines w:val="0"/>
        <w:pageBreakBefore w:val="0"/>
        <w:widowControl w:val="0"/>
        <w:numPr>
          <w:ilvl w:val="0"/>
          <w:numId w:val="13"/>
        </w:numPr>
        <w:kinsoku/>
        <w:wordWrap/>
        <w:overflowPunct/>
        <w:topLinePunct w:val="0"/>
        <w:autoSpaceDE/>
        <w:autoSpaceDN/>
        <w:bidi w:val="0"/>
        <w:adjustRightInd/>
        <w:snapToGrid/>
        <w:spacing w:before="0"/>
        <w:ind w:left="0" w:leftChars="0" w:firstLine="480" w:firstLineChars="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对规划中所</w:t>
      </w:r>
      <w:r>
        <w:rPr>
          <w:rFonts w:hint="eastAsia" w:ascii="Times New Roman" w:hAnsi="Times New Roman" w:cs="Times New Roman"/>
          <w:highlight w:val="none"/>
          <w:lang w:val="en-US" w:eastAsia="zh-CN"/>
        </w:rPr>
        <w:t>涉及</w:t>
      </w:r>
      <w:r>
        <w:rPr>
          <w:rFonts w:hint="default" w:ascii="Times New Roman" w:hAnsi="Times New Roman" w:cs="Times New Roman"/>
          <w:highlight w:val="none"/>
          <w:lang w:val="en-US" w:eastAsia="zh-CN"/>
        </w:rPr>
        <w:t>到的林地和</w:t>
      </w:r>
      <w:r>
        <w:rPr>
          <w:rFonts w:hint="default" w:ascii="Times New Roman" w:hAnsi="Times New Roman" w:cs="Times New Roman"/>
          <w:highlight w:val="none"/>
          <w:lang w:eastAsia="zh-CN"/>
        </w:rPr>
        <w:t>农用地</w:t>
      </w:r>
      <w:r>
        <w:rPr>
          <w:rFonts w:hint="default" w:ascii="Times New Roman" w:hAnsi="Times New Roman" w:cs="Times New Roman"/>
          <w:highlight w:val="none"/>
          <w:lang w:val="en-US" w:eastAsia="zh-CN"/>
        </w:rPr>
        <w:t>需报批后方可实施。</w:t>
      </w:r>
    </w:p>
    <w:p w14:paraId="2A678551">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 xml:space="preserve"> </w:t>
      </w:r>
      <w:bookmarkStart w:id="18" w:name="_Toc26802"/>
      <w:r>
        <w:rPr>
          <w:rFonts w:hint="eastAsia" w:ascii="Times New Roman" w:hAnsi="Times New Roman" w:cs="Times New Roman"/>
          <w:highlight w:val="none"/>
          <w:lang w:val="en-US" w:eastAsia="zh-CN"/>
        </w:rPr>
        <w:t>总体规划布局</w:t>
      </w:r>
      <w:bookmarkEnd w:id="18"/>
    </w:p>
    <w:p w14:paraId="55E62715">
      <w:pPr>
        <w:pStyle w:val="21"/>
        <w:numPr>
          <w:ilvl w:val="0"/>
          <w:numId w:val="14"/>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新建公墓规划布局</w:t>
      </w:r>
    </w:p>
    <w:p w14:paraId="6CF0FB59">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本次规划共新增公墓49个，其中县级经营性公墓1个，镇级公益性公墓4个，村级公益性公墓44个，分类型布局如下：​</w:t>
      </w:r>
    </w:p>
    <w:p w14:paraId="077826DB">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县级公墓：规划新建县级经营性公墓1个，为枝江市润泽经营性公墓，选址位于马家店街道计划社区，现状县级公益性公墓与殡仪服务中心之间，主要承担全市范围内经营性殡葬服务功能，弥补现有经营性安葬设施供给缺口，满足居民多样化安葬需求。</w:t>
      </w:r>
    </w:p>
    <w:p w14:paraId="5E16E63C">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镇级公墓：规划对4个现状村级公益性公墓进行提档升级为镇级公益性公墓，分别为安福寺镇灵芝山区域性公墓、董市镇福星区域性公墓、问安镇龙泉堂区域性公墓、七星台镇李家岗区域性公墓；同时根据各镇级公墓服务对象墓位需求、现状公墓剩余容量、周边用地情况，确定规划对安福寺镇灵芝山区域性公墓进行用地扩建，其他各规划提档升级公墓将在现有基础上重点推进配套设施完善工作而不新增用地，主要包括补充建设祭祀广场、增设公共厕所与停车场、更新标识引导系统等，提升现有公墓的使用便利性与服务品质，确保镇域殡葬服务体系整体均衡。</w:t>
      </w:r>
    </w:p>
    <w:p w14:paraId="152B53F6">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村级公墓：规划新建村级公益性公墓44个，其中多村联建公墓9个，单村建设公墓35个；选址严格遵循“就近服务、因地制宜”原则，结合各村（社区）人口规模、土地资源条件及未来安葬需求预测，优先选择符合国土空间规划、远离生态保护红线及基本农田等敏感要素的区域布局，确保每个新建村级公墓服务半径覆盖行政村，有效解决农村居民“安葬难”问题。</w:t>
      </w:r>
    </w:p>
    <w:p w14:paraId="6E7DE0C1">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p>
    <w:p w14:paraId="2B57EE2E">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p>
    <w:p w14:paraId="18C2A939">
      <w:pPr>
        <w:pStyle w:val="19"/>
        <w:keepNext w:val="0"/>
        <w:keepLines w:val="0"/>
        <w:pageBreakBefore w:val="0"/>
        <w:widowControl w:val="0"/>
        <w:kinsoku/>
        <w:wordWrap/>
        <w:overflowPunct/>
        <w:topLinePunct w:val="0"/>
        <w:autoSpaceDE/>
        <w:autoSpaceDN/>
        <w:bidi w:val="0"/>
        <w:adjustRightInd/>
        <w:snapToGrid/>
        <w:spacing w:before="0"/>
        <w:ind w:left="0" w:leftChars="0" w:firstLine="0" w:firstLineChars="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b/>
          <w:bCs/>
          <w:highlight w:val="none"/>
          <w:lang w:val="en-US" w:eastAsia="zh-CN"/>
        </w:rPr>
        <w:t>表4-1 规划新建公墓一览表</w:t>
      </w:r>
    </w:p>
    <w:tbl>
      <w:tblPr>
        <w:tblStyle w:val="11"/>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67"/>
        <w:gridCol w:w="570"/>
        <w:gridCol w:w="780"/>
        <w:gridCol w:w="1889"/>
        <w:gridCol w:w="1231"/>
        <w:gridCol w:w="1350"/>
        <w:gridCol w:w="960"/>
        <w:gridCol w:w="2585"/>
        <w:gridCol w:w="893"/>
      </w:tblGrid>
      <w:tr w14:paraId="68838B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blHeader/>
        </w:trPr>
        <w:tc>
          <w:tcPr>
            <w:tcW w:w="2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9F6CDF">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序号</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25F2CB">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街道/镇</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723A80">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社区/村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96FD0">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公墓名称</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A9BE0E">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规划级别</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308DF9">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面积（㎡）</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70C434">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折合面积（亩）</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375E1F">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服务对象</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85F4E">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备注</w:t>
            </w:r>
          </w:p>
        </w:tc>
      </w:tr>
      <w:tr w14:paraId="70EEE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22ED7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w:t>
            </w:r>
          </w:p>
        </w:tc>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BF870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马家店街道</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54678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计划社区</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A0FA9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枝江市润泽园经营性公墓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A4838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县级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AD39E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14267.25</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93591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21.4</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77F95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枝江市中心城区</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F8E6A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73ED5D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7473E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A2312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2C6E0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永收垸村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019AC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永收垸村公益性公墓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4A74F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村级（多村联建）</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02879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4627.03</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8C46D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6.94</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EBEF3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永收垸村、白家岗村、赵家河村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91274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0F2531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2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DE147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w:t>
            </w:r>
          </w:p>
        </w:tc>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83C92D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安福寺镇</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8D21B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灵芝山村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20BA7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灵芝山区域性公墓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26E4E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镇级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F673C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6089.17</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80DB8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11.26</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7568D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安福寺镇镇区及周边村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1414E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改扩建</w:t>
            </w:r>
          </w:p>
        </w:tc>
      </w:tr>
      <w:tr w14:paraId="65E359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C5A44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9467B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EA98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横溪河村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301C1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横溪河村公益性公墓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511ED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4DF7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3458.58</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1D6B4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5.19</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FF6D4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横溪河村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3762A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4F8EDB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7FAFB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4B273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DE83F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江家坡村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36349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江家坡村公益性公墓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B6A03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46433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961.75</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D5164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1.44</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E3324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江家坡村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B56B8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2E6121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7C5D5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EC952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B7DAC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紫荆岭村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3687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紫荆岭村公益性公墓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601C7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A39B3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1511.71</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9F797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2.27</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F7253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紫荆岭村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2D8A3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511F6A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20FC9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3152E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998E6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七里冲村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16CF8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七里冲村公益性公墓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BFA58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AEA9C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1155.1</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EB796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1.73</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1E3D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七里冲村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2A6C8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545BD8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C05C9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3916E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6CD7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桑树河村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A48AE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桑树河村公益性公墓二期</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D975F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7AA87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3043.27</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A37B8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4.56</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7BB77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桑树河村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06013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39B713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2"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5B66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CF133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D95CE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书院坝村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BF0C2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书院坝村公益性公墓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BBE5F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CDE0B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724.07</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A2743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1.09</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DCBC2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书院坝村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9923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01D300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87EFD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2B197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B7B3B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野鸭湾村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0D323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野鸭湾村公益性公墓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4E3B7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B88F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1834.03</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2BEE7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2.75</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A4465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野鸭湾村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27098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7ECA1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EA4AE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w:t>
            </w:r>
          </w:p>
        </w:tc>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E4847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顾家店镇</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48D2D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熊家棚村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380AA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熊家棚村公益性公墓二期</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FBB21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6A292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1317.98</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5DBDC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1.98</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E5508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熊家棚村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B5133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71C432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A7B6F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87CE2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1A14E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石半坡村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CA789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石半坡村公益性公墓二期</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9BBA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A768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710.31</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2F0C3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1.07</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522CF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石半坡村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79048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009EEB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D1E6A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65EA1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12961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高殿寺村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C1B63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高殿寺村公益性公墓二期</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758D6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3C615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934.95</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B574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1.4</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50800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高殿寺村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513C3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568879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7878C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F1625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D2841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马蹄垱村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0DA7F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马蹄垱村公益性公墓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B7EEB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4876F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4024.11</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0CF2F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6.04</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C8066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马蹄垱村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1A321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6CDA95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49349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97F36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58B1A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同济垸村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71511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同济垸村公益性公墓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45855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1F30E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785.41</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29190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1.18</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BB78E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同济垸村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52A19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75E403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2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F8539E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w:t>
            </w:r>
          </w:p>
        </w:tc>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2B150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董市镇</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49E8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福星村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F9940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福星区域性公墓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00D85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镇级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4F5BE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22028.75</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8B09F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33.05</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19781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董市镇镇区及周边村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B6EE8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改建</w:t>
            </w:r>
          </w:p>
        </w:tc>
      </w:tr>
      <w:tr w14:paraId="25F9C2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1E155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44E1D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F7B94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五岭村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A166C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五岭村公益性公墓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97BA2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E6798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1238.47</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79734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1.86</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8552D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五岭村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6CB55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1124F0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AB54D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E4130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A4EC9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新周场村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2DE44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新周场村公益性公墓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AB971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F8E9B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1218.87</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EAA7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1.83</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DF0F8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新周场村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B6AF9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62518A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DCCD4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FB22B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D03BD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金龙村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39E9A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金龙村公益性公墓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9FEF2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5F661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3345.44</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D08F6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5.02</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82FAD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金龙村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07FEE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3AAB35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F1D1F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10BD3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E17E3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洪治村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E93AF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洪治村公益性公墓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B2886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03EC5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372.32</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12DBE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0.56</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3CB49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洪治村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B5A58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17D721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56679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9E736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D8B74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平湖村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20D8A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平湖村公益性公墓二期</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FEA80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08767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7094.81</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E14FE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10.64</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B976A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平湖村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DA2EA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284D62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52" w:hRule="atLeast"/>
        </w:trPr>
        <w:tc>
          <w:tcPr>
            <w:tcW w:w="2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CDC0A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5</w:t>
            </w:r>
          </w:p>
        </w:tc>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F4128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仙女镇</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AF99D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向巷村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0B87A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向巷村公益性公墓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38E1F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CF7D9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2210.35</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CEE9B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3.32</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398F0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向巷村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42B06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24A13A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EE36F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2A9D9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DC9D5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张家湾村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DA2A0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张家湾村公益性公墓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133E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6582D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659.1</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92515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0.99</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B2754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张家湾村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00251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345EEA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2EE60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2B173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82E90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余家冲村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D259D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余家冲村公益性公墓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6D54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62CEF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743.29</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BEE8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1.11</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7E073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余家冲村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1D86A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4B4FF5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9CBE4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ABBCA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9D917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屈店村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62D06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屈店村公益性公墓二期</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868B9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0D2AB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3317.79</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FD0AE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4.98</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BEFB5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屈店村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56DE8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626611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A017C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C9AAC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C25D7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覃家坡村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F8482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覃家坡村公益性公墓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C325D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4C5F5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845.84</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695EF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1.27</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D7AF7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覃家坡村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1CB32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3EA18C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508DC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9A6A8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93D8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九龙村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1F67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九龙村公益性公墓二期</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25191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F465E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2693.69</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3CA0C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4.04</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14FD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九龙村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B3037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0525A0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227E2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DF2A8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29D06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桃花垱村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37A29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桃花垱村公益性公墓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1BE2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B0CC2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359.91</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8A457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0.54</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4955B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桃花垱村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C23C6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709ECC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4155C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DBB7D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268DE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鲁港村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AE387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鲁港村公益性公墓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1C3E6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62CCF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1959.92</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6F7DB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2.94</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DE8A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鲁港村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9473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49C987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59517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w:t>
            </w:r>
          </w:p>
        </w:tc>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248D6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问安镇</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96A2B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龙泉堂村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78E98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龙泉堂区域性公墓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252E5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镇级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ED1F4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7219.4</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B49C9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10.83</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C442D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问安镇镇区及周边村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69645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改建</w:t>
            </w:r>
          </w:p>
        </w:tc>
      </w:tr>
      <w:tr w14:paraId="5AB66C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C4D27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BAC99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0308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郑家井村、代家店村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3AA01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郑家井村公益性公墓二期</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B0FD8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村级（多村联建）</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C1C6E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4092.58</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80B75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6.14</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6A3E5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郑家井村、代家店村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D4DF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04B324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F8EDE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FD0E5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2F38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同心桥村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77644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同心桥村公益性公墓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5109D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85CD0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2963.55</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6CD0E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4.45</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942AF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同心桥村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4C0D8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561753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BF178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71552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76870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双合村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E791C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双合村公益性公墓二期</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07A79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55135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2685.76</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9DF0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4.03</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59F9B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双合村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EF51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4C2C06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976D3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534E7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2F77C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方家畈村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7CB78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方家畈村公益性公墓二期</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12ED0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2CB80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4473.42</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3280B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6.71</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B1365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方家畈村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EDC09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13A8C1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C76DD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C599B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8C323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问安镇双湖村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8D3FF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双湖村公益性公墓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4D8A9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6BD6B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3103.27</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4D528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4.65</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ADCF4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问安镇双湖村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6B848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33F6C6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63737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BFD12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F128A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朱家湾村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D4AB7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朱家湾村公益性公墓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A6E82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3BE3C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1350.55</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676DC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2.03</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38A46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朱家湾村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78D5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603460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A5F90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C8CE1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98E0D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四岗村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FD6AD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四岗村公益性公墓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9CC0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39C04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19811.57</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73360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29.72</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53322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四岗村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FA33F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4AFC04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14A32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2A4A5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542D8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覃家山村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387DF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覃家山村公益性公墓二期</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BFE22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296E4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1196.5</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10D9F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1.79</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27ED1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覃家山村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EB020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30D19B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2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BD02B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w:t>
            </w:r>
          </w:p>
        </w:tc>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CE5AA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七星台镇</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F4056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李家岗村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71D39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李家岗区域性公墓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45CE3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镇级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EDD7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11471.53</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A61B1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17.21</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0C950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七星台镇镇区及周边村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8F4F0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改建</w:t>
            </w:r>
          </w:p>
        </w:tc>
      </w:tr>
      <w:tr w14:paraId="1A57F1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309DD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1DFF3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BF2C4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石套子村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DFED7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石套子村公益性公墓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4F13A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A7C38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2891.85</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44EAD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4.34</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7612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石套子村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090BB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51FCF3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22C55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BD991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CD60B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肖家桥村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5BBD7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肖家桥村公益性公墓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03ECD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B60F9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1042.75</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4AB8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1.56</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06A9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肖家桥村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37E5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188F02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4C6B7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C9FA6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89AFA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江会寺村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93DAD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江会寺区域性公墓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A4D23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F6C9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20219.83</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A004F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30.33</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C0CA2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江会寺村及周边村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46341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00C685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2DEDC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C71F6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E7B9E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东林村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5CAF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东林村公益性公墓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F73B9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D88E8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3567.28</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1F703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5.35</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DB886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东林村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5B7F9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6E3852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10" w:hRule="atLeast"/>
        </w:trPr>
        <w:tc>
          <w:tcPr>
            <w:tcW w:w="2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C5EBA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8</w:t>
            </w:r>
          </w:p>
        </w:tc>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FAA00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百里洲镇</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9285A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白马寺村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505A0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刘巷区域公墓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25982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村级（多村联建）</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BF78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3480.99</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9C13C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5.22</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1DFCC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白马寺村、刘巷社区、刘巷村、羊子庙村、互助村、杨家庵村、新和村、八角亭村、罗家桥村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9BD47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5F5DA5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40"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52D90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45D6C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C6640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芦花村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E6D99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凤梁区域公墓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0365A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村级（多村联建）</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94833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9563.96</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B0246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14.35</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8D57D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芦花村、来兴村、朱家嘴村、陈家尾村、万太村、凤梁村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DFE78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扩建</w:t>
            </w:r>
          </w:p>
        </w:tc>
      </w:tr>
      <w:tr w14:paraId="630546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40"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0A1B5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F2E4D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5353C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建民村、联丰村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4B581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八亩区域公墓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832C3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村级（多村联建）</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5E71B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10334.73</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F24F8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15.5</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84DC0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建民村、联丰村、曹家河村、李家坑村、精华村、杨家河村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2D698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746948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EC8BF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AB803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3E320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军民村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BC41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新闸区域公墓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4A955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村级（多村联建）</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67CBC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7867.97</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5E125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11.8</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7D10A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联办村包括军民村、路飞霄村、八亩滩村、滨湖村、闸口村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060AB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5473DA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40"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4B876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30589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5AB15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三桥村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0CB38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冯口区域公墓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26DC5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村级（多村联建）</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3394B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6324.07</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F37A8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9.49</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94198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三桥村、阮家桥村、戴家渡村、冯口村、双兴村、指南村、合心村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0714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r w14:paraId="1213AF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25" w:hRule="atLeast"/>
        </w:trPr>
        <w:tc>
          <w:tcPr>
            <w:tcW w:w="2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7F786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7D52F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91D44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神龙潭村</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2EF94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傅渡区域公墓</w:t>
            </w:r>
          </w:p>
        </w:tc>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11518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村级（多村联建）</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9D51A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4754.75</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74A8C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7.13</w:t>
            </w:r>
          </w:p>
        </w:tc>
        <w:tc>
          <w:tcPr>
            <w:tcW w:w="1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DC3A0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神龙潭村、葵兴村、傅家渡村、和爱村、坝洲村、沿江村、宝月寺村、三洲村</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D89DC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新建</w:t>
            </w:r>
          </w:p>
        </w:tc>
      </w:tr>
    </w:tbl>
    <w:p w14:paraId="59C9C0A7">
      <w:pPr>
        <w:pStyle w:val="21"/>
        <w:numPr>
          <w:ilvl w:val="0"/>
          <w:numId w:val="14"/>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新建殡仪服务设施布局</w:t>
      </w:r>
    </w:p>
    <w:p w14:paraId="0A5B653C">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县级殡仪服务设施：现状已有县级殡仪服务中心，为枝江市殡仪馆，其功能、规模及配套服务设施可满足枝江市中心城区及周边镇村殡仪服务需求。规划期间将重点对该殡仪服务中心进行设施维护与功能优化，定期检修遗体接运、火化、冷藏等核心设备，更新老化服务窗口与告别大厅等设施，确保县级殡仪服务的稳定性与优质性，持续发挥市域殡仪服务核心枢纽作用。</w:t>
      </w:r>
    </w:p>
    <w:p w14:paraId="290199F8">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镇级殡仪服务设施：为进一步优化殡仪服务空间布局，提升乡镇区域殡仪服务便捷性，本次规划在安福寺镇、顾家店镇、董市镇、仙女镇、问安镇、七星台镇、百里洲镇新建殡仪服务站7个，新建殡仪服务站采用“镇域统筹、就近配套”布局原则，均结合各镇镇区规划建设范围及现状或规划镇级公益性公墓进行联动布置：一方面依托镇区基础设施（如供水、供电、交通路网）降低建设成本，提升服务可达性；另一方面与镇级公益性公墓形成“服务—安葬”一体化配套，减少居民治丧、安葬过程中的交通往返成本，实现殡仪服务与安葬设施的高效衔接。每个新建殡仪服务站规划设置遗体暂存、殡仪服务办理、小型告别仪式等基础功能区，部分人口规模较大的乡镇（如安福寺镇、董市镇）可根据需求增设遗体冷藏、简单整容化妆等拓展功能，满足镇域居民基本殡仪服务需求。</w:t>
      </w:r>
    </w:p>
    <w:p w14:paraId="7A83AE53">
      <w:pPr>
        <w:pStyle w:val="21"/>
        <w:numPr>
          <w:ilvl w:val="0"/>
          <w:numId w:val="14"/>
        </w:numPr>
        <w:spacing w:before="156"/>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现状公墓保留与提档升级</w:t>
      </w:r>
    </w:p>
    <w:p w14:paraId="347D4158">
      <w:pPr>
        <w:pStyle w:val="19"/>
        <w:keepNext w:val="0"/>
        <w:keepLines w:val="0"/>
        <w:pageBreakBefore w:val="0"/>
        <w:widowControl w:val="0"/>
        <w:numPr>
          <w:ilvl w:val="0"/>
          <w:numId w:val="15"/>
        </w:numPr>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现状公墓保留</w:t>
      </w:r>
    </w:p>
    <w:p w14:paraId="36BB4D3B">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本次规划明确保留现状公益性公墓162个，分类型统计如下：​</w:t>
      </w:r>
    </w:p>
    <w:p w14:paraId="1B110343">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县级公墓：规划保留县级公益性公墓1个，为市域公益性殡葬服务核心设施，继续承担全市公益性安葬示范功能，后续将结合设施老化情况进行局部维护更新，确保服务能力稳定。​</w:t>
      </w:r>
    </w:p>
    <w:p w14:paraId="6E93D707">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镇级公墓：规划保留镇级公益性公墓2个，分别服务对应镇域及周边区域，规划期间将重点完善配套服务设施（如祭祀广场、停车场、公共厕所），提升服务承载能力。</w:t>
      </w:r>
    </w:p>
    <w:p w14:paraId="70009EE7">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村级公墓：规划保留村级公益性公墓159个，主要服务本村及邻近行政村居民，规划保留后将按照“分类管理、按需维护”原则，对设施完好、使用需求稳定的公墓进行日常管护；对设施简陋、存在安全隐患的公墓，结合村域规划进行局部修缮，保障基本安葬功能。</w:t>
      </w:r>
    </w:p>
    <w:p w14:paraId="1E9EFF5E">
      <w:pPr>
        <w:pStyle w:val="19"/>
        <w:keepNext w:val="0"/>
        <w:keepLines w:val="0"/>
        <w:pageBreakBefore w:val="0"/>
        <w:widowControl w:val="0"/>
        <w:numPr>
          <w:ilvl w:val="0"/>
          <w:numId w:val="15"/>
        </w:numPr>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现状村级公墓提档升级</w:t>
      </w:r>
    </w:p>
    <w:p w14:paraId="55E54BF3">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为进一步提升镇级公益性殡葬设施供给质量，优化镇域殡葬服务层级，本次规划选取4个现状基础条件较好、服务辐射范围较广的村级公益性公墓，提档升级改造为镇级公益性公墓（具体为安福寺镇灵芝山村公益性公墓、董市镇福星村公益性公墓、七星台镇李家岗村公益性公墓、问安镇龙泉堂村公益性公墓）。升级后公墓将扩大服务范围至整个镇域，同步完善墓区布局、基础设施及生态环保设施，承担镇域公益性安葬核心功能，弥补现有镇级公墓供给不足问题。</w:t>
      </w:r>
    </w:p>
    <w:p w14:paraId="77F2C01B">
      <w:pPr>
        <w:pStyle w:val="19"/>
        <w:keepNext w:val="0"/>
        <w:keepLines w:val="0"/>
        <w:pageBreakBefore w:val="0"/>
        <w:widowControl w:val="0"/>
        <w:kinsoku/>
        <w:wordWrap/>
        <w:overflowPunct/>
        <w:topLinePunct w:val="0"/>
        <w:autoSpaceDE/>
        <w:autoSpaceDN/>
        <w:bidi w:val="0"/>
        <w:adjustRightInd/>
        <w:snapToGrid/>
        <w:spacing w:before="0"/>
        <w:ind w:left="0" w:leftChars="0" w:firstLine="0" w:firstLineChars="0"/>
        <w:jc w:val="center"/>
        <w:textAlignment w:val="auto"/>
        <w:rPr>
          <w:rFonts w:hint="eastAsia" w:ascii="Times New Roman" w:hAnsi="Times New Roman" w:cs="Times New Roman"/>
          <w:b/>
          <w:bCs/>
          <w:highlight w:val="none"/>
          <w:lang w:val="en-US" w:eastAsia="zh-CN"/>
        </w:rPr>
      </w:pPr>
      <w:r>
        <w:rPr>
          <w:rFonts w:hint="eastAsia" w:ascii="Times New Roman" w:hAnsi="Times New Roman" w:cs="Times New Roman"/>
          <w:b/>
          <w:bCs/>
          <w:highlight w:val="none"/>
          <w:lang w:val="en-US" w:eastAsia="zh-CN"/>
        </w:rPr>
        <w:t>4-2 规划提档升级镇级公墓一览表</w:t>
      </w:r>
    </w:p>
    <w:tbl>
      <w:tblPr>
        <w:tblStyle w:val="1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71"/>
        <w:gridCol w:w="797"/>
        <w:gridCol w:w="1454"/>
        <w:gridCol w:w="800"/>
        <w:gridCol w:w="1525"/>
        <w:gridCol w:w="900"/>
        <w:gridCol w:w="900"/>
        <w:gridCol w:w="1625"/>
        <w:gridCol w:w="2357"/>
      </w:tblGrid>
      <w:tr w14:paraId="01E5D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6" w:hRule="atLeast"/>
          <w:tblHeader/>
        </w:trPr>
        <w:tc>
          <w:tcPr>
            <w:tcW w:w="4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E7FC9">
            <w:pPr>
              <w:keepNext w:val="0"/>
              <w:keepLines w:val="0"/>
              <w:pageBreakBefore w:val="0"/>
              <w:widowControl/>
              <w:suppressLineNumbers w:val="0"/>
              <w:kinsoku/>
              <w:wordWrap/>
              <w:overflowPunct/>
              <w:topLinePunct w:val="0"/>
              <w:autoSpaceDE/>
              <w:autoSpaceDN/>
              <w:bidi w:val="0"/>
              <w:adjustRightInd/>
              <w:snapToGrid w:val="0"/>
              <w:spacing w:after="0" w:line="279" w:lineRule="auto"/>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序号</w:t>
            </w:r>
          </w:p>
        </w:tc>
        <w:tc>
          <w:tcPr>
            <w:tcW w:w="7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AA012">
            <w:pPr>
              <w:keepNext w:val="0"/>
              <w:keepLines w:val="0"/>
              <w:pageBreakBefore w:val="0"/>
              <w:widowControl/>
              <w:suppressLineNumbers w:val="0"/>
              <w:kinsoku/>
              <w:wordWrap/>
              <w:overflowPunct/>
              <w:topLinePunct w:val="0"/>
              <w:autoSpaceDE/>
              <w:autoSpaceDN/>
              <w:bidi w:val="0"/>
              <w:adjustRightInd/>
              <w:snapToGrid w:val="0"/>
              <w:spacing w:after="0" w:line="279" w:lineRule="auto"/>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街道/镇</w:t>
            </w:r>
          </w:p>
        </w:tc>
        <w:tc>
          <w:tcPr>
            <w:tcW w:w="14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A8383">
            <w:pPr>
              <w:keepNext w:val="0"/>
              <w:keepLines w:val="0"/>
              <w:pageBreakBefore w:val="0"/>
              <w:widowControl/>
              <w:suppressLineNumbers w:val="0"/>
              <w:kinsoku/>
              <w:wordWrap/>
              <w:overflowPunct/>
              <w:topLinePunct w:val="0"/>
              <w:autoSpaceDE/>
              <w:autoSpaceDN/>
              <w:bidi w:val="0"/>
              <w:adjustRightInd/>
              <w:snapToGrid w:val="0"/>
              <w:spacing w:after="0" w:line="279" w:lineRule="auto"/>
              <w:ind w:left="0" w:leftChars="0" w:firstLine="0" w:firstLineChars="0"/>
              <w:jc w:val="center"/>
              <w:textAlignment w:val="center"/>
              <w:rPr>
                <w:rFonts w:hint="default"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原公墓名称</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F7978">
            <w:pPr>
              <w:keepNext w:val="0"/>
              <w:keepLines w:val="0"/>
              <w:pageBreakBefore w:val="0"/>
              <w:widowControl/>
              <w:suppressLineNumbers w:val="0"/>
              <w:kinsoku/>
              <w:wordWrap/>
              <w:overflowPunct/>
              <w:topLinePunct w:val="0"/>
              <w:autoSpaceDE/>
              <w:autoSpaceDN/>
              <w:bidi w:val="0"/>
              <w:adjustRightInd/>
              <w:snapToGrid w:val="0"/>
              <w:spacing w:after="0" w:line="279" w:lineRule="auto"/>
              <w:ind w:left="0" w:leftChars="0" w:firstLine="0" w:firstLineChars="0"/>
              <w:jc w:val="both"/>
              <w:textAlignment w:val="center"/>
              <w:rPr>
                <w:rFonts w:hint="default"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现状公墓级别</w:t>
            </w:r>
          </w:p>
        </w:tc>
        <w:tc>
          <w:tcPr>
            <w:tcW w:w="15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2F93D">
            <w:pPr>
              <w:keepNext w:val="0"/>
              <w:keepLines w:val="0"/>
              <w:pageBreakBefore w:val="0"/>
              <w:widowControl/>
              <w:suppressLineNumbers w:val="0"/>
              <w:kinsoku/>
              <w:wordWrap/>
              <w:overflowPunct/>
              <w:topLinePunct w:val="0"/>
              <w:autoSpaceDE/>
              <w:autoSpaceDN/>
              <w:bidi w:val="0"/>
              <w:adjustRightInd/>
              <w:snapToGrid w:val="0"/>
              <w:spacing w:after="0" w:line="279" w:lineRule="auto"/>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规划公墓名称</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93B84">
            <w:pPr>
              <w:keepNext w:val="0"/>
              <w:keepLines w:val="0"/>
              <w:pageBreakBefore w:val="0"/>
              <w:widowControl/>
              <w:suppressLineNumbers w:val="0"/>
              <w:kinsoku/>
              <w:wordWrap/>
              <w:overflowPunct/>
              <w:topLinePunct w:val="0"/>
              <w:autoSpaceDE/>
              <w:autoSpaceDN/>
              <w:bidi w:val="0"/>
              <w:adjustRightInd/>
              <w:snapToGrid w:val="0"/>
              <w:spacing w:after="0" w:line="279" w:lineRule="auto"/>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规划公墓级别</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C4E81">
            <w:pPr>
              <w:keepNext w:val="0"/>
              <w:keepLines w:val="0"/>
              <w:pageBreakBefore w:val="0"/>
              <w:widowControl/>
              <w:suppressLineNumbers w:val="0"/>
              <w:kinsoku/>
              <w:wordWrap/>
              <w:overflowPunct/>
              <w:topLinePunct w:val="0"/>
              <w:autoSpaceDE/>
              <w:autoSpaceDN/>
              <w:bidi w:val="0"/>
              <w:adjustRightInd/>
              <w:snapToGrid w:val="0"/>
              <w:spacing w:after="0" w:line="279" w:lineRule="auto"/>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总面积（亩）</w:t>
            </w:r>
          </w:p>
        </w:tc>
        <w:tc>
          <w:tcPr>
            <w:tcW w:w="1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C73F0">
            <w:pPr>
              <w:keepNext w:val="0"/>
              <w:keepLines w:val="0"/>
              <w:pageBreakBefore w:val="0"/>
              <w:widowControl/>
              <w:suppressLineNumbers w:val="0"/>
              <w:kinsoku/>
              <w:wordWrap/>
              <w:overflowPunct/>
              <w:topLinePunct w:val="0"/>
              <w:autoSpaceDE/>
              <w:autoSpaceDN/>
              <w:bidi w:val="0"/>
              <w:adjustRightInd/>
              <w:snapToGrid w:val="0"/>
              <w:spacing w:after="0" w:line="279" w:lineRule="auto"/>
              <w:ind w:left="0" w:leftChars="0" w:firstLine="0" w:firstLineChars="0"/>
              <w:jc w:val="center"/>
              <w:textAlignment w:val="center"/>
              <w:rPr>
                <w:rFonts w:hint="default"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新增用地面积</w:t>
            </w:r>
          </w:p>
        </w:tc>
        <w:tc>
          <w:tcPr>
            <w:tcW w:w="23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50A42">
            <w:pPr>
              <w:keepNext w:val="0"/>
              <w:keepLines w:val="0"/>
              <w:pageBreakBefore w:val="0"/>
              <w:widowControl/>
              <w:suppressLineNumbers w:val="0"/>
              <w:kinsoku/>
              <w:wordWrap/>
              <w:overflowPunct/>
              <w:topLinePunct w:val="0"/>
              <w:autoSpaceDE/>
              <w:autoSpaceDN/>
              <w:bidi w:val="0"/>
              <w:adjustRightInd/>
              <w:snapToGrid w:val="0"/>
              <w:spacing w:after="0" w:line="279" w:lineRule="auto"/>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备注</w:t>
            </w:r>
          </w:p>
        </w:tc>
      </w:tr>
      <w:tr w14:paraId="770B2B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62E0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default" w:ascii="仿宋" w:hAnsi="仿宋" w:eastAsia="仿宋" w:cs="仿宋"/>
                <w:b w:val="0"/>
                <w:bCs w:val="0"/>
                <w:i w:val="0"/>
                <w:iCs w:val="0"/>
                <w:color w:val="000000"/>
                <w:kern w:val="0"/>
                <w:sz w:val="24"/>
                <w:szCs w:val="24"/>
                <w:u w:val="none"/>
                <w:lang w:val="en-US" w:eastAsia="zh-CN" w:bidi="ar"/>
                <w14:ligatures w14:val="standardContextual"/>
              </w:rPr>
              <w:t>1</w:t>
            </w:r>
          </w:p>
        </w:tc>
        <w:tc>
          <w:tcPr>
            <w:tcW w:w="7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99BFD">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安福寺镇</w:t>
            </w:r>
          </w:p>
        </w:tc>
        <w:tc>
          <w:tcPr>
            <w:tcW w:w="14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7AE49">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灵芝山村公益性公墓</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73586">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15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36026">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灵芝山区域性公墓</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2BA56">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镇级</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1317F">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11.36</w:t>
            </w:r>
          </w:p>
        </w:tc>
        <w:tc>
          <w:tcPr>
            <w:tcW w:w="1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D0A07">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9.13</w:t>
            </w:r>
          </w:p>
        </w:tc>
        <w:tc>
          <w:tcPr>
            <w:tcW w:w="23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B0F10">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保留村级公墓基础上提档升级并扩建9.13亩</w:t>
            </w:r>
          </w:p>
        </w:tc>
      </w:tr>
      <w:tr w14:paraId="6707F4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DD0D4">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w:t>
            </w:r>
          </w:p>
        </w:tc>
        <w:tc>
          <w:tcPr>
            <w:tcW w:w="7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DC51D">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董市镇</w:t>
            </w:r>
          </w:p>
        </w:tc>
        <w:tc>
          <w:tcPr>
            <w:tcW w:w="14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0F38B">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福星村公益性公墓</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C1ED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15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EB353">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福星区域性公墓</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EE07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镇级</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A9869">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33.05</w:t>
            </w:r>
          </w:p>
        </w:tc>
        <w:tc>
          <w:tcPr>
            <w:tcW w:w="1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4514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w:t>
            </w:r>
          </w:p>
        </w:tc>
        <w:tc>
          <w:tcPr>
            <w:tcW w:w="23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C884B">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保留村级公墓基础上提档升级，不新增用地</w:t>
            </w:r>
          </w:p>
        </w:tc>
      </w:tr>
      <w:tr w14:paraId="7663A0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9EF06">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w:t>
            </w:r>
          </w:p>
        </w:tc>
        <w:tc>
          <w:tcPr>
            <w:tcW w:w="7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D4E4D">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问安镇</w:t>
            </w:r>
          </w:p>
        </w:tc>
        <w:tc>
          <w:tcPr>
            <w:tcW w:w="14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ECC0A">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龙泉堂村公益性公墓</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339C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15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B5002">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龙泉堂区域性公墓</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F80E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镇级</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C8641">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10.83</w:t>
            </w:r>
          </w:p>
        </w:tc>
        <w:tc>
          <w:tcPr>
            <w:tcW w:w="1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B2D5F">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w:t>
            </w:r>
          </w:p>
        </w:tc>
        <w:tc>
          <w:tcPr>
            <w:tcW w:w="23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B8C6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保留村级公墓基础上提档升级，不新增用地</w:t>
            </w:r>
          </w:p>
        </w:tc>
      </w:tr>
      <w:tr w14:paraId="0CB1E3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F8233">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w:t>
            </w:r>
          </w:p>
        </w:tc>
        <w:tc>
          <w:tcPr>
            <w:tcW w:w="7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FF0DD">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七星台镇</w:t>
            </w:r>
          </w:p>
        </w:tc>
        <w:tc>
          <w:tcPr>
            <w:tcW w:w="14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99CF2">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李家岗村公益性公墓</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2E11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15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8336E">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李家岗区域性公墓</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0F1E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镇级</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A0620">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17.21</w:t>
            </w:r>
          </w:p>
        </w:tc>
        <w:tc>
          <w:tcPr>
            <w:tcW w:w="1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88AE0">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w:t>
            </w:r>
          </w:p>
        </w:tc>
        <w:tc>
          <w:tcPr>
            <w:tcW w:w="23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A91D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保留村级公墓基础上提档升级，不新增用地</w:t>
            </w:r>
          </w:p>
        </w:tc>
      </w:tr>
    </w:tbl>
    <w:p w14:paraId="7B734E05">
      <w:pPr>
        <w:pStyle w:val="21"/>
        <w:numPr>
          <w:ilvl w:val="0"/>
          <w:numId w:val="14"/>
        </w:numPr>
        <w:spacing w:before="156"/>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分镇规划情况</w:t>
      </w:r>
    </w:p>
    <w:p w14:paraId="381FFCD3">
      <w:pPr>
        <w:pStyle w:val="19"/>
        <w:keepNext w:val="0"/>
        <w:keepLines w:val="0"/>
        <w:pageBreakBefore w:val="0"/>
        <w:widowControl w:val="0"/>
        <w:numPr>
          <w:ilvl w:val="0"/>
          <w:numId w:val="16"/>
        </w:numPr>
        <w:kinsoku/>
        <w:wordWrap/>
        <w:overflowPunct/>
        <w:topLinePunct w:val="0"/>
        <w:autoSpaceDE/>
        <w:autoSpaceDN/>
        <w:bidi w:val="0"/>
        <w:adjustRightInd/>
        <w:snapToGrid/>
        <w:spacing w:before="0"/>
        <w:ind w:firstLine="480"/>
        <w:textAlignment w:val="auto"/>
        <w:rPr>
          <w:rFonts w:hint="eastAsia"/>
          <w:lang w:val="en-US" w:eastAsia="zh-CN"/>
        </w:rPr>
      </w:pPr>
      <w:r>
        <w:rPr>
          <w:rFonts w:hint="eastAsia"/>
          <w:lang w:val="en-US" w:eastAsia="zh-CN"/>
        </w:rPr>
        <w:t>马家店街道</w:t>
      </w:r>
    </w:p>
    <w:p w14:paraId="2C4EF44A">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新建公墓：规划新建公墓2个，包括县级经营性公墓1个（即枝江市润泽经营性公墓）、村级（多村联建）公益性公墓1个。​</w:t>
      </w:r>
    </w:p>
    <w:p w14:paraId="179F2B48">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保留公墓：保留现状公墓9个，其中县级公益性公墓1个（即枝江市润泽园公益性公墓）、村级公益性公墓8个；按管理类型分，备案管理公墓</w:t>
      </w:r>
      <w:r>
        <w:rPr>
          <w:rFonts w:hint="eastAsia" w:ascii="Times New Roman" w:hAnsi="Times New Roman" w:cs="Times New Roman"/>
          <w:highlight w:val="none"/>
          <w:lang w:val="en-US" w:eastAsia="zh-CN"/>
        </w:rPr>
        <w:t>4</w:t>
      </w:r>
      <w:r>
        <w:rPr>
          <w:rFonts w:hint="default" w:ascii="Times New Roman" w:hAnsi="Times New Roman" w:cs="Times New Roman"/>
          <w:highlight w:val="none"/>
          <w:lang w:val="en-US" w:eastAsia="zh-CN"/>
        </w:rPr>
        <w:t>个、封闭管理公墓</w:t>
      </w:r>
      <w:r>
        <w:rPr>
          <w:rFonts w:hint="eastAsia" w:ascii="Times New Roman" w:hAnsi="Times New Roman" w:cs="Times New Roman"/>
          <w:highlight w:val="none"/>
          <w:lang w:val="en-US" w:eastAsia="zh-CN"/>
        </w:rPr>
        <w:t>5</w:t>
      </w:r>
      <w:r>
        <w:rPr>
          <w:rFonts w:hint="default" w:ascii="Times New Roman" w:hAnsi="Times New Roman" w:cs="Times New Roman"/>
          <w:highlight w:val="none"/>
          <w:lang w:val="en-US" w:eastAsia="zh-CN"/>
        </w:rPr>
        <w:t>个。</w:t>
      </w:r>
    </w:p>
    <w:p w14:paraId="0784E51B">
      <w:pPr>
        <w:pStyle w:val="19"/>
        <w:keepNext w:val="0"/>
        <w:keepLines w:val="0"/>
        <w:pageBreakBefore w:val="0"/>
        <w:widowControl w:val="0"/>
        <w:numPr>
          <w:ilvl w:val="0"/>
          <w:numId w:val="16"/>
        </w:numPr>
        <w:kinsoku/>
        <w:wordWrap/>
        <w:overflowPunct/>
        <w:topLinePunct w:val="0"/>
        <w:autoSpaceDE/>
        <w:autoSpaceDN/>
        <w:bidi w:val="0"/>
        <w:adjustRightInd/>
        <w:snapToGrid/>
        <w:spacing w:before="0"/>
        <w:ind w:firstLine="480"/>
        <w:textAlignment w:val="auto"/>
        <w:rPr>
          <w:rFonts w:hint="eastAsia"/>
          <w:lang w:val="en-US" w:eastAsia="zh-CN"/>
        </w:rPr>
      </w:pPr>
      <w:r>
        <w:rPr>
          <w:rFonts w:hint="eastAsia"/>
          <w:lang w:val="en-US" w:eastAsia="zh-CN"/>
        </w:rPr>
        <w:t>安福寺镇</w:t>
      </w:r>
    </w:p>
    <w:p w14:paraId="4ED1C06D">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新建公墓：规划新建公墓8个，其中镇级公益性公墓1个（原村级公益性公墓基础提档升级并扩建）、村级（单村建设）公益性公墓7个；其他现有公墓重点完善配套设施。</w:t>
      </w:r>
    </w:p>
    <w:p w14:paraId="38D2F4A9">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新建殡仪服务设施：新建镇级殡仪服务站1个，结合安福寺镇镇区规划范围与灵芝山区域性公墓联动布置，增设遗体冷藏、简单整容化妆拓展功能。​</w:t>
      </w:r>
    </w:p>
    <w:p w14:paraId="587FFBA7">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保留公墓：保留现状公墓24个，均为村级公益性公墓；按管理类型分，备案管理公墓16个、封闭管理公墓8个。</w:t>
      </w:r>
    </w:p>
    <w:p w14:paraId="045E3181">
      <w:pPr>
        <w:pStyle w:val="19"/>
        <w:keepNext w:val="0"/>
        <w:keepLines w:val="0"/>
        <w:pageBreakBefore w:val="0"/>
        <w:widowControl w:val="0"/>
        <w:numPr>
          <w:ilvl w:val="0"/>
          <w:numId w:val="16"/>
        </w:numPr>
        <w:kinsoku/>
        <w:wordWrap/>
        <w:overflowPunct/>
        <w:topLinePunct w:val="0"/>
        <w:autoSpaceDE/>
        <w:autoSpaceDN/>
        <w:bidi w:val="0"/>
        <w:adjustRightInd/>
        <w:snapToGrid/>
        <w:spacing w:before="0"/>
        <w:ind w:firstLine="480"/>
        <w:textAlignment w:val="auto"/>
        <w:rPr>
          <w:rFonts w:hint="eastAsia"/>
          <w:lang w:val="en-US" w:eastAsia="zh-CN"/>
        </w:rPr>
      </w:pPr>
      <w:r>
        <w:rPr>
          <w:rFonts w:hint="eastAsia"/>
          <w:lang w:val="en-US" w:eastAsia="zh-CN"/>
        </w:rPr>
        <w:t>顾家店镇</w:t>
      </w:r>
    </w:p>
    <w:p w14:paraId="3F7A5DDE">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新建公墓：规划新建公墓5个，均为村级（单村建设）公益性公墓；其他现有公墓重点完善配套设施。​</w:t>
      </w:r>
    </w:p>
    <w:p w14:paraId="7AF4A0B6">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新建殡仪服务设施：新建镇级殡仪服务站1个，结合顾家店镇镇区规划范围与镇域规划镇级公墓联动布置，设置基础功能区。​</w:t>
      </w:r>
    </w:p>
    <w:p w14:paraId="116B7AC8">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保留公墓：保留现状公墓16个，其中镇级公益性公墓1个（即长岭岗区域性公墓），村级公益性公墓15个；按管理类型分，备案管理公墓13个、封闭管理公墓3个。</w:t>
      </w:r>
    </w:p>
    <w:p w14:paraId="2D48C60E">
      <w:pPr>
        <w:pStyle w:val="19"/>
        <w:keepNext w:val="0"/>
        <w:keepLines w:val="0"/>
        <w:pageBreakBefore w:val="0"/>
        <w:widowControl w:val="0"/>
        <w:numPr>
          <w:ilvl w:val="0"/>
          <w:numId w:val="16"/>
        </w:numPr>
        <w:kinsoku/>
        <w:wordWrap/>
        <w:overflowPunct/>
        <w:topLinePunct w:val="0"/>
        <w:autoSpaceDE/>
        <w:autoSpaceDN/>
        <w:bidi w:val="0"/>
        <w:adjustRightInd/>
        <w:snapToGrid/>
        <w:spacing w:before="0"/>
        <w:ind w:firstLine="480"/>
        <w:textAlignment w:val="auto"/>
        <w:rPr>
          <w:rFonts w:hint="eastAsia"/>
          <w:lang w:val="en-US" w:eastAsia="zh-CN"/>
        </w:rPr>
      </w:pPr>
      <w:r>
        <w:rPr>
          <w:rFonts w:hint="eastAsia"/>
          <w:lang w:val="en-US" w:eastAsia="zh-CN"/>
        </w:rPr>
        <w:t>董市镇</w:t>
      </w:r>
    </w:p>
    <w:p w14:paraId="304317A1">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新建公墓：规划新建公墓6个，其中镇级公益性公墓1个（原村级公益性公墓基础上提档升级而不扩建用地）、村级（单村建设）公益性公墓；其他现有公墓重点完善配套设施。</w:t>
      </w:r>
    </w:p>
    <w:p w14:paraId="479CD0B2">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新建殡仪服务设施：新建镇级殡仪服务站 1 个，结合董市镇镇区规划范围与福星区域性公墓联动布置，增设遗体冷藏、简单整容化妆拓展功能。​</w:t>
      </w:r>
    </w:p>
    <w:p w14:paraId="65FFAF7A">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保留公墓：保留现状公墓27个，均为村级公益性公墓；按管理类型分，备案管理公墓15个、封闭管理公墓12个。</w:t>
      </w:r>
    </w:p>
    <w:p w14:paraId="5AD91CEE">
      <w:pPr>
        <w:pStyle w:val="19"/>
        <w:keepNext w:val="0"/>
        <w:keepLines w:val="0"/>
        <w:pageBreakBefore w:val="0"/>
        <w:widowControl w:val="0"/>
        <w:numPr>
          <w:ilvl w:val="0"/>
          <w:numId w:val="16"/>
        </w:numPr>
        <w:kinsoku/>
        <w:wordWrap/>
        <w:overflowPunct/>
        <w:topLinePunct w:val="0"/>
        <w:autoSpaceDE/>
        <w:autoSpaceDN/>
        <w:bidi w:val="0"/>
        <w:adjustRightInd/>
        <w:snapToGrid/>
        <w:spacing w:before="0"/>
        <w:ind w:firstLine="480"/>
        <w:textAlignment w:val="auto"/>
        <w:rPr>
          <w:rFonts w:hint="eastAsia"/>
          <w:lang w:val="en-US" w:eastAsia="zh-CN"/>
        </w:rPr>
      </w:pPr>
      <w:r>
        <w:rPr>
          <w:rFonts w:hint="eastAsia"/>
          <w:lang w:val="en-US" w:eastAsia="zh-CN"/>
        </w:rPr>
        <w:t>仙女镇</w:t>
      </w:r>
    </w:p>
    <w:p w14:paraId="5EE36C39">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新建公墓：规划新建公墓8个，均为村级（单村建设）公益性公墓；其他现有公墓重点完善配套设施。​</w:t>
      </w:r>
    </w:p>
    <w:p w14:paraId="4EF439BE">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新建殡仪服务设施：新建镇级殡仪服务站1个，结合仙女镇镇区规划范围与镇域规划镇级公墓联动布置，设置基础功能区。​</w:t>
      </w:r>
    </w:p>
    <w:p w14:paraId="49B466F3">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保留公墓：保留现状公墓28个，其中镇级公益性公墓1个（即仙女区域性公墓），村级公益性公墓27个；按管理类型分，备案管理公墓18个、封闭管理公墓10个。</w:t>
      </w:r>
    </w:p>
    <w:p w14:paraId="1B2ADCFC">
      <w:pPr>
        <w:pStyle w:val="19"/>
        <w:keepNext w:val="0"/>
        <w:keepLines w:val="0"/>
        <w:pageBreakBefore w:val="0"/>
        <w:widowControl w:val="0"/>
        <w:numPr>
          <w:ilvl w:val="0"/>
          <w:numId w:val="16"/>
        </w:numPr>
        <w:kinsoku/>
        <w:wordWrap/>
        <w:overflowPunct/>
        <w:topLinePunct w:val="0"/>
        <w:autoSpaceDE/>
        <w:autoSpaceDN/>
        <w:bidi w:val="0"/>
        <w:adjustRightInd/>
        <w:snapToGrid/>
        <w:spacing w:before="0"/>
        <w:ind w:firstLine="480"/>
        <w:textAlignment w:val="auto"/>
        <w:rPr>
          <w:rFonts w:hint="eastAsia"/>
          <w:lang w:val="en-US" w:eastAsia="zh-CN"/>
        </w:rPr>
      </w:pPr>
      <w:r>
        <w:rPr>
          <w:rFonts w:hint="eastAsia"/>
          <w:lang w:val="en-US" w:eastAsia="zh-CN"/>
        </w:rPr>
        <w:t>问安镇</w:t>
      </w:r>
    </w:p>
    <w:p w14:paraId="4F59B9D7">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新建公墓：规划新建公墓9个，其中镇级公益性公墓1个（原村级公益性公墓基础上提档升级而不扩建用地）、村级公益性公墓8个（多村联建 1个、单村建设7个）；由于龙泉堂区域性公墓剩余可作为墓位用地不足以满足服务对象30年周期墓位需求，且周边用地条件限制，根据问安镇民政部门意见，拟在新建四岗村公益性公墓预留20亩空间作为镇级区域性公墓存量用地；其他现有公墓重点完善配套设施。​</w:t>
      </w:r>
    </w:p>
    <w:p w14:paraId="2F64006D">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新建殡仪服务设施：新建镇级殡仪服务站 1 个，结合问安镇镇区规划范围与龙泉堂区域性公墓联动布置，设置基础功能区。</w:t>
      </w:r>
    </w:p>
    <w:p w14:paraId="18DCC3D7">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保留公墓：保留现状公墓 27个，均为村级公益性公墓；按管理类型分，备案管理公墓 8 个、封闭管理公墓 19 个。</w:t>
      </w:r>
    </w:p>
    <w:p w14:paraId="6B007F62">
      <w:pPr>
        <w:pStyle w:val="19"/>
        <w:keepNext w:val="0"/>
        <w:keepLines w:val="0"/>
        <w:pageBreakBefore w:val="0"/>
        <w:widowControl w:val="0"/>
        <w:numPr>
          <w:ilvl w:val="0"/>
          <w:numId w:val="16"/>
        </w:numPr>
        <w:kinsoku/>
        <w:wordWrap/>
        <w:overflowPunct/>
        <w:topLinePunct w:val="0"/>
        <w:autoSpaceDE/>
        <w:autoSpaceDN/>
        <w:bidi w:val="0"/>
        <w:adjustRightInd/>
        <w:snapToGrid/>
        <w:spacing w:before="0"/>
        <w:ind w:firstLine="480"/>
        <w:textAlignment w:val="auto"/>
        <w:rPr>
          <w:rFonts w:hint="eastAsia"/>
          <w:lang w:val="en-US" w:eastAsia="zh-CN"/>
        </w:rPr>
      </w:pPr>
      <w:r>
        <w:rPr>
          <w:rFonts w:hint="eastAsia"/>
          <w:lang w:val="en-US" w:eastAsia="zh-CN"/>
        </w:rPr>
        <w:t>七星台镇</w:t>
      </w:r>
    </w:p>
    <w:p w14:paraId="7E368CF5">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新建公墓：规划新建公墓5个，其中镇级公益性公墓1个（原村级公益性公墓基础上提档升级而不扩建用地），村级公益性公墓4个（多村联建1个、单村建设3个）；由于李家岗区域性公墓剩余可作为墓位用地不足以满足服务对象30年周期墓位需求，且周边用地条件限制，根据七星台镇民政部门意见，拟在新建江会寺村区域性公墓预留15亩空间作为镇级区域性公墓存量用地；其他现有公墓重点完善配套设施。​</w:t>
      </w:r>
    </w:p>
    <w:p w14:paraId="1354A36A">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新建殡仪服务设施：新建镇级殡仪服务站 1 个，结合七星台镇镇区规划范围与李家岗区域性公墓联动布置，设置基础功能区。​</w:t>
      </w:r>
    </w:p>
    <w:p w14:paraId="4CDFD991">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保留公墓：保留现状公墓25个，均为村级公益性公墓；按管理类型分，其中备案管理公墓11个，封闭管理公墓14个。</w:t>
      </w:r>
    </w:p>
    <w:p w14:paraId="5C861C9E">
      <w:pPr>
        <w:pStyle w:val="19"/>
        <w:keepNext w:val="0"/>
        <w:keepLines w:val="0"/>
        <w:pageBreakBefore w:val="0"/>
        <w:widowControl w:val="0"/>
        <w:numPr>
          <w:ilvl w:val="0"/>
          <w:numId w:val="16"/>
        </w:numPr>
        <w:kinsoku/>
        <w:wordWrap/>
        <w:overflowPunct/>
        <w:topLinePunct w:val="0"/>
        <w:autoSpaceDE/>
        <w:autoSpaceDN/>
        <w:bidi w:val="0"/>
        <w:adjustRightInd/>
        <w:snapToGrid/>
        <w:spacing w:before="0"/>
        <w:ind w:firstLine="480"/>
        <w:textAlignment w:val="auto"/>
        <w:rPr>
          <w:rFonts w:hint="eastAsia"/>
          <w:lang w:val="en-US" w:eastAsia="zh-CN"/>
        </w:rPr>
      </w:pPr>
      <w:r>
        <w:rPr>
          <w:rFonts w:hint="eastAsia"/>
          <w:lang w:val="en-US" w:eastAsia="zh-CN"/>
        </w:rPr>
        <w:t>百里洲镇</w:t>
      </w:r>
    </w:p>
    <w:p w14:paraId="79D5F63F">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新建公墓：规划新建公墓6个，均为村级（多村联建）公益性公墓；由于百里洲镇区位、交通、用地等条件的限制，不进行镇级公墓的规划布置，由六个多村联建区域性公墓均分配置的形式覆盖全镇各中心村、行政村；其他现有公墓重点完善配套设施。​</w:t>
      </w:r>
    </w:p>
    <w:p w14:paraId="136190CB">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新建殡仪服务设施：新建镇级殡仪服务站 1 个，结合百里洲镇镇区规划范围与镇域交通条件联动布置，设置基础功能区。​</w:t>
      </w:r>
    </w:p>
    <w:p w14:paraId="47C01A3D">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保留公墓：保留现状公墓7个，均为村级公益性公墓；按管理类型分，其中备案管理公墓3个，封闭管理公墓4个。</w:t>
      </w:r>
    </w:p>
    <w:p w14:paraId="1B9732D6">
      <w:pPr>
        <w:pStyle w:val="21"/>
        <w:numPr>
          <w:ilvl w:val="0"/>
          <w:numId w:val="14"/>
        </w:numPr>
        <w:spacing w:before="156"/>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现状私募安置</w:t>
      </w:r>
    </w:p>
    <w:p w14:paraId="180D2350">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随着美丽乡村建设的深入推进，旅游业的发展，必须对乱埋乱葬的墓穴进行搬迁。</w:t>
      </w:r>
    </w:p>
    <w:p w14:paraId="0BC8A05B">
      <w:pPr>
        <w:pStyle w:val="19"/>
        <w:keepNext w:val="0"/>
        <w:keepLines w:val="0"/>
        <w:pageBreakBefore w:val="0"/>
        <w:widowControl w:val="0"/>
        <w:numPr>
          <w:ilvl w:val="0"/>
          <w:numId w:val="17"/>
        </w:numPr>
        <w:kinsoku/>
        <w:wordWrap/>
        <w:overflowPunct/>
        <w:topLinePunct w:val="0"/>
        <w:autoSpaceDE/>
        <w:autoSpaceDN/>
        <w:bidi w:val="0"/>
        <w:adjustRightInd/>
        <w:snapToGrid/>
        <w:spacing w:before="0"/>
        <w:ind w:firstLine="480"/>
        <w:textAlignment w:val="auto"/>
        <w:rPr>
          <w:rFonts w:hint="eastAsia"/>
          <w:lang w:val="en-US" w:eastAsia="zh-CN"/>
        </w:rPr>
      </w:pPr>
      <w:r>
        <w:rPr>
          <w:rFonts w:hint="eastAsia"/>
          <w:lang w:val="en-US" w:eastAsia="zh-CN"/>
        </w:rPr>
        <w:t>中心城区现状私墓安置</w:t>
      </w:r>
    </w:p>
    <w:p w14:paraId="77B77E0F">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据统计，马家店街道余家溪村、拽车村等地点共有私墓约640座，规划将私墓搬迁至县级公墓。其余各乡镇私墓搬迁原则上在本乡镇解决，搬迁至服务范围对应的规划公墓点。</w:t>
      </w:r>
    </w:p>
    <w:p w14:paraId="5808BA0D">
      <w:pPr>
        <w:pStyle w:val="19"/>
        <w:keepNext w:val="0"/>
        <w:keepLines w:val="0"/>
        <w:pageBreakBefore w:val="0"/>
        <w:widowControl w:val="0"/>
        <w:numPr>
          <w:ilvl w:val="0"/>
          <w:numId w:val="17"/>
        </w:numPr>
        <w:kinsoku/>
        <w:wordWrap/>
        <w:overflowPunct/>
        <w:topLinePunct w:val="0"/>
        <w:autoSpaceDE/>
        <w:autoSpaceDN/>
        <w:bidi w:val="0"/>
        <w:adjustRightInd/>
        <w:snapToGrid/>
        <w:spacing w:before="0"/>
        <w:ind w:firstLine="480"/>
        <w:textAlignment w:val="auto"/>
        <w:rPr>
          <w:rFonts w:hint="eastAsia"/>
          <w:lang w:val="en-US" w:eastAsia="zh-CN"/>
        </w:rPr>
      </w:pPr>
      <w:r>
        <w:rPr>
          <w:rFonts w:hint="eastAsia"/>
          <w:lang w:val="en-US" w:eastAsia="zh-CN"/>
        </w:rPr>
        <w:t>现状私墓搬迁时序</w:t>
      </w:r>
    </w:p>
    <w:p w14:paraId="4F0116E5">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首先有步骤地对高速公路、主干道、主河道、铁路两侧和城镇建设规划区、居民集中区、水源保护区、农田保护区、自然保护区范围内的散葬坟墓实施搬迁。然后结合绿色节地型殡葬设施建设标准将散坟就近迁移至规划公墓点。统计，马家店街道余家溪村、拽车村等地点共有私墓约640座，规划将私墓搬迁至县级公墓。其余各乡镇私墓搬迁原则上在本乡镇解决，搬迁至服务范围对应的规划公墓点。</w:t>
      </w:r>
    </w:p>
    <w:p w14:paraId="07DECD32">
      <w:pPr>
        <w:pStyle w:val="21"/>
        <w:numPr>
          <w:ilvl w:val="0"/>
          <w:numId w:val="14"/>
        </w:numPr>
        <w:spacing w:before="156"/>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现状公墓核实整改与分类管理</w:t>
      </w:r>
    </w:p>
    <w:p w14:paraId="7426F650">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为确保现状公益性公墓符合现行国土空间管制要求，2025年5月，枝江市民政局联合市城市管理执法大队对全市166个现状公益性公墓开展全面现状踏勘与数据核查工作，重点核查公墓用地性质、建设合规性、设施安全性及生态影响等内容。​根据核查结果及现行国土空间规划、殡葬管理相关政策要求，对现状 166 个公益性公墓实行分类管理。​</w:t>
      </w:r>
    </w:p>
    <w:p w14:paraId="7787ECFA">
      <w:pPr>
        <w:pStyle w:val="19"/>
        <w:keepNext w:val="0"/>
        <w:keepLines w:val="0"/>
        <w:pageBreakBefore w:val="0"/>
        <w:widowControl w:val="0"/>
        <w:numPr>
          <w:ilvl w:val="0"/>
          <w:numId w:val="18"/>
        </w:numPr>
        <w:kinsoku/>
        <w:wordWrap/>
        <w:overflowPunct/>
        <w:topLinePunct w:val="0"/>
        <w:autoSpaceDE/>
        <w:autoSpaceDN/>
        <w:bidi w:val="0"/>
        <w:adjustRightInd/>
        <w:snapToGrid/>
        <w:spacing w:before="0"/>
        <w:ind w:firstLine="480"/>
        <w:textAlignment w:val="auto"/>
        <w:rPr>
          <w:rFonts w:hint="eastAsia"/>
          <w:lang w:val="en-US" w:eastAsia="zh-CN"/>
        </w:rPr>
      </w:pPr>
      <w:r>
        <w:rPr>
          <w:rFonts w:hint="eastAsia"/>
          <w:lang w:val="en-US" w:eastAsia="zh-CN"/>
        </w:rPr>
        <w:t>备案管理公墓</w:t>
      </w:r>
    </w:p>
    <w:p w14:paraId="3E886D51">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共计89个，</w:t>
      </w:r>
      <w:r>
        <w:rPr>
          <w:rFonts w:hint="default" w:ascii="Times New Roman" w:hAnsi="Times New Roman" w:cs="Times New Roman"/>
          <w:highlight w:val="none"/>
          <w:lang w:val="en-US" w:eastAsia="zh-CN"/>
        </w:rPr>
        <w:t>此类公墓用地性质符合规划和国土空间管制要求、设施功能完善且无生态环境风险，纳入备案管理清单，由属地乡镇政府及村（社区）负责日常运营维护，市民政局定期开展监督检查，确保其规范运营。</w:t>
      </w:r>
    </w:p>
    <w:p w14:paraId="11D5CBC5">
      <w:pPr>
        <w:pStyle w:val="19"/>
        <w:keepNext w:val="0"/>
        <w:keepLines w:val="0"/>
        <w:pageBreakBefore w:val="0"/>
        <w:widowControl w:val="0"/>
        <w:numPr>
          <w:ilvl w:val="0"/>
          <w:numId w:val="18"/>
        </w:numPr>
        <w:kinsoku/>
        <w:wordWrap/>
        <w:overflowPunct/>
        <w:topLinePunct w:val="0"/>
        <w:autoSpaceDE/>
        <w:autoSpaceDN/>
        <w:bidi w:val="0"/>
        <w:adjustRightInd/>
        <w:snapToGrid/>
        <w:spacing w:before="0"/>
        <w:ind w:firstLine="480"/>
        <w:textAlignment w:val="auto"/>
        <w:rPr>
          <w:rFonts w:hint="eastAsia"/>
          <w:lang w:val="en-US" w:eastAsia="zh-CN"/>
        </w:rPr>
      </w:pPr>
      <w:r>
        <w:rPr>
          <w:rFonts w:hint="eastAsia"/>
          <w:lang w:val="en-US" w:eastAsia="zh-CN"/>
        </w:rPr>
        <w:t>封闭管理公墓</w:t>
      </w:r>
    </w:p>
    <w:p w14:paraId="2631C031">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共计77个，</w:t>
      </w:r>
      <w:r>
        <w:rPr>
          <w:rFonts w:hint="default" w:ascii="Times New Roman" w:hAnsi="Times New Roman" w:cs="Times New Roman"/>
          <w:highlight w:val="none"/>
          <w:lang w:val="en-US" w:eastAsia="zh-CN"/>
        </w:rPr>
        <w:t>此类公墓因用地不符合现行国土空间管制要求（如压占耕地、公益林等）、设施存在重大安全隐患或已无实际安葬需求，纳入封闭管理清单。封闭管理后将停止在设计新增墓穴建设，对现有墓穴进行妥善保护。</w:t>
      </w:r>
    </w:p>
    <w:p w14:paraId="536DD35C">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各管理类型公益性公墓的具体管理条例、实施细则及操作流程，以枝江市民政局后续印发的专项管理文件为准，确保分类管理工作落地见效。</w:t>
      </w:r>
    </w:p>
    <w:p w14:paraId="2EA0A5D2">
      <w:pPr>
        <w:pStyle w:val="19"/>
        <w:keepNext w:val="0"/>
        <w:keepLines w:val="0"/>
        <w:pageBreakBefore w:val="0"/>
        <w:widowControl w:val="0"/>
        <w:kinsoku/>
        <w:wordWrap/>
        <w:overflowPunct/>
        <w:topLinePunct w:val="0"/>
        <w:autoSpaceDE/>
        <w:autoSpaceDN/>
        <w:bidi w:val="0"/>
        <w:adjustRightInd/>
        <w:snapToGrid/>
        <w:spacing w:before="0"/>
        <w:ind w:left="0" w:leftChars="0" w:firstLine="0" w:firstLineChars="0"/>
        <w:jc w:val="center"/>
        <w:textAlignment w:val="auto"/>
        <w:rPr>
          <w:rFonts w:hint="eastAsia" w:ascii="Times New Roman" w:hAnsi="Times New Roman" w:cs="Times New Roman"/>
          <w:b/>
          <w:bCs/>
          <w:highlight w:val="none"/>
          <w:lang w:val="en-US" w:eastAsia="zh-CN"/>
        </w:rPr>
      </w:pPr>
      <w:r>
        <w:rPr>
          <w:rFonts w:hint="eastAsia" w:ascii="Times New Roman" w:hAnsi="Times New Roman" w:cs="Times New Roman"/>
          <w:b/>
          <w:bCs/>
          <w:highlight w:val="none"/>
          <w:lang w:val="en-US" w:eastAsia="zh-CN"/>
        </w:rPr>
        <w:t>4-3 实行备案管理现状公墓一览表</w:t>
      </w:r>
    </w:p>
    <w:tbl>
      <w:tblPr>
        <w:tblStyle w:val="11"/>
        <w:tblW w:w="5003"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65"/>
        <w:gridCol w:w="845"/>
        <w:gridCol w:w="1520"/>
        <w:gridCol w:w="3564"/>
        <w:gridCol w:w="941"/>
        <w:gridCol w:w="1060"/>
        <w:gridCol w:w="2241"/>
      </w:tblGrid>
      <w:tr w14:paraId="07590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2" w:hRule="atLeast"/>
          <w:tblHeader/>
        </w:trPr>
        <w:tc>
          <w:tcPr>
            <w:tcW w:w="3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A21CA">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序号</w:t>
            </w:r>
          </w:p>
        </w:tc>
        <w:tc>
          <w:tcPr>
            <w:tcW w:w="3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0CE02">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街道/镇</w:t>
            </w: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4E30B">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社区/村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2891A">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公墓名称</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887AF">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公墓级别</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1B1BF">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面积（亩）</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A827E">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备注</w:t>
            </w:r>
          </w:p>
        </w:tc>
      </w:tr>
      <w:tr w14:paraId="129679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restart"/>
            <w:tcBorders>
              <w:top w:val="single" w:color="000000" w:sz="4" w:space="0"/>
              <w:left w:val="single" w:color="000000" w:sz="4" w:space="0"/>
              <w:right w:val="single" w:color="000000" w:sz="4" w:space="0"/>
            </w:tcBorders>
            <w:shd w:val="clear" w:color="auto" w:fill="auto"/>
            <w:vAlign w:val="center"/>
          </w:tcPr>
          <w:p w14:paraId="0C8EA5AC">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restart"/>
            <w:tcBorders>
              <w:top w:val="single" w:color="000000" w:sz="4" w:space="0"/>
              <w:left w:val="single" w:color="000000" w:sz="4" w:space="0"/>
              <w:right w:val="single" w:color="000000" w:sz="4" w:space="0"/>
            </w:tcBorders>
            <w:shd w:val="clear" w:color="auto" w:fill="auto"/>
            <w:noWrap/>
            <w:vAlign w:val="center"/>
          </w:tcPr>
          <w:p w14:paraId="23F124B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55A8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宝筏寺村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AD74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宝筏寺村公益性公墓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23EC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5A72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1.53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F773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3B8532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AD273A">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97DD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D3B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计划村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1DD3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计划村公益性公墓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5C46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1E59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12.64</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18FC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7C150A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2"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73B199">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AAC7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929B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双寿桥社区</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85EA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双寿桥社区公益性公墓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2257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77EC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4.21</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FA17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EF59F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2E50ED">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1A43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4197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永收垸村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DE84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永收垸村公益性公墓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A7DE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5AF3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13.65</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0C93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79812C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B74CB">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default" w:ascii="仿宋" w:hAnsi="仿宋" w:eastAsia="仿宋" w:cs="仿宋"/>
                <w:b w:val="0"/>
                <w:bCs w:val="0"/>
                <w:i w:val="0"/>
                <w:iCs w:val="0"/>
                <w:color w:val="000000"/>
                <w:kern w:val="0"/>
                <w:sz w:val="24"/>
                <w:szCs w:val="24"/>
                <w:u w:val="none"/>
                <w:lang w:val="en-US" w:eastAsia="zh-CN" w:bidi="ar"/>
                <w14:ligatures w14:val="standardContextual"/>
              </w:rPr>
              <w:t>2</w:t>
            </w:r>
          </w:p>
        </w:tc>
        <w:tc>
          <w:tcPr>
            <w:tcW w:w="3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6FA9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安福寺镇</w:t>
            </w: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5BBF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峰山岗村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E259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峰山岗村公益性公墓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A61C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7A1F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2.38</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C8C0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85832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986B6">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E3DA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B8D9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罐头嘴村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DE28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罐头嘴村公益性公墓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7EF1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9AB9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0.97</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B68E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46DD99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FE741">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B96C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8122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胡家嘴村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F00A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胡家嘴村公益性公墓（新墓）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6944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B5F0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1.84</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3972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73B9ED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034C1">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778D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A91F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江家坡村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7506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江家坡村公益性公墓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4DB6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C331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1.09</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4313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33D342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5BD69">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EC72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5A9D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金狮湖村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CAA9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金狮湖村公益性公墓（新墓）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0E27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CF6B9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0.98</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BE87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45A43B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DD170">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5B57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0A4D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8A3F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金狮湖村公益性公墓（旧墓）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85B3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A156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1.55</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06E5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483630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45F42">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E165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7582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廖家林村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B978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廖家林村公益性公墓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26AD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940E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3.77</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9D16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E6EE6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F7D85">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4085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DEA1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灵芝山村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3C18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灵芝山村公益性公墓（新墓）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B689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583E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2.23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75A1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1B272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7DA69">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427D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589D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刘家冲村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83F3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刘家冲村公益性公墓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F3D6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9636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0.71</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DB9E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7E279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370A8">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7B17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92D3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七里冲村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A76B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七里冲村公益性公墓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7B54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2E27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1.71</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4225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340A1A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C1B9A">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1D41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12B7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秦家塝村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657B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秦家塝村公益性公墓（新墓）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937C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6DEE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4.87</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ABA0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039E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3835F">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E86F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C9C0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三藏寺村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8A5B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三藏寺村公益性公墓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1ACD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B364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1.16</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49D5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A550D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99DCE">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25FF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8180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桑树河村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D4CF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桑树河村公益性公墓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A93E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430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2.17</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DFB2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D2727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4C8F5">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6F1E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9B56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上柏坪村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8CE5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上柏坪村公益性公墓（新墓）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57A9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68D7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1.53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0C71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50DA0F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27722">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0CF3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81E9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吴家门村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AC02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吴家门村公益性公墓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34EA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45BD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1.55</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6F1C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282573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8E633">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4BDF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0515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徐家嘴村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A2D6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徐家嘴村公益性公墓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844C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14B8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1.99</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37DC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2A5498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EB66C">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3EF6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02C5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紫荆岭村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89B0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紫荆岭村公益性公墓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96DE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45CC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0.57</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0197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3C1979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9AD7A">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default" w:ascii="仿宋" w:hAnsi="仿宋" w:eastAsia="仿宋" w:cs="仿宋"/>
                <w:b w:val="0"/>
                <w:bCs w:val="0"/>
                <w:i w:val="0"/>
                <w:iCs w:val="0"/>
                <w:color w:val="000000"/>
                <w:kern w:val="0"/>
                <w:sz w:val="24"/>
                <w:szCs w:val="24"/>
                <w:u w:val="none"/>
                <w:lang w:val="en-US" w:eastAsia="zh-CN" w:bidi="ar"/>
                <w14:ligatures w14:val="standardContextual"/>
              </w:rPr>
              <w:t>3</w:t>
            </w:r>
          </w:p>
        </w:tc>
        <w:tc>
          <w:tcPr>
            <w:tcW w:w="3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441C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顾家店镇</w:t>
            </w: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3BEC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白鹤冲村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F529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白鹤冲村公益性公墓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E0D3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D3BD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1.46</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6A51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701C38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4"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6D147">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097D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8074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蔡家溪村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484C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蔡家溪村公益性公墓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9664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AA87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1.69</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A1AB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E1569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5"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F8332">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E828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350E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长岭岗村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9E52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长岭岗村区域性公墓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6F3B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3EEA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0.88</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6A2C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D4C86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A5CCC">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03C2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41CA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E833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长岭岗区域性公墓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6078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镇级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1F0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6.61</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C6AD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232FA1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D81CA">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05A2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D8BD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高殿寺村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FFF1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高殿寺村公益性公墓1号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A305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426B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1.05</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C0EA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2F9E7D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587F0">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B5BC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7EEB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罗家河村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BF47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罗家河村公益性公墓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5B30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2F4F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0.87</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D844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1F577B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A9F85">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9D77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D5E5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青龙山村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CAE8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青龙山村公益性公墓2号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F238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91C1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2.11</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5B19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408FEB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579D5">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AA8F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F2E8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AB79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青龙山村公益性公墓1号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2A66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32EF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0.83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8FC4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3A5D62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01263">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2724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9BC3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石半坡村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FC6C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石半坡村公益性公墓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EF57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BD9B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0.83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8336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4E2615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08F2E">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6AA6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5461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同济垸村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2E2E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同济垸村公益性公墓2号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6792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CFA0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1.86</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8A5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40EDAB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2"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7B4B8">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ED0B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BE31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C169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同济垸村公益性公墓3号（礁岩子公墓）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7410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7BE3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1.74</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7540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25369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42F8B">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D116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2E74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619F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同济垸村公益性公墓1号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F311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8624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1.04</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2EB8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245F8D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7F112">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E8C5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7825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熊家棚村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B490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熊家棚村公益性公墓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5733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2679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0.81</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6FF7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5A121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84ABF">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default" w:ascii="仿宋" w:hAnsi="仿宋" w:eastAsia="仿宋" w:cs="仿宋"/>
                <w:b w:val="0"/>
                <w:bCs w:val="0"/>
                <w:i w:val="0"/>
                <w:iCs w:val="0"/>
                <w:color w:val="000000"/>
                <w:kern w:val="0"/>
                <w:sz w:val="24"/>
                <w:szCs w:val="24"/>
                <w:u w:val="none"/>
                <w:lang w:val="en-US" w:eastAsia="zh-CN" w:bidi="ar"/>
                <w14:ligatures w14:val="standardContextual"/>
              </w:rPr>
              <w:t>4</w:t>
            </w:r>
          </w:p>
        </w:tc>
        <w:tc>
          <w:tcPr>
            <w:tcW w:w="3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76D0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董市镇</w:t>
            </w: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8B4E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草台村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7701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草台村公益性公墓2号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78C7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EB59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1.93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8E3D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7B20C1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6E81D">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8223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A11B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甘林寺村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CE6F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甘林寺村公益性公墓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5526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25D1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1.18</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9054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2C5F69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2"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A7B0E">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3127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34E8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高石岗村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AE58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高石岗区域性公墓（高石岗村）</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051A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220D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11.51</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8BFB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1EE47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8D48D">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0B26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2A89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两美垸村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57C4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两美垸村公益性公墓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7D41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61A1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12.57</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2205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1C325A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2233F">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CA0D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C524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石宝山村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A7D2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石宝山村公益性公墓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FBA5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0585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12.41</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E87F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0179B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E5695">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5D45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612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笋子沟村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5584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笋子沟村公益性公墓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471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D293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22.05</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BA1E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4E9690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37056">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79B8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C5A2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桂花村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79F7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桂花村公益性公墓1号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1239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A44E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1.35</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1C2F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8F632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C62F3">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7325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4163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713A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桂花村公益性公墓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D195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E78F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98F0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CE3D7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50796">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3F9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4FC2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黄金村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AC18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黄金村公益性公墓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FEA7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41DC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2.94</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7898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2D84FD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061E6">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F9CB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9857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裴圣村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E044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裴圣村公益性公墓1号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B59F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8CD5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1.35</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6D43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2D0C1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1623F">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8EE5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FCC0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A36B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裴圣村公益性公墓2号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504C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B253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1.15</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5D52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59869A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4F99E">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13FF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A00C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石港桥村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EA24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石港桥村公益性公墓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0A36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7EB6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3.67</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A870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3F20BA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AF532">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6842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65AB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泰州村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6EC2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泰州村公益性公墓（二组）</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AD6C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1847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1.33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9D9D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54AD02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EEFE6">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34CB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0ACA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新周场村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7223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新周场村公益性公墓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B3EE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6051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0.47</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681E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7CDD1C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2"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1F6C3">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A41A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5A9E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姚家湾村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A25A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高石岗区域性公墓（姚家湾村）</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6969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BDA2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10.93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239F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7C152A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20571">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default" w:ascii="仿宋" w:hAnsi="仿宋" w:eastAsia="仿宋" w:cs="仿宋"/>
                <w:b w:val="0"/>
                <w:bCs w:val="0"/>
                <w:i w:val="0"/>
                <w:iCs w:val="0"/>
                <w:color w:val="000000"/>
                <w:kern w:val="0"/>
                <w:sz w:val="24"/>
                <w:szCs w:val="24"/>
                <w:u w:val="none"/>
                <w:lang w:val="en-US" w:eastAsia="zh-CN" w:bidi="ar"/>
                <w14:ligatures w14:val="standardContextual"/>
              </w:rPr>
              <w:t>5</w:t>
            </w:r>
          </w:p>
        </w:tc>
        <w:tc>
          <w:tcPr>
            <w:tcW w:w="3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0936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仙女镇</w:t>
            </w: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3A1A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高峰桥村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05B4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高峰桥村公益性公墓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86F0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AAEA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2.14</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2A4E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521A33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4335B">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202A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F383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横店村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4FED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横店村公益性公墓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EBFA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B0A9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2.2</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A6D0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5B1359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ADEF0">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F5B2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A4B4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金湖村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7D32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金湖村公益性公墓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0104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33F8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1.06</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C53C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9BF90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910E2">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E6A7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8B14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金山村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2E45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金山村公益性公墓（新墓）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B725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0F00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3.25</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EE61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405864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CF13D">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DF40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24A3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九龙村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A14D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九龙村公益性公墓（一组）</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CF90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262E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0.66</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FBB7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4984F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48EA8">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4212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3F78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鲁港村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98F7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鲁港村公益性公墓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5789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7F8E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2.88</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D6E0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9131D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D8C68">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AD66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1E11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青狮村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3731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青狮村公益性公墓2号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6A2D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91E9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1.43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6375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75B13C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F7C4C">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4F0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D48B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C4C1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青狮村公益性公墓3号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0A13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BA27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1.43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C870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5B7C8F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2489B">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6682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8F69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F85A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青狮村公益性公墓1号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A28E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FC01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0.84</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E02E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42026B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80FA6">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7540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17EB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施岗村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3EFE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施岗村公益性公墓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9063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3EBA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2.92</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7379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217B1F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0C7E6">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BF2A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A633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桃店村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20CD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桃店村公益性公墓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D354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0B62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2.45</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24BF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4846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97D4B">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BD2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D4A6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桃花垱村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138A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桃花垱村公益性公墓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E7C2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8331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4.88</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6290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9E307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AF54A">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DF96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6FF0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五通庙村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01C5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五通庙村公益性公墓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0944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F973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3.17</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F58B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5E99E4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75078">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B4FD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D1EC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向巷村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442B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向巷村公益性公墓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DBAC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088E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1.06</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0F64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15FDB2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F1EB9">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1BD0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7648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张家湾村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718D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张家湾村公益性公墓2号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60A8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7743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0.79</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23C7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22D34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DCC95">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A0FB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528E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C2AC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张家湾村公益性公墓1号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2BE2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F33C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0.59</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BB71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2E1D0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D0BBD">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1F55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6E0A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赵家冲村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83C5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赵家冲村公益性公墓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C3D3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B0AA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2.66</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9BDA3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4FD1E5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13D3A">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F7BB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BA6A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覃家坡村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1EE0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覃家坡村公益性公墓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F3BD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A0A4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1.25</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7433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513E3D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248902">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default" w:ascii="仿宋" w:hAnsi="仿宋" w:eastAsia="仿宋" w:cs="仿宋"/>
                <w:b w:val="0"/>
                <w:bCs w:val="0"/>
                <w:i w:val="0"/>
                <w:iCs w:val="0"/>
                <w:color w:val="000000"/>
                <w:kern w:val="0"/>
                <w:sz w:val="24"/>
                <w:szCs w:val="24"/>
                <w:u w:val="none"/>
                <w:lang w:val="en-US" w:eastAsia="zh-CN" w:bidi="ar"/>
                <w14:ligatures w14:val="standardContextual"/>
              </w:rPr>
              <w:t>6</w:t>
            </w:r>
          </w:p>
        </w:tc>
        <w:tc>
          <w:tcPr>
            <w:tcW w:w="3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BA19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问安镇</w:t>
            </w: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7F4C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方家畈村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8D8D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方家畈村公益性公墓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9E10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F75C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1.9</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5EE4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1E1C4B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2"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914BC">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5674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355F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关庙山村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9256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关庙山村公益性公墓（六组1号）</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419A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55DA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8.34</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0483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7B615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784EC">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8089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F996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双湖村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4E83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双湖村公益性公墓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ACA5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E6C2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5.11</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6828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8073F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4BE3E">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E8554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42C8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同心桥村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20DD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同心桥村公益性公墓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C213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F6FD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3.11</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409D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20BE3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1915E">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7297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CBD8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袁码头村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A217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袁码头村公益性公墓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533A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A6D9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3.59</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CE31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D8AE1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AC01E">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38F6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DE6E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张家桥村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0BF0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张家桥村公益性公墓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1ECD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4CBB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03E7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BD620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9F079">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D2CE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3EAC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昙华寺村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8D41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昙华寺村公益性公墓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EF97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2229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1.84</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FC40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339688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6A6E8">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D95D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EBF7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覃家山村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BDAE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覃家山村公益性公墓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C361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F3F2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2.03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528F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46FDCC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E91AE">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default" w:ascii="仿宋" w:hAnsi="仿宋" w:eastAsia="仿宋" w:cs="仿宋"/>
                <w:b w:val="0"/>
                <w:bCs w:val="0"/>
                <w:i w:val="0"/>
                <w:iCs w:val="0"/>
                <w:color w:val="000000"/>
                <w:kern w:val="0"/>
                <w:sz w:val="24"/>
                <w:szCs w:val="24"/>
                <w:u w:val="none"/>
                <w:lang w:val="en-US" w:eastAsia="zh-CN" w:bidi="ar"/>
                <w14:ligatures w14:val="standardContextual"/>
              </w:rPr>
              <w:t>7</w:t>
            </w:r>
          </w:p>
        </w:tc>
        <w:tc>
          <w:tcPr>
            <w:tcW w:w="3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1FC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七星台镇</w:t>
            </w: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4F80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东林村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C110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东林村公益性公墓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325F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F91C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15.2</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5A93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5EA358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5D639">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4CD1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05C5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董家湾村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3D68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董家湾村公益性公墓（五组）</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815E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5C4F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1.53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8500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610F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27140">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78DF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122F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FA62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董家湾村公益性公墓（二组）</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5D2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B511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1.02</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3BC1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FFE0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49C25">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7937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F92F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王家店村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026E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王家店村公益性公墓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3942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4E31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1.29</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53B4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6F921A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A72CC">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DB76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DFC1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鲜家港村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40C0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鲜家港村公益性公墓（三组）</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4344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35B3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8.46</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842C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DEBA6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80949">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B0B7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1592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6AD66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鲜家港村公益性公墓（一组）</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A3A8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4C5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5.17</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B4CF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5CB9BE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575A9">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0FE8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2D62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肖家桥村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31AD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肖家桥村公益性公墓（二组）</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E1D9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6EC2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7.74</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6AEE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518C97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4E5F4">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96B1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5C12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7E02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肖家桥村公益性公墓（三组）</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7D10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D95F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2.26</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1355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49AF7E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CA0CD">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F658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24E3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鸭子口村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6890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鸭子口村公益性公墓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0EAD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6875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1.83</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C15F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343773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64017">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541F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86E7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杨林湖村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5923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杨林湖村公益性公墓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F4FB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790F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2.49</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0D21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0FE6DB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2354E">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43D5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2520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张家场村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3317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张家场村公益性公墓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0A9B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FF32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2.84</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5632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7DF814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30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90F60">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default" w:ascii="仿宋" w:hAnsi="仿宋" w:eastAsia="仿宋" w:cs="仿宋"/>
                <w:b w:val="0"/>
                <w:bCs w:val="0"/>
                <w:i w:val="0"/>
                <w:iCs w:val="0"/>
                <w:color w:val="000000"/>
                <w:kern w:val="0"/>
                <w:sz w:val="24"/>
                <w:szCs w:val="24"/>
                <w:u w:val="none"/>
                <w:lang w:val="en-US" w:eastAsia="zh-CN" w:bidi="ar"/>
                <w14:ligatures w14:val="standardContextual"/>
              </w:rPr>
              <w:t>8</w:t>
            </w:r>
          </w:p>
        </w:tc>
        <w:tc>
          <w:tcPr>
            <w:tcW w:w="3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7B6E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百里洲镇</w:t>
            </w: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B13B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傅家渡村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C1A2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傅家渡村公墓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5E71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4AE1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0.17</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78D6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492FF1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45CED">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7F7E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7C4B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芦花村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6F21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芦花村公墓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724B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38F4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0.66</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7749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23C92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7" w:hRule="atLeast"/>
        </w:trPr>
        <w:tc>
          <w:tcPr>
            <w:tcW w:w="3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4058C">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1B7E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BAA2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路飞霄村</w:t>
            </w:r>
          </w:p>
        </w:tc>
        <w:tc>
          <w:tcPr>
            <w:tcW w:w="1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3A10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路飞霄村公墓</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F1B5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6D24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0.18</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D9A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bl>
    <w:p w14:paraId="68162A73">
      <w:pPr>
        <w:pStyle w:val="19"/>
        <w:keepNext w:val="0"/>
        <w:keepLines w:val="0"/>
        <w:pageBreakBefore w:val="0"/>
        <w:widowControl w:val="0"/>
        <w:kinsoku/>
        <w:wordWrap/>
        <w:overflowPunct/>
        <w:topLinePunct w:val="0"/>
        <w:autoSpaceDE/>
        <w:autoSpaceDN/>
        <w:bidi w:val="0"/>
        <w:adjustRightInd/>
        <w:snapToGrid/>
        <w:spacing w:before="0"/>
        <w:ind w:left="0" w:leftChars="0" w:firstLine="0" w:firstLineChars="0"/>
        <w:jc w:val="center"/>
        <w:textAlignment w:val="auto"/>
        <w:rPr>
          <w:rFonts w:hint="eastAsia" w:ascii="Times New Roman" w:hAnsi="Times New Roman" w:cs="Times New Roman"/>
          <w:b/>
          <w:bCs/>
          <w:highlight w:val="none"/>
          <w:lang w:val="en-US" w:eastAsia="zh-CN"/>
        </w:rPr>
      </w:pPr>
      <w:r>
        <w:rPr>
          <w:rFonts w:hint="eastAsia" w:ascii="Times New Roman" w:hAnsi="Times New Roman" w:cs="Times New Roman"/>
          <w:b/>
          <w:bCs/>
          <w:highlight w:val="none"/>
          <w:lang w:val="en-US" w:eastAsia="zh-CN"/>
        </w:rPr>
        <w:t>4-4 实行封闭管理现状公墓一览表</w:t>
      </w:r>
    </w:p>
    <w:tbl>
      <w:tblPr>
        <w:tblStyle w:val="11"/>
        <w:tblW w:w="4993"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93"/>
        <w:gridCol w:w="814"/>
        <w:gridCol w:w="1538"/>
        <w:gridCol w:w="3582"/>
        <w:gridCol w:w="942"/>
        <w:gridCol w:w="1086"/>
        <w:gridCol w:w="2160"/>
      </w:tblGrid>
      <w:tr w14:paraId="698C8F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4" w:hRule="atLeast"/>
          <w:tblHeader/>
        </w:trPr>
        <w:tc>
          <w:tcPr>
            <w:tcW w:w="3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CA333">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序号</w:t>
            </w:r>
          </w:p>
        </w:tc>
        <w:tc>
          <w:tcPr>
            <w:tcW w:w="3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04B77">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街道/镇</w:t>
            </w: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CA1BC">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社区/村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D0D25">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公墓名称</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E7ABA">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公墓级别</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04E1C">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面积（亩）</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A6B97">
            <w:pPr>
              <w:keepNext w:val="0"/>
              <w:keepLines w:val="0"/>
              <w:widowControl/>
              <w:suppressLineNumbers w:val="0"/>
              <w:ind w:left="0" w:leftChars="0" w:firstLine="0" w:firstLineChars="0"/>
              <w:jc w:val="center"/>
              <w:textAlignment w:val="center"/>
              <w:rPr>
                <w:rFonts w:hint="eastAsia" w:ascii="仿宋" w:hAnsi="仿宋" w:eastAsia="仿宋" w:cs="仿宋"/>
                <w:b/>
                <w:bCs/>
                <w:i w:val="0"/>
                <w:iCs w:val="0"/>
                <w:color w:val="000000"/>
                <w:kern w:val="0"/>
                <w:sz w:val="24"/>
                <w:szCs w:val="24"/>
                <w:u w:val="none"/>
                <w:lang w:val="en-US" w:eastAsia="zh-CN" w:bidi="ar"/>
                <w14:ligatures w14:val="standardContextual"/>
              </w:rPr>
            </w:pPr>
            <w:r>
              <w:rPr>
                <w:rFonts w:hint="eastAsia" w:ascii="仿宋" w:hAnsi="仿宋" w:eastAsia="仿宋" w:cs="仿宋"/>
                <w:b/>
                <w:bCs/>
                <w:i w:val="0"/>
                <w:iCs w:val="0"/>
                <w:color w:val="000000"/>
                <w:kern w:val="0"/>
                <w:sz w:val="24"/>
                <w:szCs w:val="24"/>
                <w:u w:val="none"/>
                <w:lang w:val="en-US" w:eastAsia="zh-CN" w:bidi="ar"/>
                <w14:ligatures w14:val="standardContextual"/>
              </w:rPr>
              <w:t>备注</w:t>
            </w:r>
          </w:p>
        </w:tc>
      </w:tr>
      <w:tr w14:paraId="5C9A3F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78" w:hRule="atLeast"/>
        </w:trPr>
        <w:tc>
          <w:tcPr>
            <w:tcW w:w="320" w:type="pct"/>
            <w:vMerge w:val="restart"/>
            <w:tcBorders>
              <w:top w:val="single" w:color="000000" w:sz="4" w:space="0"/>
              <w:left w:val="single" w:color="000000" w:sz="4" w:space="0"/>
              <w:right w:val="single" w:color="000000" w:sz="4" w:space="0"/>
            </w:tcBorders>
            <w:shd w:val="clear" w:color="auto" w:fill="auto"/>
            <w:noWrap/>
            <w:vAlign w:val="center"/>
          </w:tcPr>
          <w:p w14:paraId="7865EF7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w:t>
            </w:r>
          </w:p>
        </w:tc>
        <w:tc>
          <w:tcPr>
            <w:tcW w:w="376" w:type="pct"/>
            <w:vMerge w:val="restart"/>
            <w:tcBorders>
              <w:top w:val="single" w:color="000000" w:sz="4" w:space="0"/>
              <w:left w:val="single" w:color="000000" w:sz="4" w:space="0"/>
              <w:right w:val="single" w:color="000000" w:sz="4" w:space="0"/>
            </w:tcBorders>
            <w:shd w:val="clear" w:color="auto" w:fill="auto"/>
            <w:noWrap/>
            <w:vAlign w:val="center"/>
          </w:tcPr>
          <w:p w14:paraId="5E926BEA">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马家店街道</w:t>
            </w: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9325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计划社区</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340B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枝江市润泽园公益性公墓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C187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2526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50.65</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ACE8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实行备案管理</w:t>
            </w:r>
          </w:p>
        </w:tc>
      </w:tr>
      <w:tr w14:paraId="2C4336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78" w:hRule="atLeast"/>
        </w:trPr>
        <w:tc>
          <w:tcPr>
            <w:tcW w:w="320" w:type="pct"/>
            <w:vMerge w:val="continue"/>
            <w:tcBorders>
              <w:left w:val="single" w:color="000000" w:sz="4" w:space="0"/>
              <w:right w:val="single" w:color="000000" w:sz="4" w:space="0"/>
            </w:tcBorders>
            <w:shd w:val="clear" w:color="auto" w:fill="auto"/>
            <w:noWrap/>
            <w:vAlign w:val="center"/>
          </w:tcPr>
          <w:p w14:paraId="6D7D63E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left w:val="single" w:color="000000" w:sz="4" w:space="0"/>
              <w:right w:val="single" w:color="000000" w:sz="4" w:space="0"/>
            </w:tcBorders>
            <w:shd w:val="clear" w:color="auto" w:fill="auto"/>
            <w:noWrap/>
            <w:vAlign w:val="center"/>
          </w:tcPr>
          <w:p w14:paraId="12A34C51">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65FB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白家岗村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2084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白家岗村公益性公墓（环湖堤公墓）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32D6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4E9B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3.91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6155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78AFC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left w:val="single" w:color="000000" w:sz="4" w:space="0"/>
              <w:right w:val="single" w:color="000000" w:sz="4" w:space="0"/>
            </w:tcBorders>
            <w:shd w:val="clear" w:color="auto" w:fill="auto"/>
            <w:noWrap/>
            <w:vAlign w:val="center"/>
          </w:tcPr>
          <w:p w14:paraId="5DE3F88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left w:val="single" w:color="000000" w:sz="4" w:space="0"/>
              <w:right w:val="single" w:color="000000" w:sz="4" w:space="0"/>
            </w:tcBorders>
            <w:shd w:val="clear" w:color="auto" w:fill="auto"/>
            <w:noWrap/>
            <w:vAlign w:val="center"/>
          </w:tcPr>
          <w:p w14:paraId="0DFDEF4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CE79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赵家河村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D518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赵家河村公益性公墓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AD2C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B2FF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1.14</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CC4D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614A5C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left w:val="single" w:color="000000" w:sz="4" w:space="0"/>
              <w:right w:val="single" w:color="000000" w:sz="4" w:space="0"/>
            </w:tcBorders>
            <w:shd w:val="clear" w:color="auto" w:fill="auto"/>
            <w:noWrap/>
            <w:vAlign w:val="center"/>
          </w:tcPr>
          <w:p w14:paraId="032F793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left w:val="single" w:color="000000" w:sz="4" w:space="0"/>
              <w:right w:val="single" w:color="000000" w:sz="4" w:space="0"/>
            </w:tcBorders>
            <w:shd w:val="clear" w:color="auto" w:fill="auto"/>
            <w:noWrap/>
            <w:vAlign w:val="center"/>
          </w:tcPr>
          <w:p w14:paraId="6A3D20C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B70D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中桥村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DE4D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中桥村公益性公墓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FBC0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1951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3.63</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D1A3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198B99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left w:val="single" w:color="000000" w:sz="4" w:space="0"/>
              <w:bottom w:val="single" w:color="000000" w:sz="4" w:space="0"/>
              <w:right w:val="single" w:color="000000" w:sz="4" w:space="0"/>
            </w:tcBorders>
            <w:shd w:val="clear" w:color="auto" w:fill="auto"/>
            <w:noWrap/>
            <w:vAlign w:val="center"/>
          </w:tcPr>
          <w:p w14:paraId="27F5B7A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left w:val="single" w:color="000000" w:sz="4" w:space="0"/>
              <w:bottom w:val="single" w:color="000000" w:sz="4" w:space="0"/>
              <w:right w:val="single" w:color="000000" w:sz="4" w:space="0"/>
            </w:tcBorders>
            <w:shd w:val="clear" w:color="auto" w:fill="auto"/>
            <w:noWrap/>
            <w:vAlign w:val="center"/>
          </w:tcPr>
          <w:p w14:paraId="0EF8667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A6B2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滕家河村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1B22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滕家河村公益性公墓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54BB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16A9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25.66</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7116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197A6C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ECAF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w:t>
            </w:r>
          </w:p>
        </w:tc>
        <w:tc>
          <w:tcPr>
            <w:tcW w:w="37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0FD0A">
            <w:pPr>
              <w:keepNext w:val="0"/>
              <w:keepLines w:val="0"/>
              <w:widowControl/>
              <w:suppressLineNumbers w:val="0"/>
              <w:ind w:left="0" w:leftChars="0" w:firstLine="0" w:firstLineChars="0"/>
              <w:jc w:val="center"/>
              <w:textAlignment w:val="center"/>
              <w:rPr>
                <w:rFonts w:hint="default"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安福寺镇</w:t>
            </w: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4067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柏杨冲村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67FE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柏杨冲村公益性公墓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AFC1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B08B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1.28</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050C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15AB12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9242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2ECC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F70E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蔡家嘴村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4692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蔡家嘴村公益性公墓（新墓）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D45B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F846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2.63</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B6A8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75E18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C732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3953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5826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横溪河村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1AA6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横溪河村公益性公墓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6EFC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BDFC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0.85</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9027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280305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BA09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A3E2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60C7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胡家畈村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3C85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胡家畈村公益性公墓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081E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3DBC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2.3</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B93B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6E0035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1B43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4C44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4F4B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火山口村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E3C1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火山口村公益性公墓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FA17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44D8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3.57</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EE2A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59EC90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45AC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D89A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2FFB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书院坝村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A051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书院坝村公益性公墓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E532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E839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1.64</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1E4C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45A64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61B0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48E5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F6F6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杨家店村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342D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杨家店村公益性公墓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95D3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C4C1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0.79</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C889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6279F1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1EB5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CB39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56EC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邹家冲村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D94A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邹家冲村公益性公墓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2C13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A93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0.4</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61DD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36D97F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E9EE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w:t>
            </w:r>
          </w:p>
        </w:tc>
        <w:tc>
          <w:tcPr>
            <w:tcW w:w="37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DA4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顾家店</w:t>
            </w: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23E3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清水溪村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C02D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清水溪村公益性公墓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8EE2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E712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2.28</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371E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43C866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7777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EB4B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4B57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沙碛坪村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E740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沙碛坪村公益性公墓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A215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A8D7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1.76</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2AFF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4B2F85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4553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29EC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F7BF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岩子河村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ABE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岩子河村公益性公墓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582C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DDFB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2.2</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2528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647871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36DE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w:t>
            </w:r>
          </w:p>
        </w:tc>
        <w:tc>
          <w:tcPr>
            <w:tcW w:w="37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D76C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董市镇</w:t>
            </w: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D56D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曹店村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3E6E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曹店村公益性公墓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8F93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356C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3.4</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DA25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411407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A731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1FA4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A605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草台村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DE29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草台村公益性公墓1号</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67AC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D658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3.14</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D8E0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71E121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4BED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A6FB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F06F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福星村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49B4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福星村公益性公墓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B56E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4BB1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33.05</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7F25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246569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F356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29DC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AB5D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洪治村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CEA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洪治村公益性公墓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C015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DB55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3.51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90BB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65F0AE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953B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B27D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E0EE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金龙村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74F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金龙村公益性公墓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2887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A579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B143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382B29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C4EA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72E4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9E40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马家冲村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0E7B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高石岗区域性公墓（马家冲村）</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FE55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942C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17.56</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18DA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1FB942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E500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87A2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273C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平湖村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CDD1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平湖村公益性公墓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FF6A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12AA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4.19</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8307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171C04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0CCD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7474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626D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石匠店村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E62B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石匠店村公益性公墓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29A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F5BE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3.91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6FC3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441B09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F33C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077F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7CA0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石坪村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DFA85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石坪村公益性公墓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A620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5F5C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5.67</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3FD9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2BB8FB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C586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4A4A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4FDB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双湖村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1AD0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双湖村公益性公墓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C6E7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B1996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4.11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5643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2E495C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3401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EDC4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7E4D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泰州村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0C0A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泰州村公益性公墓（三组）</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33B0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2EB4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2.69</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8757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293C2E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6A09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AA9A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E4CD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五岭村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8ED8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五岭村公益性公墓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638B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4D60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6DAB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1653F3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6C53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B226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ED16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周湖村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6C00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周湖村公益性公墓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440A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635D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3.71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87E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4886C8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3299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5</w:t>
            </w:r>
          </w:p>
        </w:tc>
        <w:tc>
          <w:tcPr>
            <w:tcW w:w="37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F57F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仙女镇</w:t>
            </w: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8252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九龙村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8A0E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九龙村公益性公墓（三组）</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42DD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6BA1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1.16</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C936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5334FB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345E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BE09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2D33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屈店村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3EE2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屈店村公益性公墓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ED03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B46C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2.39</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DB7D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05F003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96D3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225C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BC0B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施店村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1A13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施店村公益性公墓（旧墓）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895F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04F6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1.13</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C56A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24F87F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E6A8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4BA4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863D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EFA3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施店村公益性公墓（新墓）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08E9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1D9D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3.2</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AD87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185EFE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1E78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7347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D05F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石岭村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F91B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石岭村公益性公墓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4406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0D7F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2.8</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4A99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311E9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3ED5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0A42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C1E2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仙女村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D70D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仙女村区域性公墓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04AE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5698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27.2</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41E6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30FE9C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592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7E90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5C92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烟墩包村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841A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烟墩包村公益性公墓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8413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16C7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12.59</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D3D2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58B67B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1FEB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2530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8139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余家冲村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F8D8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余家冲村公益性公墓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0D6D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DE7E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1.76</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05F1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126310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2942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8D84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430C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赵家冲村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0D55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赵家冲村公益性公墓2号</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E483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C194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2.46</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821D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1CD7F8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1469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81E1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65EE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周场村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4307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周场村公益性公墓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5797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542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7.69</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8E4B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361AE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A5AB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w:t>
            </w:r>
          </w:p>
        </w:tc>
        <w:tc>
          <w:tcPr>
            <w:tcW w:w="37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ECBD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问安镇</w:t>
            </w: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AF5B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代家店村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61CB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代家店村公益性公墓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0844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5B1A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5.72</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1DE7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1BC2BD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EAC7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779A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453E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凤台村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162C5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凤台村公益性公墓（四组）</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CAEE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23B7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7.11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F4CE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0B4A3D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9D01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E121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21E0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00A2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凤台村公益性公墓（二组）</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078B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2CA4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3.11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F215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3BBAAF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6E88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C720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FACE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1C3E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凤台村公益性公墓（一组）</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1017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D3BF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7.21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EB5C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69472F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EF83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DE2C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1207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革新村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D920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革新村公益性公墓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B5CC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EA67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0.91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C4A0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4FB29F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E825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0C60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77CF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龚家坪村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3D5A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龚家坪村公益性公墓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19D3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208F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4.72</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9C26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333C32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4BF4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8832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484D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龚桥村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DBB8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龚桥村公益性公墓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3653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8E99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3.87</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CCB8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737908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E9FB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DB2F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6154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关庙山村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624F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关庙山村公益性公墓（六组2号）</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7002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1295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1.08</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0058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42755C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CEAC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3F8B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85BF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8BE7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关庙山村公益性公墓（四组）</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BC3F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81BE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8.01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DCC6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5526FC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ECFA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3949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9DD3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官垱村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059A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官垱村公益性公墓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035B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9276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2.09</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3BD8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612B77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4A45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3ED8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F1B5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龙泉堂村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5CA2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龙泉堂村公益性公墓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12A8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22EC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10.83</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DE93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7B4428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DFF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14EC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3C59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十里店村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5A08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十里店村公益性公墓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8C31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E591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1.23</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B317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364243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BF2B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9975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D5DA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双合村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2D66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双合村公益性公墓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4142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D4FF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4.88</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9AB67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742CD5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A17E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CC49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A56F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四岗村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948B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四岗村公益性公墓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7DD1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7352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4.17</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CD96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0387B2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5A42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3805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2807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万店村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80D3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万店村公益性公墓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99EC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FE2E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3.78</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EDBA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634036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AB78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51D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8956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万水桥村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646F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万水桥村公益性公墓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DEE0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FC0D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3.98</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D7B4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1FE92A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FB55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DECC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C46D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杨山村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1F65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杨山村公益性公墓（四组）</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3C95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2448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4.35</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78B8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498347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6840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71F0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2FAA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37FA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杨山村公益性公墓（一组）</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E02A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8562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3.77</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2331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77DC04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1C20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33BE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ED92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郑家井村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DF80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郑家井村公益性公墓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E636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3346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4.62</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D29A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43B655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CD9C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58D4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D9C9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朱家湾村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832B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朱家湾村公益性公墓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29BE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0980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1.65</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19F6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5EF81E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ADFB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7</w:t>
            </w:r>
          </w:p>
        </w:tc>
        <w:tc>
          <w:tcPr>
            <w:tcW w:w="37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3FDE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七星台</w:t>
            </w: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D450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陈家港村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C1FF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陈家港村公益性公墓（二组）</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9CD5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7C7E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10.11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B7D9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03DDA5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E90E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9693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67BD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大埠街村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B2EF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大埠街村公益性公墓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800A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C3D6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3.7</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87DB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06A68A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A7A6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CE63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B852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江会寺村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0700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江会寺村公益性公墓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3C4B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B18A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27F8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2338C9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46F6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C8FE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F602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李家岗村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7D3B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李家岗村公益性公墓（二组）</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E2D1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A632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6.6</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94D4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389A44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9E01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728C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0BB8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6342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李家岗村公益性公墓（三组）</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3DBB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35EA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17.21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7CF6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6AE09F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7C8C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7B83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1973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三王庙村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DF9B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三王庙村公益性公墓（二组）</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2C12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765B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5.18</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6726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4ED55B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BB8B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65BF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B8D1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2C2A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三王庙村公益性公墓（四组）</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B54E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1219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4.51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03BC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3B16B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3797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52C9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B367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沈家店村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B15E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沈家店村公益性公墓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A8BF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4C85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8.85</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B1BF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1E59FF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601C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7DC5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CFAB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石套子村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8CA1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石套子村公益性公墓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61FBA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6E50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2.05</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7AFF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559AFB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D16A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E402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46DE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孙家港村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C802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孙家港村公益性公墓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5124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5C7B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2.81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A201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30065B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C8D1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EFB3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546A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肖家山村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92D0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肖家山村公益性公墓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1871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E3E3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6.83</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6699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68F3DC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5F2E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CF8C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A7215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新场村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E16E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新场村公益性公墓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476F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03E5F">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1.71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FD0C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2D1A61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70E6B">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F8F1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DA51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兴隆山村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3DC8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兴隆山村公益性公墓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12F7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7CC8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2.54</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35796">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1A3F8C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E172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3FA6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164D4">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赵楼子村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921C5">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赵楼子村公益性公墓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2C9C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94E3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9.9</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CA2A2">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51ED3B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BEC8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8</w:t>
            </w:r>
          </w:p>
        </w:tc>
        <w:tc>
          <w:tcPr>
            <w:tcW w:w="37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8B56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百里洲</w:t>
            </w: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690A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宝月寺村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DA41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宝月寺村公益性公墓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FA4D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60171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6.45</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E155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210CDF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8FA3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6F4A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DEED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曹家河村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73EA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曹家河村公益性公墓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D0CB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738A3">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6.96</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D9C2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7481FC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B27EC">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7C5F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863F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建民村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A9FF8">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建民村公益性公墓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CB521">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EA02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2.51</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78CB6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r w14:paraId="4C6299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3" w:hRule="atLeast"/>
        </w:trPr>
        <w:tc>
          <w:tcPr>
            <w:tcW w:w="3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AB659">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2F11E">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747D7">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闸口村</w:t>
            </w:r>
          </w:p>
        </w:tc>
        <w:tc>
          <w:tcPr>
            <w:tcW w:w="16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23C4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闸口村公墓</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F6D4D">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村级</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F3680">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2.35</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0034A">
            <w:pPr>
              <w:keepNext w:val="0"/>
              <w:keepLines w:val="0"/>
              <w:widowControl/>
              <w:suppressLineNumbers w:val="0"/>
              <w:ind w:left="0" w:leftChars="0" w:firstLine="0" w:firstLineChars="0"/>
              <w:jc w:val="center"/>
              <w:textAlignment w:val="center"/>
              <w:rPr>
                <w:rFonts w:hint="eastAsia" w:ascii="仿宋" w:hAnsi="仿宋" w:eastAsia="仿宋" w:cs="仿宋"/>
                <w:b w:val="0"/>
                <w:bCs w:val="0"/>
                <w:i w:val="0"/>
                <w:iCs w:val="0"/>
                <w:color w:val="000000"/>
                <w:kern w:val="0"/>
                <w:sz w:val="24"/>
                <w:szCs w:val="24"/>
                <w:u w:val="none"/>
                <w:lang w:val="en-US" w:eastAsia="zh-CN" w:bidi="ar"/>
                <w14:ligatures w14:val="standardContextual"/>
              </w:rPr>
            </w:pPr>
            <w:r>
              <w:rPr>
                <w:rFonts w:hint="eastAsia" w:ascii="仿宋" w:hAnsi="仿宋" w:eastAsia="仿宋" w:cs="仿宋"/>
                <w:b w:val="0"/>
                <w:bCs w:val="0"/>
                <w:i w:val="0"/>
                <w:iCs w:val="0"/>
                <w:color w:val="000000"/>
                <w:kern w:val="0"/>
                <w:sz w:val="24"/>
                <w:szCs w:val="24"/>
                <w:u w:val="none"/>
                <w:lang w:val="en-US" w:eastAsia="zh-CN" w:bidi="ar"/>
                <w14:ligatures w14:val="standardContextual"/>
              </w:rPr>
              <w:t>实行封闭管理</w:t>
            </w:r>
          </w:p>
        </w:tc>
      </w:tr>
    </w:tbl>
    <w:p w14:paraId="495672E7">
      <w:pPr>
        <w:pStyle w:val="19"/>
        <w:keepNext w:val="0"/>
        <w:keepLines w:val="0"/>
        <w:pageBreakBefore w:val="0"/>
        <w:widowControl w:val="0"/>
        <w:kinsoku/>
        <w:wordWrap/>
        <w:overflowPunct/>
        <w:topLinePunct w:val="0"/>
        <w:autoSpaceDE/>
        <w:autoSpaceDN/>
        <w:bidi w:val="0"/>
        <w:adjustRightInd/>
        <w:snapToGrid/>
        <w:spacing w:before="0"/>
        <w:ind w:left="0" w:leftChars="0" w:firstLine="0" w:firstLineChars="0"/>
        <w:jc w:val="both"/>
        <w:textAlignment w:val="auto"/>
        <w:rPr>
          <w:rFonts w:hint="eastAsia" w:ascii="Times New Roman" w:hAnsi="Times New Roman" w:cs="Times New Roman"/>
          <w:highlight w:val="none"/>
          <w:lang w:val="en-US" w:eastAsia="zh-CN"/>
        </w:rPr>
      </w:pPr>
    </w:p>
    <w:p w14:paraId="454616DB">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 xml:space="preserve"> </w:t>
      </w:r>
      <w:bookmarkStart w:id="19" w:name="_Toc8114"/>
      <w:r>
        <w:rPr>
          <w:rFonts w:hint="eastAsia" w:ascii="Times New Roman" w:hAnsi="Times New Roman" w:cs="Times New Roman"/>
          <w:highlight w:val="none"/>
          <w:lang w:val="en-US" w:eastAsia="zh-CN"/>
        </w:rPr>
        <w:t>近期建设</w:t>
      </w:r>
      <w:bookmarkEnd w:id="19"/>
      <w:r>
        <w:rPr>
          <w:rFonts w:hint="eastAsia" w:ascii="Times New Roman" w:hAnsi="Times New Roman" w:cs="Times New Roman"/>
          <w:highlight w:val="none"/>
          <w:lang w:val="en-US" w:eastAsia="zh-CN"/>
        </w:rPr>
        <w:t>安排</w:t>
      </w:r>
    </w:p>
    <w:p w14:paraId="3F9984BC">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近期建设规划期限为2025</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2030年，</w:t>
      </w:r>
      <w:r>
        <w:rPr>
          <w:rFonts w:hint="eastAsia" w:ascii="Times New Roman" w:hAnsi="Times New Roman" w:cs="Times New Roman"/>
          <w:highlight w:val="none"/>
          <w:lang w:val="en-US" w:eastAsia="zh-CN"/>
        </w:rPr>
        <w:t>本阶段</w:t>
      </w:r>
      <w:r>
        <w:rPr>
          <w:rFonts w:hint="default" w:ascii="Times New Roman" w:hAnsi="Times New Roman" w:cs="Times New Roman"/>
          <w:highlight w:val="none"/>
          <w:lang w:val="en-US" w:eastAsia="zh-CN"/>
        </w:rPr>
        <w:t>核心</w:t>
      </w:r>
      <w:r>
        <w:rPr>
          <w:rFonts w:hint="eastAsia" w:ascii="Times New Roman" w:hAnsi="Times New Roman" w:cs="Times New Roman"/>
          <w:highlight w:val="none"/>
          <w:lang w:val="en-US" w:eastAsia="zh-CN"/>
        </w:rPr>
        <w:t>任务</w:t>
      </w:r>
      <w:r>
        <w:rPr>
          <w:rFonts w:hint="default" w:ascii="Times New Roman" w:hAnsi="Times New Roman" w:cs="Times New Roman"/>
          <w:highlight w:val="none"/>
          <w:lang w:val="en-US" w:eastAsia="zh-CN"/>
        </w:rPr>
        <w:t>是围绕省级规划 “基本原则、建设目标、主要内容”，将政策要求转化为枝江市具体落地任务，构建 “县级统筹、镇级覆盖、村级兜底” 的三级公益性安葬设施体系框架。在公墓建设方面，优先推进 4 个村级公墓提档升级为镇级公墓，新建 4</w:t>
      </w:r>
      <w:r>
        <w:rPr>
          <w:rFonts w:hint="eastAsia" w:ascii="Times New Roman" w:hAnsi="Times New Roman" w:cs="Times New Roman"/>
          <w:highlight w:val="none"/>
          <w:lang w:val="en-US" w:eastAsia="zh-CN"/>
        </w:rPr>
        <w:t>4</w:t>
      </w:r>
      <w:r>
        <w:rPr>
          <w:rFonts w:hint="default" w:ascii="Times New Roman" w:hAnsi="Times New Roman" w:cs="Times New Roman"/>
          <w:highlight w:val="none"/>
          <w:lang w:val="en-US" w:eastAsia="zh-CN"/>
        </w:rPr>
        <w:t>个村级公墓</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同步加快枝江市润泽园经营性公墓建设，弥补经营性安葬设施缺口；在殡仪服务配套上，</w:t>
      </w:r>
      <w:r>
        <w:rPr>
          <w:rFonts w:hint="eastAsia" w:ascii="Times New Roman" w:hAnsi="Times New Roman" w:cs="Times New Roman"/>
          <w:highlight w:val="none"/>
          <w:lang w:val="en-US" w:eastAsia="zh-CN"/>
        </w:rPr>
        <w:t>一方面完善县级殡仪服务中心的配套设施建设，另一方面根据各镇村需求开展</w:t>
      </w:r>
      <w:r>
        <w:rPr>
          <w:rFonts w:hint="default" w:ascii="Times New Roman" w:hAnsi="Times New Roman" w:cs="Times New Roman"/>
          <w:highlight w:val="none"/>
          <w:lang w:val="en-US" w:eastAsia="zh-CN"/>
        </w:rPr>
        <w:t>镇级殡仪服务站</w:t>
      </w:r>
      <w:r>
        <w:rPr>
          <w:rFonts w:hint="eastAsia" w:ascii="Times New Roman" w:hAnsi="Times New Roman" w:cs="Times New Roman"/>
          <w:highlight w:val="none"/>
          <w:lang w:val="en-US" w:eastAsia="zh-CN"/>
        </w:rPr>
        <w:t>的建设</w:t>
      </w:r>
      <w:r>
        <w:rPr>
          <w:rFonts w:hint="default" w:ascii="Times New Roman" w:hAnsi="Times New Roman" w:cs="Times New Roman"/>
          <w:highlight w:val="none"/>
          <w:lang w:val="en-US" w:eastAsia="zh-CN"/>
        </w:rPr>
        <w:t>，提升镇域殡仪服务可达性。针对存量问题，将 “三沿五区” 零散坟墓整治纳入重点，</w:t>
      </w:r>
      <w:r>
        <w:rPr>
          <w:rFonts w:hint="eastAsia" w:ascii="Times New Roman" w:hAnsi="Times New Roman" w:cs="Times New Roman"/>
          <w:highlight w:val="none"/>
          <w:lang w:val="en-US" w:eastAsia="zh-CN"/>
        </w:rPr>
        <w:t>规划近期内</w:t>
      </w:r>
      <w:r>
        <w:rPr>
          <w:rFonts w:hint="default" w:ascii="Times New Roman" w:hAnsi="Times New Roman" w:cs="Times New Roman"/>
          <w:highlight w:val="none"/>
          <w:lang w:val="en-US" w:eastAsia="zh-CN"/>
        </w:rPr>
        <w:t>完成 76 个封闭管理公墓的生态修复，同步治理豪华墓、活人墓等违规设施；同时，</w:t>
      </w:r>
      <w:r>
        <w:rPr>
          <w:rFonts w:hint="eastAsia" w:ascii="Times New Roman" w:hAnsi="Times New Roman" w:cs="Times New Roman"/>
          <w:highlight w:val="none"/>
          <w:lang w:val="en-US" w:eastAsia="zh-CN"/>
        </w:rPr>
        <w:t>各公墓</w:t>
      </w:r>
      <w:r>
        <w:rPr>
          <w:rFonts w:hint="default" w:ascii="Times New Roman" w:hAnsi="Times New Roman" w:cs="Times New Roman"/>
          <w:highlight w:val="none"/>
          <w:lang w:val="en-US" w:eastAsia="zh-CN"/>
        </w:rPr>
        <w:t>按 “3</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5年安葬量分批建设” 原则推进项目，避免一次性资金压力，为 2030 年基本实现公益性安葬设施全域覆盖、达成省级规划中期目标奠定基础。</w:t>
      </w:r>
    </w:p>
    <w:p w14:paraId="45CAAB7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14004168">
      <w:pPr>
        <w:pStyle w:val="15"/>
        <w:ind w:firstLine="562"/>
        <w:outlineLvl w:val="0"/>
        <w:rPr>
          <w:rFonts w:hint="default" w:ascii="Times New Roman" w:hAnsi="Times New Roman" w:eastAsia="仿宋" w:cs="Times New Roman"/>
          <w:highlight w:val="none"/>
          <w:lang w:val="en-US" w:eastAsia="zh-CN"/>
        </w:rPr>
      </w:pPr>
      <w:bookmarkStart w:id="20" w:name="_Toc23736"/>
      <w:r>
        <w:rPr>
          <w:rFonts w:ascii="Times New Roman" w:hAnsi="Times New Roman" w:cs="Times New Roman"/>
          <w:highlight w:val="none"/>
        </w:rPr>
        <w:t>第</w:t>
      </w:r>
      <w:r>
        <w:rPr>
          <w:rFonts w:hint="eastAsia" w:ascii="Times New Roman" w:hAnsi="Times New Roman" w:cs="Times New Roman"/>
          <w:highlight w:val="none"/>
          <w:lang w:val="en-US" w:eastAsia="zh-CN"/>
        </w:rPr>
        <w:t>五</w:t>
      </w:r>
      <w:r>
        <w:rPr>
          <w:rFonts w:ascii="Times New Roman" w:hAnsi="Times New Roman" w:cs="Times New Roman"/>
          <w:highlight w:val="none"/>
        </w:rPr>
        <w:t xml:space="preserve">章 </w:t>
      </w:r>
      <w:r>
        <w:rPr>
          <w:rFonts w:hint="eastAsia" w:ascii="Times New Roman" w:hAnsi="Times New Roman" w:cs="Times New Roman"/>
          <w:highlight w:val="none"/>
          <w:lang w:val="en-US" w:eastAsia="zh-CN"/>
        </w:rPr>
        <w:t>实施计划与保障措施</w:t>
      </w:r>
      <w:bookmarkEnd w:id="20"/>
    </w:p>
    <w:p w14:paraId="76005687">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 xml:space="preserve"> </w:t>
      </w:r>
      <w:bookmarkStart w:id="21" w:name="_Toc16711"/>
      <w:r>
        <w:rPr>
          <w:rFonts w:hint="default" w:ascii="Times New Roman" w:hAnsi="Times New Roman" w:cs="Times New Roman"/>
          <w:highlight w:val="none"/>
          <w:lang w:val="en-US" w:eastAsia="zh-CN"/>
        </w:rPr>
        <w:t>规划实施措施​</w:t>
      </w:r>
      <w:bookmarkEnd w:id="21"/>
    </w:p>
    <w:p w14:paraId="66469CED">
      <w:pPr>
        <w:pStyle w:val="21"/>
        <w:numPr>
          <w:ilvl w:val="0"/>
          <w:numId w:val="19"/>
        </w:numPr>
        <w:spacing w:before="156"/>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强化组织协同，压实改革责任​</w:t>
      </w:r>
    </w:p>
    <w:p w14:paraId="4A815CA0">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健全工作机制：成立由市政府分管领导任组长，市民政局牵头，发改、公安、财政、自然资源和规划、住建、城管、交通、水利、农业农村、文旅、卫健、市场监管、林业、生态环境等部门及各镇（街道）为成员的规划实施工作专班，建立 “季度调度、年度考核” 工作机制，定期研究解决规划实施中的用地保障、资金筹措、设施建设等重点问题。</w:t>
      </w:r>
    </w:p>
    <w:p w14:paraId="68E26ED9">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明确部门职责：市民政局负责统筹规划实施，制定殡葬改革配套政策，牵头公墓建设审批与行业监管；市自然资源和规划局负责公墓用地规划审核、土地划拨与用途管控；市财政局负责落实公益性公墓建设与运营补助资金；市林业局负责林地范围内公墓的林地使用审批与森林防火指导；各镇（街道）承担属地责任，负责本辖区内公益性公墓建设推进、日常管理与移风易俗宣传，确保政策措施层层落实。​</w:t>
      </w:r>
    </w:p>
    <w:p w14:paraId="56BBBB79">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纳入考核体系：将规划实施情况纳入各镇（街道）及相关部门年度绩效考核指标，重点考核公墓建设进度、设施运营规范度、森林防火责任落实等内容，对工作推进不力、未达目标的单位进行通报问责，对成效显著的给予表彰奖励。​</w:t>
      </w:r>
    </w:p>
    <w:p w14:paraId="105025A8">
      <w:pPr>
        <w:pStyle w:val="21"/>
        <w:numPr>
          <w:ilvl w:val="0"/>
          <w:numId w:val="19"/>
        </w:numPr>
        <w:spacing w:before="156"/>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规范管理体制，保障事业投入​</w:t>
      </w:r>
    </w:p>
    <w:p w14:paraId="3D36C651">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明确管理模式：城乡公益性公墓根据建设主体实行分类管理：市级公益性公墓由市民政局直接派驻在编人员管理；镇级公益性公墓由各镇政府通过 “在编人员 + 公益性岗位” 结合模式配备管理人员；村级公益性公墓（含多村联建）由属地村（社区）委托专人管理，或通过政府购买服务方式引入专业机构提供运营服务，确保每个公墓有专人负责日常维护。​</w:t>
      </w:r>
    </w:p>
    <w:p w14:paraId="20FBAB94">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严禁营利经营：所有公益性公墓不得采取租赁、承包、股份制等方式开展营利性活动，不得向服务对象以外人员出售或变相出售墓位，不得通过设置高价祭品、强制服务等方式获取额外利益，管理单位年度收支情况需定期公示，接受社会监督。​</w:t>
      </w:r>
    </w:p>
    <w:p w14:paraId="3AE57C86">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加大资金保障：建立 “政府主导、社会补充” 的资金投入机制：市级财政每年安排专项经费用于县级公益性公墓维护与镇级公墓建设补助；鼓励社会力量通过捐赠形式支持公益性公墓生态绿化、设施升级，捐赠资金需专款专用，由民政部门监管使用。</w:t>
      </w:r>
    </w:p>
    <w:p w14:paraId="749717D4">
      <w:pPr>
        <w:pStyle w:val="21"/>
        <w:numPr>
          <w:ilvl w:val="0"/>
          <w:numId w:val="19"/>
        </w:numPr>
        <w:spacing w:before="156"/>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严格用地管理，规范建设标准​</w:t>
      </w:r>
    </w:p>
    <w:p w14:paraId="186856B5">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科学选址与用地保障：公益性公墓建设用地优先选用未利用地、废弃地或低质林地，严格避让生态保护红线、永久基本农田、饮用水水源保护区及地质灾害隐患点；建设用地以行政划拨方式取得，由市自然资源和规划局优先保障年度用地指标，对涉及林地的公墓，需先经市林业局审核同意，办理林地使用审批手续后，方可开工建设。​</w:t>
      </w:r>
    </w:p>
    <w:p w14:paraId="22C8F5A2">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统一建设标准：公益性公墓建设需符合《湖北省公益性公墓建设指南》要求，墓区绿化率不低于 40%，节地生态葬（树葬、草坪葬等）占比不低于50%；墓穴占地面积严格控制（单穴不超过0.8㎡，双穴不超过1.2㎡），墓碑高度不超过0.8米、宽度不超过0.5米，禁止建设豪华墓、家族墓；配套设施需同步建设祭祀广场、消防水池、监控系统等，确保设施安全合规。​</w:t>
      </w:r>
    </w:p>
    <w:p w14:paraId="0C6D876E">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规范建设流程：公益性公墓建设实行 “项目立项 — 用地审批 — 规划设计 — 施工建设 — 验收备案” 全流程管理，建设单位需委托有资质的设计单位编制详细建设方案，经市民政局、自然资源和规划局联合审核通过后开工；项目完工后，由多部门联合验收，验收合格方可投入使用，未达标准的限期整改，整改不到位不得运营。</w:t>
      </w:r>
    </w:p>
    <w:p w14:paraId="7C094D21">
      <w:pPr>
        <w:pStyle w:val="21"/>
        <w:numPr>
          <w:ilvl w:val="0"/>
          <w:numId w:val="19"/>
        </w:numPr>
        <w:spacing w:before="156"/>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深化宣传引导，营造良好氛围​</w:t>
      </w:r>
    </w:p>
    <w:p w14:paraId="70DC1CE9">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分层开展宣传：通过枝江市政府官网、“枝江民政” 微信公众号、镇村干部入户宣传、村（社区）宣传栏等渠道，常态化宣传规划内容、公益性公墓政策、节地生态葬优势；在清明、冬至等祭扫高峰期，组织 “文明祭扫” 主题活动，发放宣传手册、播放公益广告，引导群众转变传统殡葬观念。​</w:t>
      </w:r>
    </w:p>
    <w:p w14:paraId="1EB9C8BA">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典型示范引领：在安福寺镇、董市镇等基础较好的乡镇，打造公益性公墓示范点位，重点展示生态葬区建设、森林防火设施配置、文明祭扫服务等成果，组织各镇（街道）现场观摩学习，以点带面推动全市公益性公墓规范化建设。​</w:t>
      </w:r>
    </w:p>
    <w:p w14:paraId="42BB31B2">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畅通反馈渠道：在每个公益性公墓设置意见箱，公开民政部门投诉举报电话，及时回应群众对公墓管理、服务收费、设施维护等方面的诉求，提升群众对殡葬改革的认可度与支持度。​</w:t>
      </w:r>
    </w:p>
    <w:p w14:paraId="7D87646E">
      <w:pPr>
        <w:pStyle w:val="21"/>
        <w:numPr>
          <w:ilvl w:val="0"/>
          <w:numId w:val="19"/>
        </w:numPr>
        <w:spacing w:before="156"/>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强化林地公墓管理，筑牢森林防火防线​</w:t>
      </w:r>
    </w:p>
    <w:p w14:paraId="7B108AFD">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严格林地使用审批：涉及使用林地的公益性公墓，建设单位需向市林业局提交林地使用申请，提供公墓建设方案、林地现状调查报告等材料，经审核通过并取得《使用林地审核同意书》后，方可办理后续用地手续；禁止未经审批占用林地建设公墓，禁止违规砍伐公墓范围内原有林木（确需清理的，需办理林木采伐许可证）。​</w:t>
      </w:r>
    </w:p>
    <w:p w14:paraId="71CAABF4">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完善防火设施：林地公墓需按标准建设森林防火设施：墓区周边设置宽度不低于15米的防火隔离带（采用除草、硬化等方式）；入口及重要节点设置消防水池、灭火器、消防沙堆等设施；安装森林防火监控摄像头（覆盖墓区全域），配备高音广播系统，用于火情预警与宣传。​</w:t>
      </w:r>
    </w:p>
    <w:p w14:paraId="2EFF9ADE">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加强日常巡查：森林防火期，公墓管理单位需每日开展防火巡查，重点排查祭祀用火、违规吸烟等隐患，对进入墓区的人员、车辆进行火源检查，严禁携带打火机、鞭炮等易燃物品入内；非防火期每周巡查不少于3次，及时清理墓区枯枝落叶、杂草等易燃物，保持消防通道畅通。​</w:t>
      </w:r>
    </w:p>
    <w:p w14:paraId="1690C186">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范祭祀用火管理：林地公墓内严格控制祭祀用火，全面推行鲜花祭扫、电子祭扫等无烟祭祀方式；确需焚烧祭品的，需在指定的封闭式焚烧炉内进行（焚烧炉需远离林木，配备灭火设施），由管理人员现场监管，焚烧结束后确认无明火方可离开；严禁在墓区林地内燃放鞭炮、焚烧纸钱，对违规用火行为，管理人员有权制止，情节严重的移交林业部门或公安机关处理。​</w:t>
      </w:r>
    </w:p>
    <w:p w14:paraId="17F76CAD">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w:t>
      </w:r>
      <w:bookmarkStart w:id="22" w:name="_Toc15267"/>
      <w:r>
        <w:rPr>
          <w:rFonts w:hint="default" w:ascii="Times New Roman" w:hAnsi="Times New Roman" w:cs="Times New Roman"/>
          <w:highlight w:val="none"/>
          <w:lang w:val="en-US" w:eastAsia="zh-CN"/>
        </w:rPr>
        <w:t>保障措施​</w:t>
      </w:r>
      <w:bookmarkEnd w:id="22"/>
    </w:p>
    <w:p w14:paraId="7242BF9E">
      <w:pPr>
        <w:pStyle w:val="21"/>
        <w:numPr>
          <w:ilvl w:val="0"/>
          <w:numId w:val="20"/>
        </w:numPr>
        <w:spacing w:before="156"/>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规范运营管理​</w:t>
      </w:r>
    </w:p>
    <w:p w14:paraId="7A5BFB1B">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公益性公墓仅服务属地村（居）民，办理安葬需提供户籍或居住证明，禁止提前预订墓位及跨区域违规安葬，特殊情况需经民政部门审核同意。收费方面，</w:t>
      </w:r>
      <w:r>
        <w:rPr>
          <w:rFonts w:hint="eastAsia" w:ascii="Times New Roman" w:hAnsi="Times New Roman" w:cs="Times New Roman"/>
          <w:highlight w:val="none"/>
          <w:lang w:val="en-US" w:eastAsia="zh-CN"/>
        </w:rPr>
        <w:t>县</w:t>
      </w:r>
      <w:r>
        <w:rPr>
          <w:rFonts w:hint="default" w:ascii="Times New Roman" w:hAnsi="Times New Roman" w:cs="Times New Roman"/>
          <w:highlight w:val="none"/>
          <w:lang w:val="en-US" w:eastAsia="zh-CN"/>
        </w:rPr>
        <w:t>、镇级公墓收费标准由市发改局按</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保本微利</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原则核定并向社会公示，村级公墓仅收取成本费用且需报镇政府备案。档案管理上，各公墓需建立</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一墓一档</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，包含电子与纸质两种形式，并设定保存期限，市级层面将建设公益性公墓信息管理系统，对墓位使用及运营情况进行实时监管。​</w:t>
      </w:r>
    </w:p>
    <w:p w14:paraId="6FF10164">
      <w:pPr>
        <w:pStyle w:val="21"/>
        <w:numPr>
          <w:ilvl w:val="0"/>
          <w:numId w:val="20"/>
        </w:numPr>
        <w:spacing w:before="156"/>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强化监督检查​</w:t>
      </w:r>
    </w:p>
    <w:p w14:paraId="1416E8E5">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市民政局每年组织一次公益性公墓年检，重点检查用地合规性、建设标准执行、收费规范及森林防火落实情况，年检结果分为“合格”“限期整改”“不合格” 三类；每季度还将联合多部门对30% 以上的公墓开展抽查，发现违规问题从严处理并予以曝光。监督渠道方面，通过政务服务热线、民政部门官网投诉平台及公墓现场意见箱，接受群众监督举报，相关部门需核查处理并反馈结果。​</w:t>
      </w:r>
    </w:p>
    <w:p w14:paraId="485C65B9">
      <w:pPr>
        <w:pStyle w:val="21"/>
        <w:numPr>
          <w:ilvl w:val="0"/>
          <w:numId w:val="20"/>
        </w:numPr>
        <w:spacing w:before="156"/>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深化移风易俗​</w:t>
      </w:r>
    </w:p>
    <w:p w14:paraId="4DC2535E">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大力推广鲜花祭扫、网络祭扫等文明方式，镇级公益性公墓设立 “文明祭扫服务点”，免费提供鲜花、电子蜡烛等祭扫用品，清明、冬至等祭扫高峰期组织集体缅怀活动，减少分散祭扫带来的安全与环境问题。严禁在公墓内开展烧纸、焚香、燃放鞭炮及看风水、摆道场等封建迷信活动，发现此类行为管理人员及时劝阻，拒不配合的移交相关部门依法处理，同时将文明祭扫要求纳入村规民约，引导群众自觉摒弃陈规陋习。鼓励群众选择树葬、草坪葬等节地生态葬式</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公墓内设置 “生态葬纪念区”，建立纪念墙、纪念树等载体，培育文明节俭的殡葬新风。</w:t>
      </w:r>
    </w:p>
    <w:p w14:paraId="084D6DF3">
      <w:pPr>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66DF6271">
      <w:pPr>
        <w:pStyle w:val="15"/>
        <w:ind w:firstLine="562"/>
        <w:outlineLvl w:val="0"/>
        <w:rPr>
          <w:rFonts w:hint="default" w:ascii="Times New Roman" w:hAnsi="Times New Roman" w:eastAsia="仿宋" w:cs="Times New Roman"/>
          <w:highlight w:val="none"/>
          <w:lang w:val="en-US" w:eastAsia="zh-CN"/>
        </w:rPr>
      </w:pPr>
      <w:bookmarkStart w:id="23" w:name="_Toc9122"/>
      <w:r>
        <w:rPr>
          <w:rFonts w:ascii="Times New Roman" w:hAnsi="Times New Roman" w:cs="Times New Roman"/>
          <w:highlight w:val="none"/>
        </w:rPr>
        <w:t>第</w:t>
      </w:r>
      <w:r>
        <w:rPr>
          <w:rFonts w:hint="eastAsia" w:ascii="Times New Roman" w:hAnsi="Times New Roman" w:cs="Times New Roman"/>
          <w:highlight w:val="none"/>
          <w:lang w:val="en-US" w:eastAsia="zh-CN"/>
        </w:rPr>
        <w:t>六</w:t>
      </w:r>
      <w:r>
        <w:rPr>
          <w:rFonts w:ascii="Times New Roman" w:hAnsi="Times New Roman" w:cs="Times New Roman"/>
          <w:highlight w:val="none"/>
        </w:rPr>
        <w:t xml:space="preserve">章 </w:t>
      </w:r>
      <w:r>
        <w:rPr>
          <w:rFonts w:hint="eastAsia" w:ascii="Times New Roman" w:hAnsi="Times New Roman" w:cs="Times New Roman"/>
          <w:highlight w:val="none"/>
          <w:lang w:val="en-US" w:eastAsia="zh-CN"/>
        </w:rPr>
        <w:t>附则</w:t>
      </w:r>
      <w:bookmarkEnd w:id="23"/>
    </w:p>
    <w:p w14:paraId="1149E466">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w:t>
      </w:r>
      <w:bookmarkStart w:id="24" w:name="_Toc14559"/>
      <w:bookmarkEnd w:id="24"/>
    </w:p>
    <w:p w14:paraId="7DCCE553">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本文本及图则自</w:t>
      </w:r>
      <w:r>
        <w:rPr>
          <w:rFonts w:hint="eastAsia" w:ascii="Times New Roman" w:hAnsi="Times New Roman" w:cs="Times New Roman"/>
          <w:highlight w:val="none"/>
          <w:lang w:val="en-US" w:eastAsia="zh-CN"/>
        </w:rPr>
        <w:t>枝江市</w:t>
      </w:r>
      <w:r>
        <w:rPr>
          <w:rFonts w:hint="default" w:ascii="Times New Roman" w:hAnsi="Times New Roman" w:cs="Times New Roman"/>
          <w:highlight w:val="none"/>
          <w:lang w:val="en-US" w:eastAsia="zh-CN"/>
        </w:rPr>
        <w:t>人民政府批准之日起实施。</w:t>
      </w:r>
    </w:p>
    <w:p w14:paraId="520372EA">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w:t>
      </w:r>
      <w:bookmarkStart w:id="25" w:name="_Toc23082"/>
      <w:bookmarkEnd w:id="25"/>
    </w:p>
    <w:p w14:paraId="1B6D92F9">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本文本及图则未含内容，应符合国家、湖北省、</w:t>
      </w:r>
      <w:r>
        <w:rPr>
          <w:rFonts w:hint="eastAsia" w:ascii="Times New Roman" w:hAnsi="Times New Roman" w:cs="Times New Roman"/>
          <w:highlight w:val="none"/>
          <w:lang w:val="en-US" w:eastAsia="zh-CN"/>
        </w:rPr>
        <w:t>宜昌</w:t>
      </w:r>
      <w:r>
        <w:rPr>
          <w:rFonts w:hint="default" w:ascii="Times New Roman" w:hAnsi="Times New Roman" w:cs="Times New Roman"/>
          <w:highlight w:val="none"/>
          <w:lang w:val="en-US" w:eastAsia="zh-CN"/>
        </w:rPr>
        <w:t>市</w:t>
      </w:r>
      <w:r>
        <w:rPr>
          <w:rFonts w:hint="eastAsia" w:ascii="Times New Roman" w:hAnsi="Times New Roman" w:cs="Times New Roman"/>
          <w:highlight w:val="none"/>
          <w:lang w:val="en-US" w:eastAsia="zh-CN"/>
        </w:rPr>
        <w:t>、枝江市</w:t>
      </w:r>
      <w:r>
        <w:rPr>
          <w:rFonts w:hint="default" w:ascii="Times New Roman" w:hAnsi="Times New Roman" w:cs="Times New Roman"/>
          <w:highlight w:val="none"/>
          <w:lang w:val="en-US" w:eastAsia="zh-CN"/>
        </w:rPr>
        <w:t>的有关法律、法规、规范、标准及规定的要求。</w:t>
      </w:r>
    </w:p>
    <w:p w14:paraId="2ED22705">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w:t>
      </w:r>
      <w:bookmarkStart w:id="26" w:name="_Toc14646"/>
      <w:bookmarkEnd w:id="26"/>
    </w:p>
    <w:p w14:paraId="08868EBD">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规划经审批生效后，应严格按照规划实施，任何单位和个人不得擅自更改。如确需对本规划变更时，需报审批主管部门审查通过。</w:t>
      </w:r>
    </w:p>
    <w:p w14:paraId="1BFD7C8E">
      <w:pPr>
        <w:pStyle w:val="17"/>
        <w:numPr>
          <w:ilvl w:val="0"/>
          <w:numId w:val="1"/>
        </w:numPr>
        <w:spacing w:before="156"/>
        <w:ind w:left="0" w:leftChars="0" w:firstLine="0" w:firstLineChars="0"/>
        <w:outlineLvl w:val="1"/>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w:t>
      </w:r>
      <w:bookmarkStart w:id="27" w:name="_Toc24954"/>
      <w:bookmarkEnd w:id="27"/>
    </w:p>
    <w:p w14:paraId="765AE215">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sectPr>
          <w:footerReference r:id="rId17" w:type="default"/>
          <w:pgSz w:w="23811" w:h="16838" w:orient="landscape"/>
          <w:pgMar w:top="1440" w:right="1080" w:bottom="1440" w:left="1080" w:header="851" w:footer="992" w:gutter="0"/>
          <w:pgNumType w:fmt="decimal" w:start="1"/>
          <w:cols w:space="425" w:num="2"/>
          <w:docGrid w:type="lines" w:linePitch="312" w:charSpace="0"/>
        </w:sectPr>
      </w:pPr>
      <w:r>
        <w:rPr>
          <w:rFonts w:hint="default" w:ascii="Times New Roman" w:hAnsi="Times New Roman" w:cs="Times New Roman"/>
          <w:highlight w:val="none"/>
          <w:lang w:val="en-US" w:eastAsia="zh-CN"/>
        </w:rPr>
        <w:t>本规划文本及图则内容的解释权</w:t>
      </w:r>
      <w:r>
        <w:rPr>
          <w:rFonts w:hint="eastAsia" w:ascii="Times New Roman" w:hAnsi="Times New Roman" w:cs="Times New Roman"/>
          <w:highlight w:val="none"/>
          <w:lang w:val="en-US" w:eastAsia="zh-CN"/>
        </w:rPr>
        <w:t>属于枝江市</w:t>
      </w:r>
      <w:r>
        <w:rPr>
          <w:rFonts w:hint="default" w:ascii="Times New Roman" w:hAnsi="Times New Roman" w:cs="Times New Roman"/>
          <w:highlight w:val="none"/>
          <w:lang w:val="en-US" w:eastAsia="zh-CN"/>
        </w:rPr>
        <w:t>民政</w:t>
      </w:r>
      <w:r>
        <w:rPr>
          <w:rFonts w:hint="eastAsia" w:ascii="Times New Roman" w:hAnsi="Times New Roman" w:cs="Times New Roman"/>
          <w:highlight w:val="none"/>
          <w:lang w:val="en-US" w:eastAsia="zh-CN"/>
        </w:rPr>
        <w:t>主管部门</w:t>
      </w:r>
      <w:r>
        <w:rPr>
          <w:rFonts w:hint="default" w:ascii="Times New Roman" w:hAnsi="Times New Roman" w:cs="Times New Roman"/>
          <w:highlight w:val="none"/>
          <w:lang w:val="en-US" w:eastAsia="zh-CN"/>
        </w:rPr>
        <w:t>。</w:t>
      </w:r>
    </w:p>
    <w:p w14:paraId="71C8BA54">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77696" behindDoc="1" locked="0" layoutInCell="1" allowOverlap="1">
            <wp:simplePos x="0" y="0"/>
            <wp:positionH relativeFrom="column">
              <wp:posOffset>-687070</wp:posOffset>
            </wp:positionH>
            <wp:positionV relativeFrom="paragraph">
              <wp:posOffset>-1061085</wp:posOffset>
            </wp:positionV>
            <wp:extent cx="15136495" cy="10702925"/>
            <wp:effectExtent l="0" t="0" r="8255" b="3175"/>
            <wp:wrapNone/>
            <wp:docPr id="29" name="图片 29" descr="提取自00枝江市公益性安葬设施布点规划（2025-2035）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提取自00枝江市公益性安葬设施布点规划（2025-2035）_24"/>
                    <pic:cNvPicPr>
                      <a:picLocks noChangeAspect="1"/>
                    </pic:cNvPicPr>
                  </pic:nvPicPr>
                  <pic:blipFill>
                    <a:blip r:embed="rId23"/>
                    <a:stretch>
                      <a:fillRect/>
                    </a:stretch>
                  </pic:blipFill>
                  <pic:spPr>
                    <a:xfrm>
                      <a:off x="0" y="0"/>
                      <a:ext cx="15136495" cy="10702925"/>
                    </a:xfrm>
                    <a:prstGeom prst="rect">
                      <a:avLst/>
                    </a:prstGeom>
                  </pic:spPr>
                </pic:pic>
              </a:graphicData>
            </a:graphic>
          </wp:anchor>
        </w:drawing>
      </w:r>
    </w:p>
    <w:p w14:paraId="1FAC5BB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3BDD5D7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76672" behindDoc="1" locked="0" layoutInCell="1" allowOverlap="1">
            <wp:simplePos x="0" y="0"/>
            <wp:positionH relativeFrom="column">
              <wp:posOffset>-686435</wp:posOffset>
            </wp:positionH>
            <wp:positionV relativeFrom="paragraph">
              <wp:posOffset>-1047115</wp:posOffset>
            </wp:positionV>
            <wp:extent cx="15110460" cy="10684510"/>
            <wp:effectExtent l="0" t="0" r="15240" b="2540"/>
            <wp:wrapNone/>
            <wp:docPr id="28" name="图片 28" descr="00枝江市公益性安葬设施布点规划（2025-2035）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0枝江市公益性安葬设施布点规划（2025-2035）_25"/>
                    <pic:cNvPicPr>
                      <a:picLocks noChangeAspect="1"/>
                    </pic:cNvPicPr>
                  </pic:nvPicPr>
                  <pic:blipFill>
                    <a:blip r:embed="rId24"/>
                    <a:stretch>
                      <a:fillRect/>
                    </a:stretch>
                  </pic:blipFill>
                  <pic:spPr>
                    <a:xfrm>
                      <a:off x="0" y="0"/>
                      <a:ext cx="15110460" cy="10684510"/>
                    </a:xfrm>
                    <a:prstGeom prst="rect">
                      <a:avLst/>
                    </a:prstGeom>
                  </pic:spPr>
                </pic:pic>
              </a:graphicData>
            </a:graphic>
          </wp:anchor>
        </w:drawing>
      </w:r>
      <w:r>
        <w:rPr>
          <w:rFonts w:hint="default" w:ascii="Times New Roman" w:hAnsi="Times New Roman" w:cs="Times New Roman"/>
          <w:highlight w:val="none"/>
          <w:lang w:val="en-US" w:eastAsia="zh-CN"/>
        </w:rPr>
        <w:br w:type="page"/>
      </w:r>
      <w:r>
        <w:rPr>
          <w:rFonts w:hint="default" w:ascii="Times New Roman" w:hAnsi="Times New Roman" w:cs="Times New Roman"/>
          <w:highlight w:val="none"/>
          <w:lang w:val="en-US" w:eastAsia="zh-CN"/>
        </w:rPr>
        <w:drawing>
          <wp:anchor distT="0" distB="0" distL="114300" distR="114300" simplePos="0" relativeHeight="251660288" behindDoc="1" locked="0" layoutInCell="1" allowOverlap="1">
            <wp:simplePos x="0" y="0"/>
            <wp:positionH relativeFrom="column">
              <wp:posOffset>-675640</wp:posOffset>
            </wp:positionH>
            <wp:positionV relativeFrom="paragraph">
              <wp:posOffset>-1049655</wp:posOffset>
            </wp:positionV>
            <wp:extent cx="15173325" cy="10687685"/>
            <wp:effectExtent l="0" t="0" r="9525" b="18415"/>
            <wp:wrapNone/>
            <wp:docPr id="11" name="图片 11" descr="01区位图"/>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a:ext>
              </a:extLst>
            </wp:cNvGraphicFramePr>
            <a:graphic xmlns:a="http://schemas.openxmlformats.org/drawingml/2006/main">
              <a:graphicData uri="http://schemas.openxmlformats.org/drawingml/2006/picture">
                <pic:pic xmlns:pic="http://schemas.openxmlformats.org/drawingml/2006/picture">
                  <pic:nvPicPr>
                    <pic:cNvPr id="11" name="图片 11" descr="01区位图"/>
                    <pic:cNvPicPr>
                      <a:picLocks noChangeAspect="1"/>
                    </pic:cNvPicPr>
                  </pic:nvPicPr>
                  <pic:blipFill>
                    <a:blip r:embed="rId25"/>
                    <a:stretch>
                      <a:fillRect/>
                    </a:stretch>
                  </pic:blipFill>
                  <pic:spPr>
                    <a:xfrm>
                      <a:off x="0" y="0"/>
                      <a:ext cx="15173325" cy="10687685"/>
                    </a:xfrm>
                    <a:prstGeom prst="rect">
                      <a:avLst/>
                    </a:prstGeom>
                  </pic:spPr>
                </pic:pic>
              </a:graphicData>
            </a:graphic>
          </wp:anchor>
        </w:drawing>
      </w:r>
      <w:r>
        <w:rPr>
          <w:rFonts w:hint="default" w:ascii="Times New Roman" w:hAnsi="Times New Roman" w:cs="Times New Roman"/>
          <w:highlight w:val="none"/>
          <w:lang w:val="en-US" w:eastAsia="zh-CN"/>
        </w:rPr>
        <w:br w:type="page"/>
      </w:r>
    </w:p>
    <w:p w14:paraId="56E2D15B">
      <w:pPr>
        <w:rPr>
          <w:rFonts w:hint="default" w:ascii="Times New Roman" w:hAnsi="Times New Roman" w:cs="Times New Roman"/>
          <w:highlight w:val="none"/>
          <w:lang w:val="en-US" w:eastAsia="zh-CN"/>
        </w:rPr>
      </w:pPr>
    </w:p>
    <w:p w14:paraId="0BCD1E12">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61312" behindDoc="1" locked="0" layoutInCell="1" allowOverlap="1">
            <wp:simplePos x="0" y="0"/>
            <wp:positionH relativeFrom="column">
              <wp:posOffset>-675005</wp:posOffset>
            </wp:positionH>
            <wp:positionV relativeFrom="paragraph">
              <wp:posOffset>-1069340</wp:posOffset>
            </wp:positionV>
            <wp:extent cx="15108555" cy="10683875"/>
            <wp:effectExtent l="0" t="0" r="17145" b="3175"/>
            <wp:wrapNone/>
            <wp:docPr id="12" name="图片 12" descr="02行政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2行政区划图"/>
                    <pic:cNvPicPr>
                      <a:picLocks noChangeAspect="1"/>
                    </pic:cNvPicPr>
                  </pic:nvPicPr>
                  <pic:blipFill>
                    <a:blip r:embed="rId26"/>
                    <a:stretch>
                      <a:fillRect/>
                    </a:stretch>
                  </pic:blipFill>
                  <pic:spPr>
                    <a:xfrm>
                      <a:off x="0" y="0"/>
                      <a:ext cx="15108555" cy="10683875"/>
                    </a:xfrm>
                    <a:prstGeom prst="rect">
                      <a:avLst/>
                    </a:prstGeom>
                  </pic:spPr>
                </pic:pic>
              </a:graphicData>
            </a:graphic>
          </wp:anchor>
        </w:drawing>
      </w:r>
    </w:p>
    <w:p w14:paraId="274BFCB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165CAACF">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62336" behindDoc="1" locked="0" layoutInCell="1" allowOverlap="1">
            <wp:simplePos x="0" y="0"/>
            <wp:positionH relativeFrom="column">
              <wp:posOffset>-688975</wp:posOffset>
            </wp:positionH>
            <wp:positionV relativeFrom="paragraph">
              <wp:posOffset>-1048385</wp:posOffset>
            </wp:positionV>
            <wp:extent cx="15106015" cy="10681335"/>
            <wp:effectExtent l="0" t="0" r="635" b="5715"/>
            <wp:wrapNone/>
            <wp:docPr id="13" name="图片 13" descr="03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3现状图"/>
                    <pic:cNvPicPr>
                      <a:picLocks noChangeAspect="1"/>
                    </pic:cNvPicPr>
                  </pic:nvPicPr>
                  <pic:blipFill>
                    <a:blip r:embed="rId27"/>
                    <a:stretch>
                      <a:fillRect/>
                    </a:stretch>
                  </pic:blipFill>
                  <pic:spPr>
                    <a:xfrm>
                      <a:off x="0" y="0"/>
                      <a:ext cx="15106015" cy="10681335"/>
                    </a:xfrm>
                    <a:prstGeom prst="rect">
                      <a:avLst/>
                    </a:prstGeom>
                  </pic:spPr>
                </pic:pic>
              </a:graphicData>
            </a:graphic>
          </wp:anchor>
        </w:drawing>
      </w:r>
    </w:p>
    <w:p w14:paraId="7517323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2C9F9557">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63360" behindDoc="1" locked="0" layoutInCell="1" allowOverlap="1">
            <wp:simplePos x="0" y="0"/>
            <wp:positionH relativeFrom="column">
              <wp:posOffset>-688975</wp:posOffset>
            </wp:positionH>
            <wp:positionV relativeFrom="paragraph">
              <wp:posOffset>-1062355</wp:posOffset>
            </wp:positionV>
            <wp:extent cx="15132685" cy="10700385"/>
            <wp:effectExtent l="0" t="0" r="12065" b="5715"/>
            <wp:wrapNone/>
            <wp:docPr id="15" name="图片 15" descr="04备案管理公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4备案管理公墓"/>
                    <pic:cNvPicPr>
                      <a:picLocks noChangeAspect="1"/>
                    </pic:cNvPicPr>
                  </pic:nvPicPr>
                  <pic:blipFill>
                    <a:blip r:embed="rId28"/>
                    <a:stretch>
                      <a:fillRect/>
                    </a:stretch>
                  </pic:blipFill>
                  <pic:spPr>
                    <a:xfrm>
                      <a:off x="0" y="0"/>
                      <a:ext cx="15132685" cy="10700385"/>
                    </a:xfrm>
                    <a:prstGeom prst="rect">
                      <a:avLst/>
                    </a:prstGeom>
                  </pic:spPr>
                </pic:pic>
              </a:graphicData>
            </a:graphic>
          </wp:anchor>
        </w:drawing>
      </w:r>
    </w:p>
    <w:p w14:paraId="0850B8D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04FFF1C0">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64384" behindDoc="1" locked="0" layoutInCell="1" allowOverlap="1">
            <wp:simplePos x="0" y="0"/>
            <wp:positionH relativeFrom="column">
              <wp:posOffset>-666750</wp:posOffset>
            </wp:positionH>
            <wp:positionV relativeFrom="paragraph">
              <wp:posOffset>-1033145</wp:posOffset>
            </wp:positionV>
            <wp:extent cx="15088235" cy="10669270"/>
            <wp:effectExtent l="0" t="0" r="18415" b="17780"/>
            <wp:wrapNone/>
            <wp:docPr id="16" name="图片 16" descr="05封闭管理公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5封闭管理公墓"/>
                    <pic:cNvPicPr>
                      <a:picLocks noChangeAspect="1"/>
                    </pic:cNvPicPr>
                  </pic:nvPicPr>
                  <pic:blipFill>
                    <a:blip r:embed="rId29"/>
                    <a:stretch>
                      <a:fillRect/>
                    </a:stretch>
                  </pic:blipFill>
                  <pic:spPr>
                    <a:xfrm>
                      <a:off x="0" y="0"/>
                      <a:ext cx="15088235" cy="10669270"/>
                    </a:xfrm>
                    <a:prstGeom prst="rect">
                      <a:avLst/>
                    </a:prstGeom>
                  </pic:spPr>
                </pic:pic>
              </a:graphicData>
            </a:graphic>
          </wp:anchor>
        </w:drawing>
      </w:r>
    </w:p>
    <w:p w14:paraId="139D942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592AD6F5">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65408" behindDoc="1" locked="0" layoutInCell="1" allowOverlap="1">
            <wp:simplePos x="0" y="0"/>
            <wp:positionH relativeFrom="column">
              <wp:posOffset>-675005</wp:posOffset>
            </wp:positionH>
            <wp:positionV relativeFrom="paragraph">
              <wp:posOffset>-1047115</wp:posOffset>
            </wp:positionV>
            <wp:extent cx="15099030" cy="10676890"/>
            <wp:effectExtent l="0" t="0" r="7620" b="10160"/>
            <wp:wrapNone/>
            <wp:docPr id="17" name="图片 17" descr="06新建公墓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6新建公墓规划"/>
                    <pic:cNvPicPr>
                      <a:picLocks noChangeAspect="1"/>
                    </pic:cNvPicPr>
                  </pic:nvPicPr>
                  <pic:blipFill>
                    <a:blip r:embed="rId30"/>
                    <a:stretch>
                      <a:fillRect/>
                    </a:stretch>
                  </pic:blipFill>
                  <pic:spPr>
                    <a:xfrm>
                      <a:off x="0" y="0"/>
                      <a:ext cx="15099030" cy="10676890"/>
                    </a:xfrm>
                    <a:prstGeom prst="rect">
                      <a:avLst/>
                    </a:prstGeom>
                  </pic:spPr>
                </pic:pic>
              </a:graphicData>
            </a:graphic>
          </wp:anchor>
        </w:drawing>
      </w:r>
    </w:p>
    <w:p w14:paraId="372CF8C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3F5B7B66">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66432" behindDoc="1" locked="0" layoutInCell="1" allowOverlap="1">
            <wp:simplePos x="0" y="0"/>
            <wp:positionH relativeFrom="column">
              <wp:posOffset>-688340</wp:posOffset>
            </wp:positionH>
            <wp:positionV relativeFrom="paragraph">
              <wp:posOffset>-1061085</wp:posOffset>
            </wp:positionV>
            <wp:extent cx="15132050" cy="10699750"/>
            <wp:effectExtent l="0" t="0" r="12700" b="6350"/>
            <wp:wrapNone/>
            <wp:docPr id="18" name="图片 18" descr="07殡仪服务设施规划布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7殡仪服务设施规划布局图"/>
                    <pic:cNvPicPr>
                      <a:picLocks noChangeAspect="1"/>
                    </pic:cNvPicPr>
                  </pic:nvPicPr>
                  <pic:blipFill>
                    <a:blip r:embed="rId31"/>
                    <a:stretch>
                      <a:fillRect/>
                    </a:stretch>
                  </pic:blipFill>
                  <pic:spPr>
                    <a:xfrm>
                      <a:off x="0" y="0"/>
                      <a:ext cx="15132050" cy="10699750"/>
                    </a:xfrm>
                    <a:prstGeom prst="rect">
                      <a:avLst/>
                    </a:prstGeom>
                  </pic:spPr>
                </pic:pic>
              </a:graphicData>
            </a:graphic>
          </wp:anchor>
        </w:drawing>
      </w:r>
    </w:p>
    <w:p w14:paraId="76CBAFB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1516AF72">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67456" behindDoc="1" locked="0" layoutInCell="1" allowOverlap="1">
            <wp:simplePos x="0" y="0"/>
            <wp:positionH relativeFrom="column">
              <wp:posOffset>-675005</wp:posOffset>
            </wp:positionH>
            <wp:positionV relativeFrom="paragraph">
              <wp:posOffset>-1035685</wp:posOffset>
            </wp:positionV>
            <wp:extent cx="15106015" cy="10681970"/>
            <wp:effectExtent l="0" t="0" r="635" b="5080"/>
            <wp:wrapNone/>
            <wp:docPr id="19" name="图片 19" descr="08马家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8马家店"/>
                    <pic:cNvPicPr>
                      <a:picLocks noChangeAspect="1"/>
                    </pic:cNvPicPr>
                  </pic:nvPicPr>
                  <pic:blipFill>
                    <a:blip r:embed="rId32"/>
                    <a:stretch>
                      <a:fillRect/>
                    </a:stretch>
                  </pic:blipFill>
                  <pic:spPr>
                    <a:xfrm>
                      <a:off x="0" y="0"/>
                      <a:ext cx="15106015" cy="10681970"/>
                    </a:xfrm>
                    <a:prstGeom prst="rect">
                      <a:avLst/>
                    </a:prstGeom>
                  </pic:spPr>
                </pic:pic>
              </a:graphicData>
            </a:graphic>
          </wp:anchor>
        </w:drawing>
      </w:r>
    </w:p>
    <w:p w14:paraId="146A891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17EBAD89">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68480" behindDoc="1" locked="0" layoutInCell="1" allowOverlap="1">
            <wp:simplePos x="0" y="0"/>
            <wp:positionH relativeFrom="column">
              <wp:posOffset>-688340</wp:posOffset>
            </wp:positionH>
            <wp:positionV relativeFrom="paragraph">
              <wp:posOffset>-1052830</wp:posOffset>
            </wp:positionV>
            <wp:extent cx="15107285" cy="10682605"/>
            <wp:effectExtent l="0" t="0" r="18415" b="4445"/>
            <wp:wrapNone/>
            <wp:docPr id="20" name="图片 20" descr="09安福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9安福寺"/>
                    <pic:cNvPicPr>
                      <a:picLocks noChangeAspect="1"/>
                    </pic:cNvPicPr>
                  </pic:nvPicPr>
                  <pic:blipFill>
                    <a:blip r:embed="rId33"/>
                    <a:stretch>
                      <a:fillRect/>
                    </a:stretch>
                  </pic:blipFill>
                  <pic:spPr>
                    <a:xfrm>
                      <a:off x="0" y="0"/>
                      <a:ext cx="15107285" cy="10682605"/>
                    </a:xfrm>
                    <a:prstGeom prst="rect">
                      <a:avLst/>
                    </a:prstGeom>
                  </pic:spPr>
                </pic:pic>
              </a:graphicData>
            </a:graphic>
          </wp:anchor>
        </w:drawing>
      </w:r>
    </w:p>
    <w:p w14:paraId="12B7D6A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0291D8D6">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69504" behindDoc="1" locked="0" layoutInCell="1" allowOverlap="1">
            <wp:simplePos x="0" y="0"/>
            <wp:positionH relativeFrom="column">
              <wp:posOffset>-688975</wp:posOffset>
            </wp:positionH>
            <wp:positionV relativeFrom="paragraph">
              <wp:posOffset>-1061085</wp:posOffset>
            </wp:positionV>
            <wp:extent cx="15105380" cy="10681335"/>
            <wp:effectExtent l="0" t="0" r="1270" b="5715"/>
            <wp:wrapNone/>
            <wp:docPr id="21" name="图片 21" descr="10顾家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0顾家店"/>
                    <pic:cNvPicPr>
                      <a:picLocks noChangeAspect="1"/>
                    </pic:cNvPicPr>
                  </pic:nvPicPr>
                  <pic:blipFill>
                    <a:blip r:embed="rId34"/>
                    <a:stretch>
                      <a:fillRect/>
                    </a:stretch>
                  </pic:blipFill>
                  <pic:spPr>
                    <a:xfrm>
                      <a:off x="0" y="0"/>
                      <a:ext cx="15105380" cy="10681335"/>
                    </a:xfrm>
                    <a:prstGeom prst="rect">
                      <a:avLst/>
                    </a:prstGeom>
                  </pic:spPr>
                </pic:pic>
              </a:graphicData>
            </a:graphic>
          </wp:anchor>
        </w:drawing>
      </w:r>
    </w:p>
    <w:p w14:paraId="23CF519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0240C4B1">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70528" behindDoc="1" locked="0" layoutInCell="1" allowOverlap="1">
            <wp:simplePos x="0" y="0"/>
            <wp:positionH relativeFrom="column">
              <wp:posOffset>-701040</wp:posOffset>
            </wp:positionH>
            <wp:positionV relativeFrom="paragraph">
              <wp:posOffset>-1055370</wp:posOffset>
            </wp:positionV>
            <wp:extent cx="15149195" cy="10712450"/>
            <wp:effectExtent l="0" t="0" r="14605" b="12700"/>
            <wp:wrapNone/>
            <wp:docPr id="22" name="图片 22" descr="11董市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1董市镇"/>
                    <pic:cNvPicPr>
                      <a:picLocks noChangeAspect="1"/>
                    </pic:cNvPicPr>
                  </pic:nvPicPr>
                  <pic:blipFill>
                    <a:blip r:embed="rId35"/>
                    <a:stretch>
                      <a:fillRect/>
                    </a:stretch>
                  </pic:blipFill>
                  <pic:spPr>
                    <a:xfrm>
                      <a:off x="0" y="0"/>
                      <a:ext cx="15149195" cy="10712450"/>
                    </a:xfrm>
                    <a:prstGeom prst="rect">
                      <a:avLst/>
                    </a:prstGeom>
                  </pic:spPr>
                </pic:pic>
              </a:graphicData>
            </a:graphic>
          </wp:anchor>
        </w:drawing>
      </w:r>
    </w:p>
    <w:p w14:paraId="0870059A">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7E70E08B">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71552" behindDoc="1" locked="0" layoutInCell="1" allowOverlap="1">
            <wp:simplePos x="0" y="0"/>
            <wp:positionH relativeFrom="column">
              <wp:posOffset>-688340</wp:posOffset>
            </wp:positionH>
            <wp:positionV relativeFrom="paragraph">
              <wp:posOffset>-1039495</wp:posOffset>
            </wp:positionV>
            <wp:extent cx="15106015" cy="10681970"/>
            <wp:effectExtent l="0" t="0" r="635" b="5080"/>
            <wp:wrapNone/>
            <wp:docPr id="23" name="图片 23" descr="12仙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2仙女"/>
                    <pic:cNvPicPr>
                      <a:picLocks noChangeAspect="1"/>
                    </pic:cNvPicPr>
                  </pic:nvPicPr>
                  <pic:blipFill>
                    <a:blip r:embed="rId36"/>
                    <a:stretch>
                      <a:fillRect/>
                    </a:stretch>
                  </pic:blipFill>
                  <pic:spPr>
                    <a:xfrm>
                      <a:off x="0" y="0"/>
                      <a:ext cx="15106015" cy="10681970"/>
                    </a:xfrm>
                    <a:prstGeom prst="rect">
                      <a:avLst/>
                    </a:prstGeom>
                  </pic:spPr>
                </pic:pic>
              </a:graphicData>
            </a:graphic>
          </wp:anchor>
        </w:drawing>
      </w:r>
    </w:p>
    <w:p w14:paraId="1E96172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29757DD0">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72576" behindDoc="1" locked="0" layoutInCell="1" allowOverlap="1">
            <wp:simplePos x="0" y="0"/>
            <wp:positionH relativeFrom="column">
              <wp:posOffset>-687705</wp:posOffset>
            </wp:positionH>
            <wp:positionV relativeFrom="paragraph">
              <wp:posOffset>-1059815</wp:posOffset>
            </wp:positionV>
            <wp:extent cx="15118080" cy="10689590"/>
            <wp:effectExtent l="0" t="0" r="7620" b="16510"/>
            <wp:wrapNone/>
            <wp:docPr id="24" name="图片 24" descr="13问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3问安"/>
                    <pic:cNvPicPr>
                      <a:picLocks noChangeAspect="1"/>
                    </pic:cNvPicPr>
                  </pic:nvPicPr>
                  <pic:blipFill>
                    <a:blip r:embed="rId37"/>
                    <a:stretch>
                      <a:fillRect/>
                    </a:stretch>
                  </pic:blipFill>
                  <pic:spPr>
                    <a:xfrm>
                      <a:off x="0" y="0"/>
                      <a:ext cx="15118080" cy="10689590"/>
                    </a:xfrm>
                    <a:prstGeom prst="rect">
                      <a:avLst/>
                    </a:prstGeom>
                  </pic:spPr>
                </pic:pic>
              </a:graphicData>
            </a:graphic>
          </wp:anchor>
        </w:drawing>
      </w:r>
    </w:p>
    <w:p w14:paraId="01FE4C3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5F24E585">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73600" behindDoc="1" locked="0" layoutInCell="1" allowOverlap="1">
            <wp:simplePos x="0" y="0"/>
            <wp:positionH relativeFrom="column">
              <wp:posOffset>-688340</wp:posOffset>
            </wp:positionH>
            <wp:positionV relativeFrom="paragraph">
              <wp:posOffset>-1061720</wp:posOffset>
            </wp:positionV>
            <wp:extent cx="15132685" cy="10700385"/>
            <wp:effectExtent l="0" t="0" r="12065" b="5715"/>
            <wp:wrapNone/>
            <wp:docPr id="25" name="图片 25" descr="14七星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4七星台"/>
                    <pic:cNvPicPr>
                      <a:picLocks noChangeAspect="1"/>
                    </pic:cNvPicPr>
                  </pic:nvPicPr>
                  <pic:blipFill>
                    <a:blip r:embed="rId38"/>
                    <a:stretch>
                      <a:fillRect/>
                    </a:stretch>
                  </pic:blipFill>
                  <pic:spPr>
                    <a:xfrm>
                      <a:off x="0" y="0"/>
                      <a:ext cx="15132685" cy="10700385"/>
                    </a:xfrm>
                    <a:prstGeom prst="rect">
                      <a:avLst/>
                    </a:prstGeom>
                  </pic:spPr>
                </pic:pic>
              </a:graphicData>
            </a:graphic>
          </wp:anchor>
        </w:drawing>
      </w:r>
    </w:p>
    <w:p w14:paraId="4ECDC72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14:paraId="00C85B9A">
      <w:pPr>
        <w:pStyle w:val="19"/>
        <w:keepNext w:val="0"/>
        <w:keepLines w:val="0"/>
        <w:pageBreakBefore w:val="0"/>
        <w:widowControl w:val="0"/>
        <w:kinsoku/>
        <w:wordWrap/>
        <w:overflowPunct/>
        <w:topLinePunct w:val="0"/>
        <w:autoSpaceDE/>
        <w:autoSpaceDN/>
        <w:bidi w:val="0"/>
        <w:adjustRightInd/>
        <w:snapToGrid/>
        <w:spacing w:before="0"/>
        <w:ind w:firstLine="480"/>
        <w:textAlignment w:val="auto"/>
        <w:rPr>
          <w:rFonts w:hint="default" w:ascii="Times New Roman" w:hAnsi="Times New Roman" w:cs="Times New Roman"/>
          <w:highlight w:val="none"/>
          <w:lang w:val="en-US" w:eastAsia="zh-CN"/>
        </w:rPr>
      </w:pPr>
      <w:bookmarkStart w:id="28" w:name="_GoBack"/>
      <w:r>
        <w:rPr>
          <w:rFonts w:hint="default" w:ascii="Times New Roman" w:hAnsi="Times New Roman" w:cs="Times New Roman"/>
          <w:highlight w:val="none"/>
          <w:lang w:val="en-US" w:eastAsia="zh-CN"/>
        </w:rPr>
        <w:drawing>
          <wp:anchor distT="0" distB="0" distL="114300" distR="114300" simplePos="0" relativeHeight="251674624" behindDoc="1" locked="0" layoutInCell="1" allowOverlap="1">
            <wp:simplePos x="0" y="0"/>
            <wp:positionH relativeFrom="column">
              <wp:posOffset>-674370</wp:posOffset>
            </wp:positionH>
            <wp:positionV relativeFrom="paragraph">
              <wp:posOffset>-1047750</wp:posOffset>
            </wp:positionV>
            <wp:extent cx="15099030" cy="10676890"/>
            <wp:effectExtent l="0" t="0" r="7620" b="10160"/>
            <wp:wrapNone/>
            <wp:docPr id="26" name="图片 26" descr="15百里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5百里洲"/>
                    <pic:cNvPicPr>
                      <a:picLocks noChangeAspect="1"/>
                    </pic:cNvPicPr>
                  </pic:nvPicPr>
                  <pic:blipFill>
                    <a:blip r:embed="rId39"/>
                    <a:stretch>
                      <a:fillRect/>
                    </a:stretch>
                  </pic:blipFill>
                  <pic:spPr>
                    <a:xfrm>
                      <a:off x="0" y="0"/>
                      <a:ext cx="15099030" cy="10676890"/>
                    </a:xfrm>
                    <a:prstGeom prst="rect">
                      <a:avLst/>
                    </a:prstGeom>
                  </pic:spPr>
                </pic:pic>
              </a:graphicData>
            </a:graphic>
          </wp:anchor>
        </w:drawing>
      </w:r>
      <w:bookmarkEnd w:id="28"/>
    </w:p>
    <w:sectPr>
      <w:headerReference r:id="rId18" w:type="default"/>
      <w:footerReference r:id="rId19" w:type="default"/>
      <w:pgSz w:w="23811" w:h="16838" w:orient="landscape"/>
      <w:pgMar w:top="1440" w:right="1080" w:bottom="1440" w:left="1080" w:header="851" w:footer="992" w:gutter="0"/>
      <w:pgNumType w:fmt="decimal" w:start="1"/>
      <w:cols w:space="425" w:num="2"/>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40"/>
      </w:pPr>
      <w:r>
        <w:separator/>
      </w:r>
    </w:p>
  </w:endnote>
  <w:endnote w:type="continuationSeparator" w:id="1">
    <w:p>
      <w:pPr>
        <w:spacing w:line="240" w:lineRule="auto"/>
        <w:ind w:firstLine="4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embedRegular r:id="rId1" w:fontKey="{E76EED2B-33B3-4090-823C-E2F4E6D59D0E}"/>
  </w:font>
  <w:font w:name="华文中宋">
    <w:panose1 w:val="02010600040101010101"/>
    <w:charset w:val="86"/>
    <w:family w:val="auto"/>
    <w:pitch w:val="default"/>
    <w:sig w:usb0="00000287" w:usb1="080F0000" w:usb2="00000000" w:usb3="00000000" w:csb0="0004009F" w:csb1="DFD70000"/>
    <w:embedRegular r:id="rId2" w:fontKey="{D7B44BBC-A8A9-43A9-961E-7EF5B4A80BBC}"/>
  </w:font>
  <w:font w:name="微软雅黑">
    <w:panose1 w:val="020B0503020204020204"/>
    <w:charset w:val="86"/>
    <w:family w:val="swiss"/>
    <w:pitch w:val="default"/>
    <w:sig w:usb0="80000287" w:usb1="2ACF3C50" w:usb2="00000016" w:usb3="00000000" w:csb0="0004001F" w:csb1="00000000"/>
    <w:embedRegular r:id="rId3" w:fontKey="{759CA198-2090-4ABE-B1FF-5BC53FC54C7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4A9A65">
    <w:pPr>
      <w:pStyle w:val="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827229">
    <w:pPr>
      <w:pStyle w:val="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9E0A3A">
    <w:pPr>
      <w:pStyle w:val="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A6789">
    <w:pPr>
      <w:pStyle w:val="5"/>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9D3504">
    <w:pPr>
      <w:pStyle w:val="5"/>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F94824">
    <w:pPr>
      <w:pStyle w:val="5"/>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850C95">
    <w:pPr>
      <w:pStyle w:val="5"/>
      <w:ind w:firstLine="360"/>
      <w:jc w:val="right"/>
      <w:rPr>
        <w:rFonts w:ascii="Times New Roman" w:hAnsi="Times New Roman" w:cs="Times New Roman"/>
      </w:rPr>
    </w:pPr>
    <w:r>
      <w:rPr>
        <w:sz w:val="18"/>
      </w:rPr>
      <mc:AlternateContent>
        <mc:Choice Requires="wps">
          <w:drawing>
            <wp:anchor distT="0" distB="0" distL="114300" distR="114300" simplePos="0" relativeHeight="251662336" behindDoc="0" locked="0" layoutInCell="1" allowOverlap="1">
              <wp:simplePos x="0" y="0"/>
              <wp:positionH relativeFrom="margin">
                <wp:posOffset>6699250</wp:posOffset>
              </wp:positionH>
              <wp:positionV relativeFrom="paragraph">
                <wp:posOffset>0</wp:posOffset>
              </wp:positionV>
              <wp:extent cx="390525"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39052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81672"/>
                          </w:sdtPr>
                          <w:sdtEndPr>
                            <w:rPr>
                              <w:rFonts w:ascii="Times New Roman" w:hAnsi="Times New Roman" w:cs="Times New Roman"/>
                            </w:rPr>
                          </w:sdtEndPr>
                          <w:sdtContent>
                            <w:p w14:paraId="5B41DAA9">
                              <w:pPr>
                                <w:pStyle w:val="5"/>
                                <w:ind w:firstLine="3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2</w:t>
                              </w:r>
                              <w:r>
                                <w:rPr>
                                  <w:rFonts w:ascii="Times New Roman" w:hAnsi="Times New Roman" w:cs="Times New Roman"/>
                                </w:rPr>
                                <w:fldChar w:fldCharType="end"/>
                              </w:r>
                            </w:p>
                          </w:sdtContent>
                        </w:sdt>
                        <w:p w14:paraId="56F5D044">
                          <w:pPr>
                            <w:jc w:val="center"/>
                            <w:rPr>
                              <w:rFonts w:ascii="Times New Roman" w:hAnsi="Times New Roman" w:cs="Times New Roman"/>
                            </w:rPr>
                          </w:pPr>
                        </w:p>
                      </w:txbxContent>
                    </wps:txbx>
                    <wps:bodyPr rot="0" spcFirstLastPara="0" vertOverflow="overflow" horzOverflow="overflow" vert="horz" wrap="squar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527.5pt;margin-top:0pt;height:144pt;width:30.75pt;mso-position-horizontal-relative:margin;z-index:251662336;mso-width-relative:page;mso-height-relative:page;" filled="f" stroked="f" coordsize="21600,21600" o:gfxdata="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6tA/S1wAAAAoBAAAPAAAAAAAAAAEAIAAAACIAAABkcnMvZG93bnJl&#10;di54bWxQSwECFAAUAAAACACHTuJAWQRK9DcCAABiBAAADgAAAAAAAAABACAAAAAmAQAAZHJzL2Uy&#10;b0RvYy54bWxQSwUGAAAAAAYABgBZAQAAzwUAAAAA&#10;">
              <v:fill on="f" focussize="0,0"/>
              <v:stroke on="f" weight="0.5pt"/>
              <v:imagedata o:title=""/>
              <o:lock v:ext="edit" aspectratio="f"/>
              <v:textbox inset="0mm,0mm,0mm,0mm" style="mso-fit-shape-to-text:t;">
                <w:txbxContent>
                  <w:sdt>
                    <w:sdtPr>
                      <w:id w:val="147481672"/>
                    </w:sdtPr>
                    <w:sdtEndPr>
                      <w:rPr>
                        <w:rFonts w:ascii="Times New Roman" w:hAnsi="Times New Roman" w:cs="Times New Roman"/>
                      </w:rPr>
                    </w:sdtEndPr>
                    <w:sdtContent>
                      <w:p w14:paraId="5B41DAA9">
                        <w:pPr>
                          <w:pStyle w:val="5"/>
                          <w:ind w:firstLine="3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2</w:t>
                        </w:r>
                        <w:r>
                          <w:rPr>
                            <w:rFonts w:ascii="Times New Roman" w:hAnsi="Times New Roman" w:cs="Times New Roman"/>
                          </w:rPr>
                          <w:fldChar w:fldCharType="end"/>
                        </w:r>
                      </w:p>
                    </w:sdtContent>
                  </w:sdt>
                  <w:p w14:paraId="56F5D044">
                    <w:pPr>
                      <w:jc w:val="center"/>
                      <w:rPr>
                        <w:rFonts w:ascii="Times New Roman" w:hAnsi="Times New Roman" w:cs="Times New Roman"/>
                      </w:rPr>
                    </w:pPr>
                  </w:p>
                </w:txbxContent>
              </v:textbox>
            </v:shape>
          </w:pict>
        </mc:Fallback>
      </mc:AlternateContent>
    </w:r>
  </w:p>
  <w:p w14:paraId="662BB1AA">
    <w:pPr>
      <w:pStyle w:val="5"/>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BDC995">
    <w:pPr>
      <w:pStyle w:val="5"/>
      <w:ind w:firstLine="360"/>
      <w:jc w:val="right"/>
      <w:rPr>
        <w:rFonts w:ascii="Times New Roman" w:hAnsi="Times New Roman" w:cs="Times New Roman"/>
      </w:rPr>
    </w:pPr>
  </w:p>
  <w:p w14:paraId="1A880F29">
    <w:pPr>
      <w:pStyle w:val="5"/>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ind w:firstLine="440"/>
      </w:pPr>
      <w:r>
        <w:separator/>
      </w:r>
    </w:p>
  </w:footnote>
  <w:footnote w:type="continuationSeparator" w:id="1">
    <w:p>
      <w:pPr>
        <w:spacing w:before="0" w:after="0" w:line="278" w:lineRule="auto"/>
        <w:ind w:firstLine="4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AC6FFA">
    <w:pPr>
      <w:pStyle w:val="6"/>
      <w:wordWrap w:val="0"/>
      <w:ind w:firstLine="360"/>
      <w:jc w:val="right"/>
    </w:pPr>
  </w:p>
  <w:p w14:paraId="2950A084">
    <w:pPr>
      <w:pStyle w:val="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FBC07A">
    <w:pPr>
      <w:pStyle w:val="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FC6280">
    <w:pPr>
      <w:pStyle w:val="6"/>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240AF3">
    <w:pPr>
      <w:pStyle w:val="6"/>
      <w:wordWrap w:val="0"/>
      <w:ind w:firstLine="360"/>
      <w:jc w:val="right"/>
    </w:pPr>
    <w:r>
      <w:rPr>
        <w:rFonts w:hint="eastAsia"/>
      </w:rPr>
      <mc:AlternateContent>
        <mc:Choice Requires="wps">
          <w:drawing>
            <wp:anchor distT="0" distB="0" distL="114300" distR="114300" simplePos="0" relativeHeight="251661312" behindDoc="0" locked="0" layoutInCell="1" allowOverlap="1">
              <wp:simplePos x="0" y="0"/>
              <wp:positionH relativeFrom="margin">
                <wp:posOffset>10165715</wp:posOffset>
              </wp:positionH>
              <wp:positionV relativeFrom="paragraph">
                <wp:posOffset>-248920</wp:posOffset>
              </wp:positionV>
              <wp:extent cx="3828415" cy="289560"/>
              <wp:effectExtent l="4445" t="4445" r="15240" b="10795"/>
              <wp:wrapNone/>
              <wp:docPr id="2" name="文本框 2"/>
              <wp:cNvGraphicFramePr/>
              <a:graphic xmlns:a="http://schemas.openxmlformats.org/drawingml/2006/main">
                <a:graphicData uri="http://schemas.microsoft.com/office/word/2010/wordprocessingShape">
                  <wps:wsp>
                    <wps:cNvSpPr txBox="1"/>
                    <wps:spPr>
                      <a:xfrm>
                        <a:off x="0" y="0"/>
                        <a:ext cx="3828185" cy="289512"/>
                      </a:xfrm>
                      <a:prstGeom prst="rect">
                        <a:avLst/>
                      </a:prstGeom>
                      <a:solidFill>
                        <a:schemeClr val="lt1"/>
                      </a:solidFill>
                      <a:ln w="6350">
                        <a:solidFill>
                          <a:schemeClr val="bg1"/>
                        </a:solidFill>
                      </a:ln>
                    </wps:spPr>
                    <wps:txbx>
                      <w:txbxContent>
                        <w:p w14:paraId="294F87F6">
                          <w:pPr>
                            <w:ind w:firstLine="400"/>
                            <w:rPr>
                              <w:rFonts w:ascii="微软雅黑" w:hAnsi="微软雅黑" w:eastAsia="微软雅黑"/>
                              <w:sz w:val="20"/>
                              <w:szCs w:val="20"/>
                            </w:rPr>
                          </w:pPr>
                          <w:r>
                            <w:rPr>
                              <w:rFonts w:hint="eastAsia" w:ascii="微软雅黑" w:hAnsi="微软雅黑" w:eastAsia="微软雅黑"/>
                              <w:sz w:val="20"/>
                              <w:szCs w:val="20"/>
                              <w:lang w:val="en-US" w:eastAsia="zh-CN"/>
                            </w:rPr>
                            <w:t>枝江市公益性安葬设施布点规划</w:t>
                          </w:r>
                          <w:r>
                            <w:rPr>
                              <w:rFonts w:hint="eastAsia" w:ascii="微软雅黑" w:hAnsi="微软雅黑" w:eastAsia="微软雅黑"/>
                              <w:sz w:val="20"/>
                              <w:szCs w:val="20"/>
                            </w:rPr>
                            <w:t>（202</w:t>
                          </w:r>
                          <w:r>
                            <w:rPr>
                              <w:rFonts w:hint="eastAsia" w:ascii="微软雅黑" w:hAnsi="微软雅黑" w:eastAsia="微软雅黑"/>
                              <w:sz w:val="20"/>
                              <w:szCs w:val="20"/>
                              <w:lang w:val="en-US" w:eastAsia="zh-CN"/>
                            </w:rPr>
                            <w:t>5</w:t>
                          </w:r>
                          <w:r>
                            <w:rPr>
                              <w:rFonts w:hint="eastAsia" w:ascii="微软雅黑" w:hAnsi="微软雅黑" w:eastAsia="微软雅黑"/>
                              <w:sz w:val="20"/>
                              <w:szCs w:val="20"/>
                            </w:rPr>
                            <w:t>-2035年）  文本</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0.45pt;margin-top:-19.6pt;height:22.8pt;width:301.45pt;mso-position-horizontal-relative:margin;z-index:251661312;mso-width-relative:page;mso-height-relative:page;" fillcolor="#FFFFFF [3201]" filled="t" stroked="t" coordsize="21600,21600" o:gfxdata="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BhxUUPZAAAA&#10;CwEAAA8AAAAAAAAAAQAgAAAAIgAAAGRycy9kb3ducmV2LnhtbFBLAQIUABQAAAAIAIdO4kDi7RF2&#10;VQIAALgEAAAOAAAAAAAAAAEAIAAAACgBAABkcnMvZTJvRG9jLnhtbFBLBQYAAAAABgAGAFkBAADv&#10;BQAAAAA=&#10;">
              <v:fill on="t" focussize="0,0"/>
              <v:stroke weight="0.5pt" color="#FFFFFF [3212]" joinstyle="round"/>
              <v:imagedata o:title=""/>
              <o:lock v:ext="edit" aspectratio="f"/>
              <v:textbox>
                <w:txbxContent>
                  <w:p w14:paraId="294F87F6">
                    <w:pPr>
                      <w:ind w:firstLine="400"/>
                      <w:rPr>
                        <w:rFonts w:ascii="微软雅黑" w:hAnsi="微软雅黑" w:eastAsia="微软雅黑"/>
                        <w:sz w:val="20"/>
                        <w:szCs w:val="20"/>
                      </w:rPr>
                    </w:pPr>
                    <w:r>
                      <w:rPr>
                        <w:rFonts w:hint="eastAsia" w:ascii="微软雅黑" w:hAnsi="微软雅黑" w:eastAsia="微软雅黑"/>
                        <w:sz w:val="20"/>
                        <w:szCs w:val="20"/>
                        <w:lang w:val="en-US" w:eastAsia="zh-CN"/>
                      </w:rPr>
                      <w:t>枝江市公益性安葬设施布点规划</w:t>
                    </w:r>
                    <w:r>
                      <w:rPr>
                        <w:rFonts w:hint="eastAsia" w:ascii="微软雅黑" w:hAnsi="微软雅黑" w:eastAsia="微软雅黑"/>
                        <w:sz w:val="20"/>
                        <w:szCs w:val="20"/>
                      </w:rPr>
                      <w:t>（202</w:t>
                    </w:r>
                    <w:r>
                      <w:rPr>
                        <w:rFonts w:hint="eastAsia" w:ascii="微软雅黑" w:hAnsi="微软雅黑" w:eastAsia="微软雅黑"/>
                        <w:sz w:val="20"/>
                        <w:szCs w:val="20"/>
                        <w:lang w:val="en-US" w:eastAsia="zh-CN"/>
                      </w:rPr>
                      <w:t>5</w:t>
                    </w:r>
                    <w:r>
                      <w:rPr>
                        <w:rFonts w:hint="eastAsia" w:ascii="微软雅黑" w:hAnsi="微软雅黑" w:eastAsia="微软雅黑"/>
                        <w:sz w:val="20"/>
                        <w:szCs w:val="20"/>
                      </w:rPr>
                      <w:t>-2035年）  文本</w:t>
                    </w:r>
                  </w:p>
                </w:txbxContent>
              </v:textbox>
            </v:shape>
          </w:pict>
        </mc:Fallback>
      </mc:AlternateContent>
    </w:r>
    <w:r>
      <w:rPr>
        <w:rFonts w:hint="eastAsia"/>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114935</wp:posOffset>
              </wp:positionV>
              <wp:extent cx="13750290" cy="0"/>
              <wp:effectExtent l="0" t="0" r="0" b="0"/>
              <wp:wrapNone/>
              <wp:docPr id="3" name="直接连接符 1"/>
              <wp:cNvGraphicFramePr/>
              <a:graphic xmlns:a="http://schemas.openxmlformats.org/drawingml/2006/main">
                <a:graphicData uri="http://schemas.microsoft.com/office/word/2010/wordprocessingShape">
                  <wps:wsp>
                    <wps:cNvCnPr/>
                    <wps:spPr>
                      <a:xfrm>
                        <a:off x="0" y="0"/>
                        <a:ext cx="13750505"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接连接符 1" o:spid="_x0000_s1026" o:spt="20" style="position:absolute;left:0pt;margin-top:9.05pt;height:0pt;width:1082.7pt;mso-position-horizontal:right;mso-position-horizontal-relative:margin;z-index:251660288;mso-width-relative:page;mso-height-relative:page;" filled="f" stroked="t" coordsize="21600,21600" o:gfxdata="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8BltudQAAAAHAQAA&#10;DwAAAAAAAAABACAAAAAiAAAAZHJzL2Rvd25yZXYueG1sUEsBAhQAFAAAAAgAh07iQEOjZwnkAQAA&#10;sgMAAA4AAAAAAAAAAQAgAAAAIwEAAGRycy9lMm9Eb2MueG1sUEsFBgAAAAAGAAYAWQEAAHkFAAAA&#10;AA==&#10;">
              <v:fill on="f" focussize="0,0"/>
              <v:stroke weight="0.5pt" color="#000000 [3213]" miterlimit="8" joinstyle="miter"/>
              <v:imagedata o:title=""/>
              <o:lock v:ext="edit" aspectratio="f"/>
            </v:line>
          </w:pict>
        </mc:Fallback>
      </mc:AlternateContent>
    </w:r>
  </w:p>
  <w:p w14:paraId="215ECE3A">
    <w:pPr>
      <w:pStyle w:val="6"/>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FA0173">
    <w:pPr>
      <w:pStyle w:val="6"/>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ACFA99">
    <w:pPr>
      <w:pStyle w:val="6"/>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1FC057">
    <w:pPr>
      <w:pStyle w:val="6"/>
      <w:wordWrap w:val="0"/>
      <w:ind w:firstLine="360"/>
      <w:jc w:val="right"/>
    </w:pPr>
  </w:p>
  <w:p w14:paraId="01409EB9">
    <w:pPr>
      <w:pStyle w:val="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5BE193F"/>
    <w:multiLevelType w:val="multilevel"/>
    <w:tmpl w:val="A5BE193F"/>
    <w:lvl w:ilvl="0" w:tentative="0">
      <w:start w:val="1"/>
      <w:numFmt w:val="decimal"/>
      <w:lvlText w:val="%1)"/>
      <w:lvlJc w:val="left"/>
      <w:pPr>
        <w:tabs>
          <w:tab w:val="left" w:pos="420"/>
        </w:tabs>
        <w:ind w:left="920" w:hanging="440"/>
      </w:p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
    <w:nsid w:val="AD921CC5"/>
    <w:multiLevelType w:val="singleLevel"/>
    <w:tmpl w:val="AD921CC5"/>
    <w:lvl w:ilvl="0" w:tentative="0">
      <w:start w:val="1"/>
      <w:numFmt w:val="decimal"/>
      <w:suff w:val="space"/>
      <w:lvlText w:val="%1."/>
      <w:lvlJc w:val="left"/>
    </w:lvl>
  </w:abstractNum>
  <w:abstractNum w:abstractNumId="2">
    <w:nsid w:val="B8B6B6F5"/>
    <w:multiLevelType w:val="multilevel"/>
    <w:tmpl w:val="B8B6B6F5"/>
    <w:lvl w:ilvl="0" w:tentative="0">
      <w:start w:val="1"/>
      <w:numFmt w:val="decimal"/>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3">
    <w:nsid w:val="C82F9DB6"/>
    <w:multiLevelType w:val="singleLevel"/>
    <w:tmpl w:val="C82F9DB6"/>
    <w:lvl w:ilvl="0" w:tentative="0">
      <w:start w:val="1"/>
      <w:numFmt w:val="decimal"/>
      <w:suff w:val="nothing"/>
      <w:lvlText w:val="%1）"/>
      <w:lvlJc w:val="left"/>
    </w:lvl>
  </w:abstractNum>
  <w:abstractNum w:abstractNumId="4">
    <w:nsid w:val="CCA24B95"/>
    <w:multiLevelType w:val="multilevel"/>
    <w:tmpl w:val="CCA24B95"/>
    <w:lvl w:ilvl="0" w:tentative="0">
      <w:start w:val="1"/>
      <w:numFmt w:val="decimal"/>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5">
    <w:nsid w:val="DE85B0AF"/>
    <w:multiLevelType w:val="singleLevel"/>
    <w:tmpl w:val="DE85B0AF"/>
    <w:lvl w:ilvl="0" w:tentative="0">
      <w:start w:val="1"/>
      <w:numFmt w:val="chineseCounting"/>
      <w:suff w:val="nothing"/>
      <w:lvlText w:val="第%1条"/>
      <w:lvlJc w:val="left"/>
      <w:pPr>
        <w:ind w:left="0" w:firstLine="0"/>
      </w:pPr>
      <w:rPr>
        <w:rFonts w:hint="eastAsia"/>
      </w:rPr>
    </w:lvl>
  </w:abstractNum>
  <w:abstractNum w:abstractNumId="6">
    <w:nsid w:val="DFFAC87A"/>
    <w:multiLevelType w:val="multilevel"/>
    <w:tmpl w:val="DFFAC87A"/>
    <w:lvl w:ilvl="0" w:tentative="0">
      <w:start w:val="1"/>
      <w:numFmt w:val="decimal"/>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7">
    <w:nsid w:val="E1F60D66"/>
    <w:multiLevelType w:val="multilevel"/>
    <w:tmpl w:val="E1F60D66"/>
    <w:lvl w:ilvl="0" w:tentative="0">
      <w:start w:val="1"/>
      <w:numFmt w:val="decimal"/>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8">
    <w:nsid w:val="F9C963F8"/>
    <w:multiLevelType w:val="multilevel"/>
    <w:tmpl w:val="F9C963F8"/>
    <w:lvl w:ilvl="0" w:tentative="0">
      <w:start w:val="1"/>
      <w:numFmt w:val="decimal"/>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9">
    <w:nsid w:val="FD3DDDC6"/>
    <w:multiLevelType w:val="singleLevel"/>
    <w:tmpl w:val="FD3DDDC6"/>
    <w:lvl w:ilvl="0" w:tentative="0">
      <w:start w:val="1"/>
      <w:numFmt w:val="decimal"/>
      <w:suff w:val="nothing"/>
      <w:lvlText w:val="%1）"/>
      <w:lvlJc w:val="left"/>
    </w:lvl>
  </w:abstractNum>
  <w:abstractNum w:abstractNumId="10">
    <w:nsid w:val="07324477"/>
    <w:multiLevelType w:val="multilevel"/>
    <w:tmpl w:val="07324477"/>
    <w:lvl w:ilvl="0" w:tentative="0">
      <w:start w:val="1"/>
      <w:numFmt w:val="decimal"/>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1">
    <w:nsid w:val="0C386A37"/>
    <w:multiLevelType w:val="multilevel"/>
    <w:tmpl w:val="0C386A37"/>
    <w:lvl w:ilvl="0" w:tentative="0">
      <w:start w:val="1"/>
      <w:numFmt w:val="decimal"/>
      <w:lvlText w:val="%1)"/>
      <w:lvlJc w:val="left"/>
      <w:pPr>
        <w:ind w:left="920" w:hanging="440"/>
      </w:p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2">
    <w:nsid w:val="3085D50F"/>
    <w:multiLevelType w:val="multilevel"/>
    <w:tmpl w:val="3085D50F"/>
    <w:lvl w:ilvl="0" w:tentative="0">
      <w:start w:val="1"/>
      <w:numFmt w:val="decimal"/>
      <w:lvlText w:val="%1)"/>
      <w:lvlJc w:val="left"/>
      <w:pPr>
        <w:tabs>
          <w:tab w:val="left" w:pos="420"/>
        </w:tabs>
        <w:ind w:left="920" w:hanging="440"/>
      </w:p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3">
    <w:nsid w:val="317A486D"/>
    <w:multiLevelType w:val="multilevel"/>
    <w:tmpl w:val="317A486D"/>
    <w:lvl w:ilvl="0" w:tentative="0">
      <w:start w:val="1"/>
      <w:numFmt w:val="decimal"/>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4">
    <w:nsid w:val="38A4D8D7"/>
    <w:multiLevelType w:val="singleLevel"/>
    <w:tmpl w:val="38A4D8D7"/>
    <w:lvl w:ilvl="0" w:tentative="0">
      <w:start w:val="1"/>
      <w:numFmt w:val="decimal"/>
      <w:suff w:val="nothing"/>
      <w:lvlText w:val="%1）"/>
      <w:lvlJc w:val="left"/>
    </w:lvl>
  </w:abstractNum>
  <w:abstractNum w:abstractNumId="15">
    <w:nsid w:val="38CCBDB2"/>
    <w:multiLevelType w:val="multilevel"/>
    <w:tmpl w:val="38CCBDB2"/>
    <w:lvl w:ilvl="0" w:tentative="0">
      <w:start w:val="1"/>
      <w:numFmt w:val="decimal"/>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6">
    <w:nsid w:val="5314186E"/>
    <w:multiLevelType w:val="multilevel"/>
    <w:tmpl w:val="5314186E"/>
    <w:lvl w:ilvl="0" w:tentative="0">
      <w:start w:val="1"/>
      <w:numFmt w:val="decimal"/>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7">
    <w:nsid w:val="58AFC8F2"/>
    <w:multiLevelType w:val="singleLevel"/>
    <w:tmpl w:val="58AFC8F2"/>
    <w:lvl w:ilvl="0" w:tentative="0">
      <w:start w:val="1"/>
      <w:numFmt w:val="decimal"/>
      <w:suff w:val="nothing"/>
      <w:lvlText w:val="%1）"/>
      <w:lvlJc w:val="left"/>
    </w:lvl>
  </w:abstractNum>
  <w:abstractNum w:abstractNumId="18">
    <w:nsid w:val="6742CC31"/>
    <w:multiLevelType w:val="multilevel"/>
    <w:tmpl w:val="6742CC31"/>
    <w:lvl w:ilvl="0" w:tentative="0">
      <w:start w:val="1"/>
      <w:numFmt w:val="decimal"/>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9">
    <w:nsid w:val="71FFF609"/>
    <w:multiLevelType w:val="multilevel"/>
    <w:tmpl w:val="71FFF609"/>
    <w:lvl w:ilvl="0" w:tentative="0">
      <w:start w:val="1"/>
      <w:numFmt w:val="decimal"/>
      <w:lvlText w:val="%1)"/>
      <w:lvlJc w:val="left"/>
      <w:pPr>
        <w:tabs>
          <w:tab w:val="left" w:pos="420"/>
        </w:tabs>
        <w:ind w:left="920" w:hanging="440"/>
      </w:p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num w:numId="1">
    <w:abstractNumId w:val="5"/>
  </w:num>
  <w:num w:numId="2">
    <w:abstractNumId w:val="10"/>
  </w:num>
  <w:num w:numId="3">
    <w:abstractNumId w:val="0"/>
  </w:num>
  <w:num w:numId="4">
    <w:abstractNumId w:val="19"/>
  </w:num>
  <w:num w:numId="5">
    <w:abstractNumId w:val="12"/>
  </w:num>
  <w:num w:numId="6">
    <w:abstractNumId w:val="11"/>
  </w:num>
  <w:num w:numId="7">
    <w:abstractNumId w:val="13"/>
  </w:num>
  <w:num w:numId="8">
    <w:abstractNumId w:val="16"/>
  </w:num>
  <w:num w:numId="9">
    <w:abstractNumId w:val="4"/>
  </w:num>
  <w:num w:numId="10">
    <w:abstractNumId w:val="15"/>
  </w:num>
  <w:num w:numId="11">
    <w:abstractNumId w:val="8"/>
  </w:num>
  <w:num w:numId="12">
    <w:abstractNumId w:val="18"/>
  </w:num>
  <w:num w:numId="13">
    <w:abstractNumId w:val="1"/>
  </w:num>
  <w:num w:numId="14">
    <w:abstractNumId w:val="7"/>
  </w:num>
  <w:num w:numId="15">
    <w:abstractNumId w:val="17"/>
  </w:num>
  <w:num w:numId="16">
    <w:abstractNumId w:val="14"/>
  </w:num>
  <w:num w:numId="17">
    <w:abstractNumId w:val="3"/>
  </w:num>
  <w:num w:numId="18">
    <w:abstractNumId w:val="9"/>
  </w:num>
  <w:num w:numId="19">
    <w:abstractNumId w:val="6"/>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TrueTypeFonts/>
  <w:saveSubsetFonts/>
  <w:bordersDoNotSurroundHeader w:val="0"/>
  <w:bordersDoNotSurroundFooter w:val="0"/>
  <w:documentProtection w:enforcement="0"/>
  <w:defaultTabStop w:val="420"/>
  <w:drawingGridHorizontalSpacing w:val="11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M2NTc3MTVkMTI3NWE3YTU4ZjRlYmRkZjIzZGMwM2IifQ=="/>
  </w:docVars>
  <w:rsids>
    <w:rsidRoot w:val="00CF31DB"/>
    <w:rsid w:val="00025540"/>
    <w:rsid w:val="00074F38"/>
    <w:rsid w:val="000A2EE3"/>
    <w:rsid w:val="000D60F8"/>
    <w:rsid w:val="00114FE7"/>
    <w:rsid w:val="0018118B"/>
    <w:rsid w:val="001A20B6"/>
    <w:rsid w:val="001D2D3B"/>
    <w:rsid w:val="00236A9F"/>
    <w:rsid w:val="00240E75"/>
    <w:rsid w:val="002E3CFD"/>
    <w:rsid w:val="0035549E"/>
    <w:rsid w:val="00356702"/>
    <w:rsid w:val="00395A9E"/>
    <w:rsid w:val="003B6B10"/>
    <w:rsid w:val="004007CB"/>
    <w:rsid w:val="00404532"/>
    <w:rsid w:val="004C45F6"/>
    <w:rsid w:val="004F5623"/>
    <w:rsid w:val="005749F7"/>
    <w:rsid w:val="00580291"/>
    <w:rsid w:val="00597B24"/>
    <w:rsid w:val="005A4D89"/>
    <w:rsid w:val="005A62B4"/>
    <w:rsid w:val="006128BC"/>
    <w:rsid w:val="00637B02"/>
    <w:rsid w:val="00643DD7"/>
    <w:rsid w:val="006550FE"/>
    <w:rsid w:val="006F3A96"/>
    <w:rsid w:val="00742B87"/>
    <w:rsid w:val="00792177"/>
    <w:rsid w:val="007F0C5E"/>
    <w:rsid w:val="00835D11"/>
    <w:rsid w:val="008475C9"/>
    <w:rsid w:val="00862853"/>
    <w:rsid w:val="008C37E0"/>
    <w:rsid w:val="008D1ECD"/>
    <w:rsid w:val="00916506"/>
    <w:rsid w:val="009950CB"/>
    <w:rsid w:val="00A5141A"/>
    <w:rsid w:val="00AE68FA"/>
    <w:rsid w:val="00B80642"/>
    <w:rsid w:val="00B84E27"/>
    <w:rsid w:val="00BB7538"/>
    <w:rsid w:val="00BF0A02"/>
    <w:rsid w:val="00C80E61"/>
    <w:rsid w:val="00CF31DB"/>
    <w:rsid w:val="00D70DBC"/>
    <w:rsid w:val="00DD2E0A"/>
    <w:rsid w:val="00E05705"/>
    <w:rsid w:val="00E90ABE"/>
    <w:rsid w:val="00EA35BC"/>
    <w:rsid w:val="00EB7D80"/>
    <w:rsid w:val="00ED7FA0"/>
    <w:rsid w:val="00F326D8"/>
    <w:rsid w:val="00F5589E"/>
    <w:rsid w:val="00F744F5"/>
    <w:rsid w:val="00F830AC"/>
    <w:rsid w:val="00F844F6"/>
    <w:rsid w:val="00FB08C1"/>
    <w:rsid w:val="02912976"/>
    <w:rsid w:val="045F40A5"/>
    <w:rsid w:val="051313FD"/>
    <w:rsid w:val="05135550"/>
    <w:rsid w:val="05874F99"/>
    <w:rsid w:val="05E042B0"/>
    <w:rsid w:val="063B5B7E"/>
    <w:rsid w:val="0687146A"/>
    <w:rsid w:val="07B3603E"/>
    <w:rsid w:val="09460D74"/>
    <w:rsid w:val="0AA5299F"/>
    <w:rsid w:val="0BC061FC"/>
    <w:rsid w:val="0BF22A92"/>
    <w:rsid w:val="0D092822"/>
    <w:rsid w:val="0D726183"/>
    <w:rsid w:val="0D7A4C82"/>
    <w:rsid w:val="0F19235A"/>
    <w:rsid w:val="107734BE"/>
    <w:rsid w:val="124A2B84"/>
    <w:rsid w:val="13AD614F"/>
    <w:rsid w:val="15C17D97"/>
    <w:rsid w:val="17BD2741"/>
    <w:rsid w:val="194B7296"/>
    <w:rsid w:val="19C35643"/>
    <w:rsid w:val="1A8A29A3"/>
    <w:rsid w:val="1C550362"/>
    <w:rsid w:val="1CEB2006"/>
    <w:rsid w:val="1E380731"/>
    <w:rsid w:val="1EBE0505"/>
    <w:rsid w:val="1F451B5F"/>
    <w:rsid w:val="1FC94A65"/>
    <w:rsid w:val="1FE34CB6"/>
    <w:rsid w:val="207171CD"/>
    <w:rsid w:val="220E2E06"/>
    <w:rsid w:val="222A4D23"/>
    <w:rsid w:val="22F83EF2"/>
    <w:rsid w:val="232748D0"/>
    <w:rsid w:val="23403BE4"/>
    <w:rsid w:val="23BD344D"/>
    <w:rsid w:val="23C87F2D"/>
    <w:rsid w:val="240733D7"/>
    <w:rsid w:val="24426D71"/>
    <w:rsid w:val="250B5FA7"/>
    <w:rsid w:val="261F2EA9"/>
    <w:rsid w:val="264846D8"/>
    <w:rsid w:val="26697352"/>
    <w:rsid w:val="2AC1385C"/>
    <w:rsid w:val="2B8422D5"/>
    <w:rsid w:val="2CD2742C"/>
    <w:rsid w:val="2DA3549B"/>
    <w:rsid w:val="2E2C723F"/>
    <w:rsid w:val="2E502D7E"/>
    <w:rsid w:val="2EA66FF1"/>
    <w:rsid w:val="3139002E"/>
    <w:rsid w:val="316B4254"/>
    <w:rsid w:val="3317659A"/>
    <w:rsid w:val="33A60E31"/>
    <w:rsid w:val="35155921"/>
    <w:rsid w:val="377560FC"/>
    <w:rsid w:val="37BA5944"/>
    <w:rsid w:val="38DC06B4"/>
    <w:rsid w:val="39F63FB0"/>
    <w:rsid w:val="3A2F4A15"/>
    <w:rsid w:val="3A4E50DB"/>
    <w:rsid w:val="3AC85F3C"/>
    <w:rsid w:val="3CEF020A"/>
    <w:rsid w:val="3D3A1898"/>
    <w:rsid w:val="3DF170BE"/>
    <w:rsid w:val="3EEF3E6C"/>
    <w:rsid w:val="3F6A0C05"/>
    <w:rsid w:val="3FD757AB"/>
    <w:rsid w:val="4024421A"/>
    <w:rsid w:val="4539549E"/>
    <w:rsid w:val="45EE77A4"/>
    <w:rsid w:val="45FF375F"/>
    <w:rsid w:val="46183104"/>
    <w:rsid w:val="46AC6C3D"/>
    <w:rsid w:val="46CB3641"/>
    <w:rsid w:val="47290985"/>
    <w:rsid w:val="4759751C"/>
    <w:rsid w:val="475E7622"/>
    <w:rsid w:val="477F7D0F"/>
    <w:rsid w:val="484E0571"/>
    <w:rsid w:val="4A62323D"/>
    <w:rsid w:val="4C4E2067"/>
    <w:rsid w:val="4C871DB8"/>
    <w:rsid w:val="4CE36D03"/>
    <w:rsid w:val="4D0C1B93"/>
    <w:rsid w:val="51F94CF1"/>
    <w:rsid w:val="521F4E7F"/>
    <w:rsid w:val="526F678C"/>
    <w:rsid w:val="52A339CB"/>
    <w:rsid w:val="52C213E3"/>
    <w:rsid w:val="52C75060"/>
    <w:rsid w:val="53391617"/>
    <w:rsid w:val="53567573"/>
    <w:rsid w:val="55603EA4"/>
    <w:rsid w:val="570A0D4E"/>
    <w:rsid w:val="58B37830"/>
    <w:rsid w:val="5A931FC5"/>
    <w:rsid w:val="5B187A95"/>
    <w:rsid w:val="5C8751D9"/>
    <w:rsid w:val="5D9A660C"/>
    <w:rsid w:val="5E081F5C"/>
    <w:rsid w:val="5E201271"/>
    <w:rsid w:val="5E394EDC"/>
    <w:rsid w:val="5E4045E7"/>
    <w:rsid w:val="5E622355"/>
    <w:rsid w:val="60775935"/>
    <w:rsid w:val="61C7607A"/>
    <w:rsid w:val="624F3EEF"/>
    <w:rsid w:val="632E0C49"/>
    <w:rsid w:val="633B398A"/>
    <w:rsid w:val="67890D32"/>
    <w:rsid w:val="69124CA8"/>
    <w:rsid w:val="698D0CB7"/>
    <w:rsid w:val="699B6911"/>
    <w:rsid w:val="69E2467A"/>
    <w:rsid w:val="69F078F1"/>
    <w:rsid w:val="6A2C58F8"/>
    <w:rsid w:val="6A85633A"/>
    <w:rsid w:val="6A8B4D12"/>
    <w:rsid w:val="6AC96323"/>
    <w:rsid w:val="6AF428B7"/>
    <w:rsid w:val="6BA16927"/>
    <w:rsid w:val="6CB548B6"/>
    <w:rsid w:val="6CF22709"/>
    <w:rsid w:val="6CF52E8A"/>
    <w:rsid w:val="6D2A0812"/>
    <w:rsid w:val="6D6D06FE"/>
    <w:rsid w:val="6D8223FC"/>
    <w:rsid w:val="6E3665B3"/>
    <w:rsid w:val="6EC10D02"/>
    <w:rsid w:val="6EE15E71"/>
    <w:rsid w:val="6F843655"/>
    <w:rsid w:val="703C6F54"/>
    <w:rsid w:val="7080699B"/>
    <w:rsid w:val="71FE226D"/>
    <w:rsid w:val="720F27CE"/>
    <w:rsid w:val="72C46EDA"/>
    <w:rsid w:val="74206A00"/>
    <w:rsid w:val="75297777"/>
    <w:rsid w:val="764F3ACF"/>
    <w:rsid w:val="772B17A3"/>
    <w:rsid w:val="774C75D7"/>
    <w:rsid w:val="78B66E2B"/>
    <w:rsid w:val="790913CC"/>
    <w:rsid w:val="793724FD"/>
    <w:rsid w:val="79442C5B"/>
    <w:rsid w:val="79FA126F"/>
    <w:rsid w:val="7AAD4E26"/>
    <w:rsid w:val="7B14616A"/>
    <w:rsid w:val="7BC1532A"/>
    <w:rsid w:val="7C6F4493"/>
    <w:rsid w:val="7D4F211A"/>
    <w:rsid w:val="7DEE7639"/>
    <w:rsid w:val="7E8769F7"/>
    <w:rsid w:val="7E976CF0"/>
    <w:rsid w:val="7EA83C8C"/>
    <w:rsid w:val="7F062F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278" w:lineRule="auto"/>
      <w:ind w:firstLine="200" w:firstLineChars="200"/>
    </w:pPr>
    <w:rPr>
      <w:rFonts w:asciiTheme="minorHAnsi" w:hAnsiTheme="minorHAnsi" w:eastAsiaTheme="minorEastAsia" w:cstheme="minorBidi"/>
      <w:kern w:val="2"/>
      <w:sz w:val="22"/>
      <w:szCs w:val="24"/>
      <w:lang w:val="en-US" w:eastAsia="zh-CN" w:bidi="ar-SA"/>
      <w14:ligatures w14:val="standardContextual"/>
    </w:rPr>
  </w:style>
  <w:style w:type="paragraph" w:styleId="2">
    <w:name w:val="heading 2"/>
    <w:basedOn w:val="1"/>
    <w:next w:val="1"/>
    <w:semiHidden/>
    <w:unhideWhenUsed/>
    <w:qFormat/>
    <w:uiPriority w:val="9"/>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12">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semiHidden/>
    <w:unhideWhenUsed/>
    <w:qFormat/>
    <w:uiPriority w:val="99"/>
  </w:style>
  <w:style w:type="paragraph" w:styleId="4">
    <w:name w:val="Body Text"/>
    <w:basedOn w:val="1"/>
    <w:link w:val="24"/>
    <w:semiHidden/>
    <w:unhideWhenUsed/>
    <w:qFormat/>
    <w:uiPriority w:val="99"/>
    <w:pPr>
      <w:spacing w:after="120"/>
    </w:pPr>
  </w:style>
  <w:style w:type="paragraph" w:styleId="5">
    <w:name w:val="footer"/>
    <w:basedOn w:val="1"/>
    <w:link w:val="14"/>
    <w:unhideWhenUsed/>
    <w:qFormat/>
    <w:uiPriority w:val="99"/>
    <w:pPr>
      <w:tabs>
        <w:tab w:val="center" w:pos="4153"/>
        <w:tab w:val="right" w:pos="8306"/>
      </w:tabs>
      <w:snapToGrid w:val="0"/>
      <w:spacing w:line="240" w:lineRule="auto"/>
    </w:pPr>
    <w:rPr>
      <w:sz w:val="18"/>
      <w:szCs w:val="18"/>
    </w:rPr>
  </w:style>
  <w:style w:type="paragraph" w:styleId="6">
    <w:name w:val="header"/>
    <w:basedOn w:val="1"/>
    <w:link w:val="13"/>
    <w:unhideWhenUsed/>
    <w:qFormat/>
    <w:uiPriority w:val="99"/>
    <w:pPr>
      <w:tabs>
        <w:tab w:val="center" w:pos="4153"/>
        <w:tab w:val="right" w:pos="8306"/>
      </w:tabs>
      <w:snapToGrid w:val="0"/>
      <w:spacing w:line="240" w:lineRule="auto"/>
      <w:jc w:val="center"/>
    </w:pPr>
    <w:rPr>
      <w:sz w:val="18"/>
      <w:szCs w:val="18"/>
    </w:rPr>
  </w:style>
  <w:style w:type="paragraph" w:styleId="7">
    <w:name w:val="toc 1"/>
    <w:basedOn w:val="1"/>
    <w:next w:val="1"/>
    <w:semiHidden/>
    <w:unhideWhenUsed/>
    <w:qFormat/>
    <w:uiPriority w:val="39"/>
  </w:style>
  <w:style w:type="paragraph" w:styleId="8">
    <w:name w:val="toc 2"/>
    <w:basedOn w:val="1"/>
    <w:next w:val="1"/>
    <w:autoRedefine/>
    <w:unhideWhenUsed/>
    <w:qFormat/>
    <w:uiPriority w:val="39"/>
    <w:pPr>
      <w:spacing w:after="0" w:line="360" w:lineRule="auto"/>
      <w:ind w:left="420" w:leftChars="200"/>
      <w:jc w:val="both"/>
    </w:pPr>
    <w:rPr>
      <w:sz w:val="24"/>
      <w:szCs w:val="22"/>
      <w14:ligatures w14:val="none"/>
    </w:rPr>
  </w:style>
  <w:style w:type="paragraph" w:styleId="9">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paragraph" w:styleId="10">
    <w:name w:val="Body Text First Indent"/>
    <w:basedOn w:val="4"/>
    <w:link w:val="25"/>
    <w:autoRedefine/>
    <w:qFormat/>
    <w:uiPriority w:val="0"/>
    <w:pPr>
      <w:autoSpaceDE w:val="0"/>
      <w:autoSpaceDN w:val="0"/>
      <w:spacing w:after="0" w:line="240" w:lineRule="auto"/>
      <w:ind w:firstLine="100" w:firstLineChars="100"/>
    </w:pPr>
    <w:rPr>
      <w:rFonts w:ascii="仿宋" w:hAnsi="仿宋" w:eastAsia="仿宋" w:cs="仿宋"/>
      <w:kern w:val="0"/>
      <w:sz w:val="28"/>
      <w:szCs w:val="28"/>
      <w:lang w:eastAsia="en-US"/>
      <w14:ligatures w14:val="none"/>
    </w:rPr>
  </w:style>
  <w:style w:type="character" w:customStyle="1" w:styleId="13">
    <w:name w:val="页眉 字符"/>
    <w:basedOn w:val="12"/>
    <w:link w:val="6"/>
    <w:qFormat/>
    <w:uiPriority w:val="99"/>
    <w:rPr>
      <w:sz w:val="18"/>
      <w:szCs w:val="18"/>
    </w:rPr>
  </w:style>
  <w:style w:type="character" w:customStyle="1" w:styleId="14">
    <w:name w:val="页脚 字符"/>
    <w:basedOn w:val="12"/>
    <w:link w:val="5"/>
    <w:qFormat/>
    <w:uiPriority w:val="99"/>
    <w:rPr>
      <w:sz w:val="18"/>
      <w:szCs w:val="18"/>
    </w:rPr>
  </w:style>
  <w:style w:type="paragraph" w:customStyle="1" w:styleId="15">
    <w:name w:val="一级标题"/>
    <w:basedOn w:val="1"/>
    <w:link w:val="16"/>
    <w:qFormat/>
    <w:uiPriority w:val="0"/>
    <w:pPr>
      <w:jc w:val="center"/>
    </w:pPr>
    <w:rPr>
      <w:rFonts w:ascii="仿宋" w:hAnsi="仿宋" w:eastAsia="仿宋"/>
      <w:b/>
      <w:bCs/>
      <w:sz w:val="28"/>
      <w:szCs w:val="28"/>
    </w:rPr>
  </w:style>
  <w:style w:type="character" w:customStyle="1" w:styleId="16">
    <w:name w:val="一级标题 字符"/>
    <w:basedOn w:val="12"/>
    <w:link w:val="15"/>
    <w:qFormat/>
    <w:uiPriority w:val="0"/>
    <w:rPr>
      <w:rFonts w:ascii="仿宋" w:hAnsi="仿宋" w:eastAsia="仿宋"/>
      <w:b/>
      <w:bCs/>
      <w:sz w:val="28"/>
      <w:szCs w:val="28"/>
    </w:rPr>
  </w:style>
  <w:style w:type="paragraph" w:customStyle="1" w:styleId="17">
    <w:name w:val="条款"/>
    <w:basedOn w:val="15"/>
    <w:link w:val="18"/>
    <w:qFormat/>
    <w:uiPriority w:val="0"/>
    <w:pPr>
      <w:spacing w:before="50" w:beforeLines="50"/>
      <w:ind w:firstLine="0" w:firstLineChars="0"/>
      <w:jc w:val="left"/>
    </w:pPr>
    <w:rPr>
      <w:sz w:val="24"/>
      <w:szCs w:val="24"/>
    </w:rPr>
  </w:style>
  <w:style w:type="character" w:customStyle="1" w:styleId="18">
    <w:name w:val="条款 字符"/>
    <w:basedOn w:val="16"/>
    <w:link w:val="17"/>
    <w:qFormat/>
    <w:uiPriority w:val="0"/>
    <w:rPr>
      <w:rFonts w:ascii="仿宋" w:hAnsi="仿宋" w:eastAsia="仿宋"/>
      <w:sz w:val="24"/>
      <w:szCs w:val="28"/>
    </w:rPr>
  </w:style>
  <w:style w:type="paragraph" w:customStyle="1" w:styleId="19">
    <w:name w:val="条款正文"/>
    <w:basedOn w:val="17"/>
    <w:link w:val="20"/>
    <w:qFormat/>
    <w:uiPriority w:val="0"/>
    <w:pPr>
      <w:spacing w:before="0" w:beforeLines="0" w:after="0" w:line="360" w:lineRule="auto"/>
      <w:ind w:firstLine="482"/>
      <w:jc w:val="both"/>
    </w:pPr>
    <w:rPr>
      <w:b w:val="0"/>
      <w:bCs w:val="0"/>
    </w:rPr>
  </w:style>
  <w:style w:type="character" w:customStyle="1" w:styleId="20">
    <w:name w:val="条款正文 字符"/>
    <w:basedOn w:val="18"/>
    <w:link w:val="19"/>
    <w:qFormat/>
    <w:uiPriority w:val="0"/>
    <w:rPr>
      <w:rFonts w:ascii="仿宋" w:hAnsi="仿宋" w:eastAsia="仿宋"/>
      <w:b w:val="0"/>
      <w:bCs w:val="0"/>
      <w:sz w:val="24"/>
      <w:szCs w:val="28"/>
    </w:rPr>
  </w:style>
  <w:style w:type="paragraph" w:customStyle="1" w:styleId="21">
    <w:name w:val="条款一级标题"/>
    <w:basedOn w:val="19"/>
    <w:link w:val="22"/>
    <w:qFormat/>
    <w:uiPriority w:val="0"/>
    <w:rPr>
      <w:b/>
      <w:bCs/>
    </w:rPr>
  </w:style>
  <w:style w:type="character" w:customStyle="1" w:styleId="22">
    <w:name w:val="条款一级标题 字符"/>
    <w:basedOn w:val="20"/>
    <w:link w:val="21"/>
    <w:qFormat/>
    <w:uiPriority w:val="0"/>
    <w:rPr>
      <w:rFonts w:ascii="仿宋" w:hAnsi="仿宋" w:eastAsia="仿宋"/>
      <w:b/>
      <w:bCs/>
      <w:sz w:val="24"/>
      <w:szCs w:val="28"/>
    </w:rPr>
  </w:style>
  <w:style w:type="paragraph" w:styleId="23">
    <w:name w:val="List Paragraph"/>
    <w:basedOn w:val="1"/>
    <w:qFormat/>
    <w:uiPriority w:val="34"/>
    <w:pPr>
      <w:ind w:firstLine="420"/>
    </w:pPr>
  </w:style>
  <w:style w:type="character" w:customStyle="1" w:styleId="24">
    <w:name w:val="正文文本 字符"/>
    <w:basedOn w:val="12"/>
    <w:link w:val="4"/>
    <w:semiHidden/>
    <w:qFormat/>
    <w:uiPriority w:val="99"/>
  </w:style>
  <w:style w:type="character" w:customStyle="1" w:styleId="25">
    <w:name w:val="正文文本首行缩进 字符"/>
    <w:basedOn w:val="24"/>
    <w:link w:val="10"/>
    <w:qFormat/>
    <w:uiPriority w:val="0"/>
    <w:rPr>
      <w:rFonts w:ascii="仿宋" w:hAnsi="仿宋" w:eastAsia="仿宋" w:cs="仿宋"/>
      <w:kern w:val="0"/>
      <w:sz w:val="28"/>
      <w:szCs w:val="28"/>
      <w:lang w:eastAsia="en-US"/>
      <w14:ligatures w14:val="none"/>
    </w:rPr>
  </w:style>
  <w:style w:type="paragraph" w:customStyle="1" w:styleId="26">
    <w:name w:val="条款强条"/>
    <w:basedOn w:val="19"/>
    <w:link w:val="27"/>
    <w:qFormat/>
    <w:uiPriority w:val="0"/>
    <w:rPr>
      <w:b/>
      <w:bCs/>
      <w:u w:val="single"/>
    </w:rPr>
  </w:style>
  <w:style w:type="character" w:customStyle="1" w:styleId="27">
    <w:name w:val="条款强条 字符"/>
    <w:basedOn w:val="20"/>
    <w:link w:val="26"/>
    <w:qFormat/>
    <w:uiPriority w:val="0"/>
    <w:rPr>
      <w:rFonts w:ascii="仿宋" w:hAnsi="仿宋" w:eastAsia="仿宋"/>
      <w:b/>
      <w:bCs/>
      <w:sz w:val="24"/>
      <w:szCs w:val="28"/>
      <w:u w:val="single"/>
    </w:rPr>
  </w:style>
  <w:style w:type="paragraph" w:customStyle="1" w:styleId="28">
    <w:name w:val="表头"/>
    <w:basedOn w:val="1"/>
    <w:link w:val="29"/>
    <w:qFormat/>
    <w:uiPriority w:val="0"/>
    <w:pPr>
      <w:widowControl/>
      <w:ind w:firstLine="0" w:firstLineChars="0"/>
      <w:jc w:val="center"/>
    </w:pPr>
    <w:rPr>
      <w:rFonts w:ascii="仿宋" w:hAnsi="仿宋" w:eastAsia="仿宋"/>
      <w:sz w:val="21"/>
      <w:szCs w:val="21"/>
    </w:rPr>
  </w:style>
  <w:style w:type="character" w:customStyle="1" w:styleId="29">
    <w:name w:val="表头 字符"/>
    <w:basedOn w:val="12"/>
    <w:link w:val="28"/>
    <w:qFormat/>
    <w:uiPriority w:val="0"/>
    <w:rPr>
      <w:rFonts w:ascii="仿宋" w:hAnsi="仿宋" w:eastAsia="仿宋"/>
      <w:sz w:val="21"/>
      <w:szCs w:val="21"/>
    </w:rPr>
  </w:style>
  <w:style w:type="paragraph" w:customStyle="1" w:styleId="30">
    <w:name w:val="WPSOffice手动目录 1"/>
    <w:qFormat/>
    <w:uiPriority w:val="0"/>
    <w:rPr>
      <w:rFonts w:ascii="Times New Roman" w:hAnsi="Times New Roman" w:eastAsia="宋体" w:cs="Times New Roman"/>
      <w:lang w:val="en-US" w:eastAsia="zh-CN" w:bidi="ar-SA"/>
    </w:rPr>
  </w:style>
  <w:style w:type="paragraph" w:customStyle="1" w:styleId="31">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32">
    <w:name w:val="00正文"/>
    <w:basedOn w:val="33"/>
    <w:qFormat/>
    <w:uiPriority w:val="0"/>
    <w:pPr>
      <w:spacing w:after="0" w:line="360" w:lineRule="auto"/>
      <w:ind w:firstLine="200" w:firstLineChars="200"/>
      <w:jc w:val="both"/>
    </w:pPr>
    <w:rPr>
      <w:b w:val="0"/>
      <w:bCs w:val="0"/>
      <w:sz w:val="24"/>
      <w:szCs w:val="24"/>
    </w:rPr>
  </w:style>
  <w:style w:type="paragraph" w:customStyle="1" w:styleId="33">
    <w:name w:val="章节标题"/>
    <w:basedOn w:val="34"/>
    <w:qFormat/>
    <w:uiPriority w:val="0"/>
    <w:rPr>
      <w:sz w:val="30"/>
      <w:szCs w:val="30"/>
    </w:rPr>
  </w:style>
  <w:style w:type="paragraph" w:customStyle="1" w:styleId="34">
    <w:name w:val="大篇章"/>
    <w:basedOn w:val="1"/>
    <w:qFormat/>
    <w:uiPriority w:val="0"/>
    <w:pPr>
      <w:ind w:firstLine="0" w:firstLineChars="0"/>
      <w:jc w:val="center"/>
    </w:pPr>
    <w:rPr>
      <w:rFonts w:ascii="仿宋" w:hAnsi="仿宋" w:eastAsia="仿宋"/>
      <w:b/>
      <w:bCs/>
      <w:sz w:val="36"/>
      <w:szCs w:val="36"/>
    </w:rPr>
  </w:style>
  <w:style w:type="character" w:customStyle="1" w:styleId="35">
    <w:name w:val="font21"/>
    <w:basedOn w:val="12"/>
    <w:qFormat/>
    <w:uiPriority w:val="0"/>
    <w:rPr>
      <w:rFonts w:hint="default" w:ascii="Times New Roman" w:hAnsi="Times New Roman" w:cs="Times New Roman"/>
      <w:color w:val="000000"/>
      <w:sz w:val="21"/>
      <w:szCs w:val="21"/>
      <w:u w:val="none"/>
    </w:rPr>
  </w:style>
  <w:style w:type="character" w:customStyle="1" w:styleId="36">
    <w:name w:val="font11"/>
    <w:basedOn w:val="12"/>
    <w:qFormat/>
    <w:uiPriority w:val="0"/>
    <w:rPr>
      <w:rFonts w:hint="eastAsia" w:ascii="仿宋" w:hAnsi="仿宋" w:eastAsia="仿宋" w:cs="仿宋"/>
      <w:color w:val="000000"/>
      <w:sz w:val="21"/>
      <w:szCs w:val="21"/>
      <w:u w:val="none"/>
    </w:rPr>
  </w:style>
  <w:style w:type="character" w:customStyle="1" w:styleId="37">
    <w:name w:val="font31"/>
    <w:basedOn w:val="12"/>
    <w:qFormat/>
    <w:uiPriority w:val="0"/>
    <w:rPr>
      <w:rFonts w:hint="default" w:ascii="Times New Roman" w:hAnsi="Times New Roman" w:cs="Times New Roman"/>
      <w:color w:val="000000"/>
      <w:sz w:val="22"/>
      <w:szCs w:val="22"/>
      <w:u w:val="none"/>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3" Type="http://schemas.openxmlformats.org/officeDocument/2006/relationships/fontTable" Target="fontTable.xml"/><Relationship Id="rId42" Type="http://schemas.openxmlformats.org/officeDocument/2006/relationships/customXml" Target="../customXml/item2.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endnotes" Target="endnotes.xml"/><Relationship Id="rId39" Type="http://schemas.openxmlformats.org/officeDocument/2006/relationships/image" Target="media/image19.png"/><Relationship Id="rId38" Type="http://schemas.openxmlformats.org/officeDocument/2006/relationships/image" Target="media/image18.png"/><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footnotes" Target="footnotes.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header" Target="header7.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CFA5B9B-EF33-4B19-968B-72C7BE509835}">
  <ds:schemaRefs/>
</ds:datastoreItem>
</file>

<file path=docProps/app.xml><?xml version="1.0" encoding="utf-8"?>
<Properties xmlns="http://schemas.openxmlformats.org/officeDocument/2006/extended-properties" xmlns:vt="http://schemas.openxmlformats.org/officeDocument/2006/docPropsVTypes">
  <Template>Normal.dotm</Template>
  <Pages>40</Pages>
  <Words>6818</Words>
  <Characters>7937</Characters>
  <Lines>194</Lines>
  <Paragraphs>54</Paragraphs>
  <TotalTime>17</TotalTime>
  <ScaleCrop>false</ScaleCrop>
  <LinksUpToDate>false</LinksUpToDate>
  <CharactersWithSpaces>8230</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2024-07-18T06:50:00Z</dcterms:created>
  <dc:creator>述雨 李</dc:creator>
  <cp:lastModifiedBy>Bub</cp:lastModifiedBy>
  <dcterms:modified xsi:type="dcterms:W3CDTF">2025-10-10T06:12:02Z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F26F23AF5FEB44989DC7E89F8F83F72C_13</vt:lpwstr>
  </property>
  <property fmtid="{D5CDD505-2E9C-101B-9397-08002B2CF9AE}" pid="4" name="KSOTemplateDocerSaveRecord">
    <vt:lpwstr>eyJoZGlkIjoiNzY2YmY5MjY5YjY4YTczNmJhNWFkNzMwMDQ4NTQ1MjciLCJ1c2VySWQiOiI3NDMwOTkxMDMifQ==</vt:lpwstr>
  </property>
</Properties>
</file>