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劳务派遣单位信用等级评价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表</w:t>
      </w: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自评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表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）</w:t>
      </w:r>
    </w:p>
    <w:bookmarkEnd w:id="0"/>
    <w:p/>
    <w:p/>
    <w:tbl>
      <w:tblPr>
        <w:tblStyle w:val="6"/>
        <w:tblW w:w="140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46"/>
        <w:gridCol w:w="10355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0"/>
              </w:rPr>
              <w:t>一级指标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0"/>
              </w:rPr>
              <w:t>二级指标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0"/>
              </w:rPr>
              <w:t>评价细则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0"/>
                <w:lang w:eastAsia="zh-CN"/>
              </w:rPr>
              <w:t>自评</w:t>
            </w:r>
            <w:r>
              <w:rPr>
                <w:rFonts w:ascii="Times New Roman" w:hAnsi="Times New Roman" w:eastAsia="黑体" w:cs="Times New Roman"/>
                <w:kern w:val="0"/>
                <w:szCs w:val="2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初始分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（60分）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获得许可并参加核验（60分）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依法取得有效《劳务派遣经营许可证》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或劳务派遣分公司备案证明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且依法参加劳务派遣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经营情况核验的，初始分为6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基本指标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（30分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人员配备（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公司拥有持有劳动关系协调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、劳动人事争议调解或人力资源资格等证书的专业人员，满2名的，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1分；每多１名增加１分，最多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得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分。持证人员以与本公司签订劳动合同并缴纳社会保险费为准。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经营年限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（4分）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实际经营劳务派遣业务年限每满3年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得1分，累计最多不超过4分。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经营场地（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经营场所为自有商业地产且面积50㎡以上不满100㎡的，得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分，100㎡以上的得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分；经营场所为租赁商业地产，租赁面积50㎡以上且租赁期限3年以上的，得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100㎡以上的得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分；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其他情况不得分、也不扣分。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注册资本（3分）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实缴资本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00万元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以上不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500万元的，得1分；500万元以上不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1000万元的，得2分；1000万元以上的，得3分。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党组织（2分）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设立党的基层组织的，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工会组织（2分）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依法建立工会组织的，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1分；每年至少开展工会活动2次的，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规章制度（2分）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有完善的劳务派遣管理制度，管理制度经职工代表大会或者全体职工讨论，并公示或者告知劳动者的，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信息系统（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有完善的信息管理系统并通过信息管理系统进行管理的，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得2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安全生产（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建立健全安全生产规章制度、操作规程、事故应急预案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并进行演练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，得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tabs>
                <w:tab w:val="left" w:pos="8749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tabs>
                <w:tab w:val="left" w:pos="8749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职工培训（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tabs>
                <w:tab w:val="left" w:pos="8749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建立培训制度，对被派遣劳动者进行上岗知识、安全教育培训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，得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tabs>
                <w:tab w:val="left" w:pos="8749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信息公开（1分）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在经营场所显著位置公示劳务派遣经营许可证、营业执照、服务项目、服务收费标准、公示管理制度、服务流程等的，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其他（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建立服务质量体系，并通过ISO9000等质量管理体系标准认证通过的，得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加分指标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0分）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获得表彰（30分）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获得国家级综合性表彰或认定先进的（人力资源社会保障部单独或联合发文），加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获得省委、省政府（含两办）表彰的，加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分；其他省级综合性表彰或认定先进的（省人力资源社会保障厅单独或联合发文），加10分。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获得设区的市委、市政府（含两办）表彰的，加10分；其他市级综合性表彰或认定先进的（设区的市人力资源社会保障局单独或联合发文），加6分。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获得县（市、区）委、县（市、区）政府（含两办）表彰的，加6分；其他县级综合性表彰或认定先进的[县（市、区）人力资源社会保障局单独或联合发文]，加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协调机制（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建立劳动争议调解组织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，加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人才培养（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在评价周期内，培养出持有高级工及以上职业资格（职业技能等级）或中级及以上专业技术资格证书的技术技能人才，加2分。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培养出劳动关系协调师，加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保障用工需求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在评价周期内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组织输入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市外户籍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劳动力在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宜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稳定就业人数，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10人以上、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不满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00人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的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按十位数加分（如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33人，加3分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；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00人以上不满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00人的，加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分；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0人以上的，加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1"/>
                <w:szCs w:val="22"/>
              </w:rPr>
            </w:pPr>
          </w:p>
          <w:p>
            <w:pPr>
              <w:pStyle w:val="2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减分指标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0分）</w:t>
            </w:r>
          </w:p>
          <w:p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减分指标</w:t>
            </w:r>
          </w:p>
          <w:p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0分）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抽逃资本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（10分）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抽逃注册资本的，扣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虚报注册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资本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（5分）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实缴资本与注册资本不一致的，扣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虚开发票（10分）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虚开劳务派遣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方面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发票的，扣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业务开展（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未正常开展劳务派遣业务的不得评为A级，并按照以下标准扣分：评价周期内未正常开展劳务派遣业务的，扣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分；连续两个周期内未正常开展劳务派遣业务的，扣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0分；连续三个周期内未正常开展劳务派遣业务的，扣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社保稽核（10分）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社会保险稽核中发现存在违法行为的，每次扣5分，最多扣10分。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劳动保障</w:t>
            </w:r>
          </w:p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监察（20分）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因劳动保障违法行为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被依法行政处理处罚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的，每次扣10分，最多扣20分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；劳动保障投诉量每起扣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1分，最多扣10分，举报投诉每调解1起扣0分（抵扣投诉量扣分后）；收到裁员预警后，未及时向属地人社部门报告人员裁减具体情况（包括用工单位名称及裁员人数），每一次预警计扣5分，最多扣20分。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注册地与经营地不一致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（5分）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注册地和实际经营地不一致的，扣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劳动争议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仲裁（20分）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发生集体劳动争议案件且败诉（含部分败诉）的，每件扣10分，发生非集体劳动争议案件且败诉（含部分败诉）的，每件扣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分，最多扣20分。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逾期参加年度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核验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（10分）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逾期参加劳务派遣单位年度经营情况核验的，扣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0分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；未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在宜昌市电子劳动合同平台开展年度经营情况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报告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备案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，备案不规范，扣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警示约谈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（10分）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被人力资源和社会保障行政部门警示约谈的，每次扣5分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，最多扣10分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个人社保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代理（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通过虚构劳动关系等手段，违法为他人办理参加社会保险手续，缴纳社保费的，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不满10人的，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；10人以上不满100人的，扣10分；100人以上的，扣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违法派遣（30分）</w:t>
            </w:r>
          </w:p>
        </w:tc>
        <w:tc>
          <w:tcPr>
            <w:tcW w:w="10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以承揽、外包等名义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实施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的假外包真派遣，自派遣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，派遣非全日制用工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派遣日结工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Hans"/>
              </w:rPr>
              <w:t>情形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，每有一项扣10分，最多扣30分。</w:t>
            </w:r>
          </w:p>
        </w:tc>
        <w:tc>
          <w:tcPr>
            <w:tcW w:w="10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工伤事故（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3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70AD47" w:themeColor="accent6"/>
                <w:sz w:val="18"/>
                <w:szCs w:val="18"/>
                <w:lang w:eastAsia="zh-CN"/>
                <w14:textFill>
                  <w14:solidFill>
                    <w14:schemeClr w14:val="accent6"/>
                  </w14:solidFill>
                </w14:textFill>
              </w:rPr>
              <w:t>年工伤认定</w:t>
            </w:r>
            <w:r>
              <w:rPr>
                <w:rFonts w:hint="eastAsia" w:ascii="Times New Roman" w:hAnsi="Times New Roman" w:cs="Times New Roman"/>
                <w:color w:val="70AD47" w:themeColor="accent6"/>
                <w:sz w:val="18"/>
                <w:szCs w:val="18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数较去年同期增加1-3起，扣3分；较去年同期增加4-6起，扣6分；较去年同期增加6起以上，扣10分。</w:t>
            </w:r>
          </w:p>
        </w:tc>
        <w:tc>
          <w:tcPr>
            <w:tcW w:w="10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直接认定为C级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未参加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年度核验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不参加劳务派遣单位年度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经营情况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核验，或提供虚假材料参加劳务派遣单位年度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经营情况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核验，或年度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经营情况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核验不合格的。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违法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派遣行业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或岗位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向专职消防员、煤矿井下、涉密、核心技术等安全生产岗位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开展劳务派遣业务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虚假获证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隐瞒真实情况或提供虚假材料取得《劳务派遣经营许可证》的。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非法转让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存在涂改、倒卖、出租、出借或者以其他形式非法转让经营劳务派遣业务资质的。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不良信用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单位被列为失信执行人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等严重失信主体名单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安全事故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发生重大及以上安全生产事故的。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不良社会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影响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发生因单位原因引发的劳动关系领域群体性、突发性等事件，造成不良社会影响的。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劳动保障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违法行为</w:t>
            </w:r>
          </w:p>
        </w:tc>
        <w:tc>
          <w:tcPr>
            <w:tcW w:w="1035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因劳动保障违法行为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被依法行政处理处罚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三次以上（含三次）的。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65" w:type="dxa"/>
            <w:gridSpan w:val="3"/>
            <w:noWrap w:val="0"/>
            <w:vAlign w:val="center"/>
          </w:tcPr>
          <w:p>
            <w:pPr>
              <w:tabs>
                <w:tab w:val="left" w:pos="5127"/>
              </w:tabs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eastAsia="zh-CN"/>
              </w:rPr>
              <w:t>自评总分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063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="Times New Roman" w:hAnsi="Times New Roman" w:eastAsia="方正仿宋_GBK" w:cs="Times New Roman"/>
                <w:color w:val="000000"/>
                <w:sz w:val="21"/>
              </w:rPr>
            </w:pPr>
          </w:p>
          <w:p>
            <w:pPr>
              <w:widowControl/>
              <w:spacing w:line="240" w:lineRule="auto"/>
              <w:ind w:left="0"/>
              <w:jc w:val="both"/>
              <w:rPr>
                <w:rFonts w:ascii="Times New Roman" w:hAnsi="Times New Roman" w:eastAsia="方正仿宋_GBK" w:cs="Times New Roman"/>
                <w:color w:val="000000"/>
                <w:sz w:val="21"/>
                <w:u w:val="singl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</w:rPr>
              <w:t>承诺：</w:t>
            </w:r>
            <w:r>
              <w:rPr>
                <w:rFonts w:ascii="Times New Roman" w:hAnsi="Times New Roman" w:eastAsia="方正仿宋_GBK" w:cs="Times New Roman"/>
                <w:color w:val="000000"/>
                <w:sz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widowControl/>
              <w:spacing w:line="240" w:lineRule="auto"/>
              <w:ind w:left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1"/>
                <w:u w:val="singl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u w:val="none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t>请抄写：本公司所填报信息及相关材料均真实有效，如有虚假，愿接受失信联合惩戒。）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2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31" w:right="2041" w:bottom="1531" w:left="1928" w:header="851" w:footer="1134" w:gutter="0"/>
          <w:pgNumType w:fmt="decimal"/>
          <w:cols w:space="720" w:num="1"/>
          <w:rtlGutter w:val="0"/>
          <w:docGrid w:linePitch="312" w:charSpace="0"/>
        </w:sectPr>
      </w:pPr>
    </w:p>
    <w:p>
      <w:pPr>
        <w:rPr>
          <w:rFonts w:hint="default"/>
        </w:rPr>
      </w:pPr>
    </w:p>
    <w:sectPr>
      <w:footerReference r:id="rId6" w:type="default"/>
      <w:headerReference r:id="rId5" w:type="even"/>
      <w:footerReference r:id="rId7" w:type="even"/>
      <w:pgSz w:w="11906" w:h="16838"/>
      <w:pgMar w:top="2041" w:right="1531" w:bottom="1928" w:left="1531" w:header="851" w:footer="1531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-391795</wp:posOffset>
              </wp:positionH>
              <wp:positionV relativeFrom="paragraph">
                <wp:posOffset>-1066800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85pt;margin-top:-8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LKHtrZAAAADAEAAA8AAAAAAAAAAQAgAAAA&#10;IgAAAGRycy9kb3ducmV2LnhtbFBLAQIUABQAAAAIAIdO4kCtnkK70QEAAKcDAAAOAAAAAAAAAAEA&#10;IAAAACg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D58FE"/>
    <w:rsid w:val="071B359D"/>
    <w:rsid w:val="0B365425"/>
    <w:rsid w:val="0BD9503C"/>
    <w:rsid w:val="12857D53"/>
    <w:rsid w:val="13AA35B1"/>
    <w:rsid w:val="1D29604E"/>
    <w:rsid w:val="24910A79"/>
    <w:rsid w:val="2BA66F37"/>
    <w:rsid w:val="324A1E24"/>
    <w:rsid w:val="43AA32BB"/>
    <w:rsid w:val="4A87043C"/>
    <w:rsid w:val="597F3D37"/>
    <w:rsid w:val="5989397E"/>
    <w:rsid w:val="62E55906"/>
    <w:rsid w:val="78D968BE"/>
    <w:rsid w:val="7B0D58FE"/>
    <w:rsid w:val="7BC0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</w:rPr>
  </w:style>
  <w:style w:type="paragraph" w:customStyle="1" w:styleId="9">
    <w:name w:val="附录图标题"/>
    <w:basedOn w:val="1"/>
    <w:next w:val="10"/>
    <w:qFormat/>
    <w:uiPriority w:val="0"/>
    <w:pPr>
      <w:numPr>
        <w:ilvl w:val="1"/>
        <w:numId w:val="1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2023-08-08T07:43:00Z</dcterms:created>
  <dc:creator>俣安</dc:creator>
  <cp:lastModifiedBy>rsj</cp:lastModifiedBy>
  <dcterms:modified xsi:type="dcterms:W3CDTF">2024-10-14T06:47:48Z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BB49E5D448C8420BA7EF7B075A640E29</vt:lpwstr>
  </property>
</Properties>
</file>