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B45B51">
      <w:pPr>
        <w:pStyle w:val="2"/>
        <w:keepNext w:val="0"/>
        <w:keepLines w:val="0"/>
        <w:pageBreakBefore w:val="0"/>
        <w:widowControl/>
        <w:kinsoku w:val="0"/>
        <w:wordWrap/>
        <w:overflowPunct/>
        <w:topLinePunct w:val="0"/>
        <w:autoSpaceDE w:val="0"/>
        <w:autoSpaceDN w:val="0"/>
        <w:bidi w:val="0"/>
        <w:adjustRightInd w:val="0"/>
        <w:snapToGrid w:val="0"/>
        <w:spacing w:line="1440" w:lineRule="exact"/>
        <w:jc w:val="center"/>
        <w:textAlignment w:val="baseline"/>
        <w:rPr>
          <w:rFonts w:hint="eastAsia" w:ascii="方正公文小标宋" w:hAnsi="方正公文小标宋" w:eastAsia="方正公文小标宋" w:cs="方正公文小标宋"/>
          <w:b w:val="0"/>
          <w:bCs w:val="0"/>
          <w:spacing w:val="6"/>
          <w:w w:val="90"/>
          <w:sz w:val="44"/>
          <w:szCs w:val="44"/>
        </w:rPr>
      </w:pPr>
      <w:bookmarkStart w:id="0" w:name="OLE_LINK3"/>
    </w:p>
    <w:p w14:paraId="1A554581">
      <w:pPr>
        <w:keepNext w:val="0"/>
        <w:keepLines w:val="0"/>
        <w:pageBreakBefore w:val="0"/>
        <w:wordWrap/>
        <w:overflowPunct/>
        <w:topLinePunct w:val="0"/>
        <w:bidi w:val="0"/>
        <w:spacing w:line="720" w:lineRule="exact"/>
        <w:jc w:val="center"/>
        <w:rPr>
          <w:rFonts w:hint="eastAsia" w:ascii="方正公文小标宋" w:hAnsi="方正公文小标宋" w:eastAsia="方正公文小标宋" w:cs="方正公文小标宋"/>
          <w:b w:val="0"/>
          <w:bCs w:val="0"/>
          <w:spacing w:val="6"/>
          <w:w w:val="90"/>
          <w:sz w:val="44"/>
          <w:szCs w:val="44"/>
          <w:lang w:eastAsia="zh-CN"/>
        </w:rPr>
      </w:pPr>
      <w:r>
        <w:rPr>
          <w:rFonts w:hint="eastAsia" w:ascii="方正公文小标宋" w:hAnsi="方正公文小标宋" w:eastAsia="方正公文小标宋" w:cs="方正公文小标宋"/>
          <w:b w:val="0"/>
          <w:bCs w:val="0"/>
          <w:spacing w:val="6"/>
          <w:w w:val="90"/>
          <w:sz w:val="44"/>
          <w:szCs w:val="44"/>
        </w:rPr>
        <w:t>关于征求《既有工业建筑可靠性和抗震鉴定技术导则（征求意见稿）》意见建议的</w:t>
      </w:r>
      <w:r>
        <w:rPr>
          <w:rFonts w:hint="eastAsia" w:ascii="方正公文小标宋" w:hAnsi="方正公文小标宋" w:eastAsia="方正公文小标宋" w:cs="方正公文小标宋"/>
          <w:b w:val="0"/>
          <w:bCs w:val="0"/>
          <w:spacing w:val="6"/>
          <w:w w:val="90"/>
          <w:sz w:val="44"/>
          <w:szCs w:val="44"/>
          <w:lang w:eastAsia="zh-CN"/>
        </w:rPr>
        <w:t>通知</w:t>
      </w:r>
    </w:p>
    <w:p w14:paraId="2A97AE0F">
      <w:pPr>
        <w:pageBreakBefore w:val="0"/>
        <w:widowControl w:val="0"/>
        <w:kinsoku/>
        <w:wordWrap/>
        <w:overflowPunct/>
        <w:topLinePunct w:val="0"/>
        <w:autoSpaceDE/>
        <w:autoSpaceDN/>
        <w:bidi w:val="0"/>
        <w:spacing w:line="560" w:lineRule="exact"/>
        <w:ind w:firstLine="816" w:firstLineChars="200"/>
        <w:jc w:val="center"/>
        <w:textAlignment w:val="auto"/>
        <w:rPr>
          <w:rFonts w:hint="eastAsia" w:ascii="方正公文小标宋" w:hAnsi="方正公文小标宋" w:eastAsia="方正公文小标宋" w:cs="方正公文小标宋"/>
          <w:b w:val="0"/>
          <w:bCs w:val="0"/>
          <w:spacing w:val="6"/>
          <w:w w:val="90"/>
          <w:sz w:val="44"/>
          <w:szCs w:val="44"/>
          <w:lang w:eastAsia="zh-CN"/>
        </w:rPr>
      </w:pPr>
    </w:p>
    <w:p w14:paraId="2A0A646C">
      <w:pPr>
        <w:pageBreakBefore w:val="0"/>
        <w:widowControl w:val="0"/>
        <w:kinsoku/>
        <w:wordWrap/>
        <w:overflowPunct/>
        <w:topLinePunct w:val="0"/>
        <w:autoSpaceDE/>
        <w:autoSpaceDN/>
        <w:bidi w:val="0"/>
        <w:spacing w:line="560" w:lineRule="exact"/>
        <w:ind w:firstLine="664" w:firstLineChars="200"/>
        <w:jc w:val="left"/>
        <w:textAlignment w:val="auto"/>
        <w:rPr>
          <w:rFonts w:hint="eastAsia" w:ascii="方正仿宋_GB2312" w:hAnsi="方正仿宋_GB2312" w:eastAsia="方正仿宋_GB2312" w:cs="方正仿宋_GB2312"/>
          <w:b w:val="0"/>
          <w:bCs w:val="0"/>
          <w:spacing w:val="6"/>
          <w:sz w:val="32"/>
          <w:szCs w:val="32"/>
          <w:lang w:eastAsia="zh-CN"/>
        </w:rPr>
      </w:pPr>
      <w:r>
        <w:rPr>
          <w:rFonts w:hint="eastAsia" w:ascii="方正仿宋_GB2312" w:hAnsi="方正仿宋_GB2312" w:eastAsia="方正仿宋_GB2312" w:cs="方正仿宋_GB2312"/>
          <w:b w:val="0"/>
          <w:bCs w:val="0"/>
          <w:spacing w:val="6"/>
          <w:sz w:val="32"/>
          <w:szCs w:val="32"/>
        </w:rPr>
        <w:t>为加强既有工业建筑可靠性和抗震鉴定技术指导，确保城市既有房屋安全，市住房和城市更新局起草了《既有工业建筑可靠性和抗震鉴定技术导则（征求意见稿）》，现公开征求意见和建议</w:t>
      </w:r>
      <w:r>
        <w:rPr>
          <w:rFonts w:hint="eastAsia" w:ascii="方正仿宋_GB2312" w:hAnsi="方正仿宋_GB2312" w:eastAsia="方正仿宋_GB2312" w:cs="方正仿宋_GB2312"/>
          <w:b w:val="0"/>
          <w:bCs w:val="0"/>
          <w:spacing w:val="6"/>
          <w:sz w:val="32"/>
          <w:szCs w:val="32"/>
          <w:lang w:eastAsia="zh-CN"/>
        </w:rPr>
        <w:t>。</w:t>
      </w:r>
    </w:p>
    <w:p w14:paraId="14CD70AF">
      <w:pPr>
        <w:pageBreakBefore w:val="0"/>
        <w:widowControl w:val="0"/>
        <w:kinsoku/>
        <w:wordWrap/>
        <w:overflowPunct/>
        <w:topLinePunct w:val="0"/>
        <w:autoSpaceDE/>
        <w:autoSpaceDN/>
        <w:bidi w:val="0"/>
        <w:spacing w:line="560" w:lineRule="exact"/>
        <w:ind w:firstLine="664" w:firstLineChars="200"/>
        <w:jc w:val="left"/>
        <w:textAlignment w:val="auto"/>
        <w:rPr>
          <w:rFonts w:hint="eastAsia" w:ascii="方正仿宋_GB2312" w:hAnsi="方正仿宋_GB2312" w:eastAsia="方正仿宋_GB2312" w:cs="方正仿宋_GB2312"/>
          <w:b w:val="0"/>
          <w:bCs w:val="0"/>
          <w:spacing w:val="6"/>
          <w:sz w:val="32"/>
          <w:szCs w:val="32"/>
          <w:lang w:eastAsia="zh-CN"/>
        </w:rPr>
      </w:pPr>
      <w:r>
        <w:rPr>
          <w:rFonts w:hint="eastAsia" w:ascii="方正仿宋_GB2312" w:hAnsi="方正仿宋_GB2312" w:eastAsia="方正仿宋_GB2312" w:cs="方正仿宋_GB2312"/>
          <w:b w:val="0"/>
          <w:bCs w:val="0"/>
          <w:spacing w:val="6"/>
          <w:sz w:val="32"/>
          <w:szCs w:val="32"/>
          <w:lang w:eastAsia="zh-CN"/>
        </w:rPr>
        <w:t>公开征求意见起止时间：2024年</w:t>
      </w:r>
      <w:r>
        <w:rPr>
          <w:rFonts w:hint="eastAsia" w:ascii="方正仿宋_GB2312" w:hAnsi="方正仿宋_GB2312" w:eastAsia="方正仿宋_GB2312" w:cs="方正仿宋_GB2312"/>
          <w:b w:val="0"/>
          <w:bCs w:val="0"/>
          <w:spacing w:val="6"/>
          <w:sz w:val="32"/>
          <w:szCs w:val="32"/>
          <w:lang w:val="en-US" w:eastAsia="zh-CN"/>
        </w:rPr>
        <w:t>9</w:t>
      </w:r>
      <w:r>
        <w:rPr>
          <w:rFonts w:hint="eastAsia" w:ascii="方正仿宋_GB2312" w:hAnsi="方正仿宋_GB2312" w:eastAsia="方正仿宋_GB2312" w:cs="方正仿宋_GB2312"/>
          <w:b w:val="0"/>
          <w:bCs w:val="0"/>
          <w:spacing w:val="6"/>
          <w:sz w:val="32"/>
          <w:szCs w:val="32"/>
          <w:lang w:eastAsia="zh-CN"/>
        </w:rPr>
        <w:t>月</w:t>
      </w:r>
      <w:r>
        <w:rPr>
          <w:rFonts w:hint="eastAsia" w:ascii="方正仿宋_GB2312" w:hAnsi="方正仿宋_GB2312" w:eastAsia="方正仿宋_GB2312" w:cs="方正仿宋_GB2312"/>
          <w:b w:val="0"/>
          <w:bCs w:val="0"/>
          <w:spacing w:val="6"/>
          <w:sz w:val="32"/>
          <w:szCs w:val="32"/>
          <w:lang w:val="en-US" w:eastAsia="zh-CN"/>
        </w:rPr>
        <w:t>30</w:t>
      </w:r>
      <w:r>
        <w:rPr>
          <w:rFonts w:hint="eastAsia" w:ascii="方正仿宋_GB2312" w:hAnsi="方正仿宋_GB2312" w:eastAsia="方正仿宋_GB2312" w:cs="方正仿宋_GB2312"/>
          <w:b w:val="0"/>
          <w:bCs w:val="0"/>
          <w:spacing w:val="6"/>
          <w:sz w:val="32"/>
          <w:szCs w:val="32"/>
          <w:lang w:eastAsia="zh-CN"/>
        </w:rPr>
        <w:t>日至2024年</w:t>
      </w:r>
      <w:r>
        <w:rPr>
          <w:rFonts w:hint="eastAsia" w:ascii="方正仿宋_GB2312" w:hAnsi="方正仿宋_GB2312" w:eastAsia="方正仿宋_GB2312" w:cs="方正仿宋_GB2312"/>
          <w:b w:val="0"/>
          <w:bCs w:val="0"/>
          <w:spacing w:val="6"/>
          <w:sz w:val="32"/>
          <w:szCs w:val="32"/>
          <w:lang w:val="en-US" w:eastAsia="zh-CN"/>
        </w:rPr>
        <w:t>10</w:t>
      </w:r>
      <w:r>
        <w:rPr>
          <w:rFonts w:hint="eastAsia" w:ascii="方正仿宋_GB2312" w:hAnsi="方正仿宋_GB2312" w:eastAsia="方正仿宋_GB2312" w:cs="方正仿宋_GB2312"/>
          <w:b w:val="0"/>
          <w:bCs w:val="0"/>
          <w:spacing w:val="6"/>
          <w:sz w:val="32"/>
          <w:szCs w:val="32"/>
          <w:lang w:eastAsia="zh-CN"/>
        </w:rPr>
        <w:t>月</w:t>
      </w:r>
      <w:r>
        <w:rPr>
          <w:rFonts w:hint="eastAsia" w:ascii="方正仿宋_GB2312" w:hAnsi="方正仿宋_GB2312" w:eastAsia="方正仿宋_GB2312" w:cs="方正仿宋_GB2312"/>
          <w:b w:val="0"/>
          <w:bCs w:val="0"/>
          <w:spacing w:val="6"/>
          <w:sz w:val="32"/>
          <w:szCs w:val="32"/>
          <w:lang w:val="en-US" w:eastAsia="zh-CN"/>
        </w:rPr>
        <w:t>29</w:t>
      </w:r>
      <w:r>
        <w:rPr>
          <w:rFonts w:hint="eastAsia" w:ascii="方正仿宋_GB2312" w:hAnsi="方正仿宋_GB2312" w:eastAsia="方正仿宋_GB2312" w:cs="方正仿宋_GB2312"/>
          <w:b w:val="0"/>
          <w:bCs w:val="0"/>
          <w:spacing w:val="6"/>
          <w:sz w:val="32"/>
          <w:szCs w:val="32"/>
          <w:lang w:eastAsia="zh-CN"/>
        </w:rPr>
        <w:t>日。</w:t>
      </w:r>
    </w:p>
    <w:p w14:paraId="103E6708">
      <w:pPr>
        <w:pageBreakBefore w:val="0"/>
        <w:widowControl w:val="0"/>
        <w:kinsoku/>
        <w:wordWrap/>
        <w:overflowPunct/>
        <w:topLinePunct w:val="0"/>
        <w:autoSpaceDE/>
        <w:autoSpaceDN/>
        <w:bidi w:val="0"/>
        <w:spacing w:line="560" w:lineRule="exact"/>
        <w:ind w:firstLine="664" w:firstLineChars="200"/>
        <w:jc w:val="left"/>
        <w:textAlignment w:val="auto"/>
        <w:rPr>
          <w:rFonts w:hint="eastAsia" w:ascii="方正仿宋_GB2312" w:hAnsi="方正仿宋_GB2312" w:eastAsia="方正仿宋_GB2312" w:cs="方正仿宋_GB2312"/>
          <w:b w:val="0"/>
          <w:bCs w:val="0"/>
          <w:spacing w:val="6"/>
          <w:sz w:val="32"/>
          <w:szCs w:val="32"/>
          <w:lang w:eastAsia="zh-CN"/>
        </w:rPr>
      </w:pPr>
      <w:r>
        <w:rPr>
          <w:rFonts w:hint="eastAsia" w:ascii="方正仿宋_GB2312" w:hAnsi="方正仿宋_GB2312" w:eastAsia="方正仿宋_GB2312" w:cs="方正仿宋_GB2312"/>
          <w:b w:val="0"/>
          <w:bCs w:val="0"/>
          <w:spacing w:val="6"/>
          <w:sz w:val="32"/>
          <w:szCs w:val="32"/>
          <w:lang w:eastAsia="zh-CN"/>
        </w:rPr>
        <w:t>接收意见方式为邮寄或电子邮件。</w:t>
      </w:r>
    </w:p>
    <w:p w14:paraId="3847E393">
      <w:pPr>
        <w:pageBreakBefore w:val="0"/>
        <w:widowControl w:val="0"/>
        <w:kinsoku/>
        <w:wordWrap/>
        <w:overflowPunct/>
        <w:topLinePunct w:val="0"/>
        <w:autoSpaceDE/>
        <w:autoSpaceDN/>
        <w:bidi w:val="0"/>
        <w:spacing w:line="560" w:lineRule="exact"/>
        <w:ind w:firstLine="664" w:firstLineChars="200"/>
        <w:jc w:val="left"/>
        <w:textAlignment w:val="auto"/>
        <w:rPr>
          <w:rFonts w:hint="eastAsia" w:ascii="方正仿宋_GB2312" w:hAnsi="方正仿宋_GB2312" w:eastAsia="方正仿宋_GB2312" w:cs="方正仿宋_GB2312"/>
          <w:b w:val="0"/>
          <w:bCs w:val="0"/>
          <w:spacing w:val="6"/>
          <w:sz w:val="32"/>
          <w:szCs w:val="32"/>
          <w:lang w:val="en-US" w:eastAsia="zh-CN"/>
        </w:rPr>
      </w:pPr>
      <w:r>
        <w:rPr>
          <w:rFonts w:hint="default" w:ascii="方正仿宋_GB2312" w:hAnsi="方正仿宋_GB2312" w:eastAsia="方正仿宋_GB2312" w:cs="方正仿宋_GB2312"/>
          <w:b w:val="0"/>
          <w:bCs w:val="0"/>
          <w:spacing w:val="6"/>
          <w:sz w:val="32"/>
          <w:szCs w:val="32"/>
          <w:lang w:val="en-US" w:eastAsia="zh-CN"/>
        </w:rPr>
        <w:t>联系人：</w:t>
      </w:r>
      <w:r>
        <w:rPr>
          <w:rFonts w:hint="eastAsia" w:ascii="方正仿宋_GB2312" w:hAnsi="方正仿宋_GB2312" w:eastAsia="方正仿宋_GB2312" w:cs="方正仿宋_GB2312"/>
          <w:b w:val="0"/>
          <w:bCs w:val="0"/>
          <w:spacing w:val="6"/>
          <w:sz w:val="32"/>
          <w:szCs w:val="32"/>
          <w:lang w:val="en-US" w:eastAsia="zh-CN"/>
        </w:rPr>
        <w:t>王玮琦</w:t>
      </w:r>
    </w:p>
    <w:p w14:paraId="00216409">
      <w:pPr>
        <w:pageBreakBefore w:val="0"/>
        <w:widowControl w:val="0"/>
        <w:kinsoku/>
        <w:wordWrap/>
        <w:overflowPunct/>
        <w:topLinePunct w:val="0"/>
        <w:autoSpaceDE/>
        <w:autoSpaceDN/>
        <w:bidi w:val="0"/>
        <w:spacing w:line="560" w:lineRule="exact"/>
        <w:ind w:firstLine="664" w:firstLineChars="200"/>
        <w:jc w:val="left"/>
        <w:textAlignment w:val="auto"/>
        <w:rPr>
          <w:rFonts w:hint="eastAsia" w:ascii="方正仿宋_GB2312" w:hAnsi="方正仿宋_GB2312" w:eastAsia="方正仿宋_GB2312" w:cs="方正仿宋_GB2312"/>
          <w:b w:val="0"/>
          <w:bCs w:val="0"/>
          <w:spacing w:val="6"/>
          <w:sz w:val="32"/>
          <w:szCs w:val="32"/>
          <w:lang w:val="en-US" w:eastAsia="zh-CN"/>
        </w:rPr>
      </w:pPr>
      <w:r>
        <w:rPr>
          <w:rFonts w:hint="default" w:ascii="方正仿宋_GB2312" w:hAnsi="方正仿宋_GB2312" w:eastAsia="方正仿宋_GB2312" w:cs="方正仿宋_GB2312"/>
          <w:b w:val="0"/>
          <w:bCs w:val="0"/>
          <w:spacing w:val="6"/>
          <w:sz w:val="32"/>
          <w:szCs w:val="32"/>
          <w:lang w:val="en-US" w:eastAsia="zh-CN"/>
        </w:rPr>
        <w:t>联系电话：0717-6</w:t>
      </w:r>
      <w:r>
        <w:rPr>
          <w:rFonts w:hint="eastAsia" w:ascii="方正仿宋_GB2312" w:hAnsi="方正仿宋_GB2312" w:eastAsia="方正仿宋_GB2312" w:cs="方正仿宋_GB2312"/>
          <w:b w:val="0"/>
          <w:bCs w:val="0"/>
          <w:spacing w:val="6"/>
          <w:sz w:val="32"/>
          <w:szCs w:val="32"/>
          <w:lang w:val="en-US" w:eastAsia="zh-CN"/>
        </w:rPr>
        <w:t>742069</w:t>
      </w:r>
    </w:p>
    <w:p w14:paraId="643276EC">
      <w:pPr>
        <w:pageBreakBefore w:val="0"/>
        <w:widowControl w:val="0"/>
        <w:kinsoku/>
        <w:wordWrap/>
        <w:overflowPunct/>
        <w:topLinePunct w:val="0"/>
        <w:autoSpaceDE/>
        <w:autoSpaceDN/>
        <w:bidi w:val="0"/>
        <w:spacing w:line="560" w:lineRule="exact"/>
        <w:ind w:firstLine="664" w:firstLineChars="200"/>
        <w:jc w:val="left"/>
        <w:textAlignment w:val="auto"/>
        <w:rPr>
          <w:rFonts w:hint="eastAsia" w:ascii="方正仿宋_GB2312" w:hAnsi="方正仿宋_GB2312" w:eastAsia="方正仿宋_GB2312" w:cs="方正仿宋_GB2312"/>
          <w:b w:val="0"/>
          <w:bCs w:val="0"/>
          <w:spacing w:val="6"/>
          <w:sz w:val="32"/>
          <w:szCs w:val="32"/>
          <w:lang w:val="en-US" w:eastAsia="zh-CN"/>
        </w:rPr>
      </w:pPr>
      <w:r>
        <w:rPr>
          <w:rFonts w:hint="eastAsia" w:ascii="方正仿宋_GB2312" w:hAnsi="方正仿宋_GB2312" w:eastAsia="方正仿宋_GB2312" w:cs="方正仿宋_GB2312"/>
          <w:b w:val="0"/>
          <w:bCs w:val="0"/>
          <w:spacing w:val="6"/>
          <w:sz w:val="32"/>
          <w:szCs w:val="32"/>
          <w:lang w:val="en-US" w:eastAsia="zh-CN"/>
        </w:rPr>
        <w:t>电子邮箱：360969800@qq.com</w:t>
      </w:r>
    </w:p>
    <w:p w14:paraId="7F1BC2EF">
      <w:pPr>
        <w:pageBreakBefore w:val="0"/>
        <w:widowControl w:val="0"/>
        <w:kinsoku/>
        <w:wordWrap/>
        <w:overflowPunct/>
        <w:topLinePunct w:val="0"/>
        <w:autoSpaceDE/>
        <w:autoSpaceDN/>
        <w:bidi w:val="0"/>
        <w:spacing w:line="560" w:lineRule="exact"/>
        <w:ind w:firstLine="664" w:firstLineChars="200"/>
        <w:jc w:val="left"/>
        <w:textAlignment w:val="auto"/>
        <w:rPr>
          <w:rFonts w:hint="eastAsia" w:ascii="方正仿宋_GB2312" w:hAnsi="方正仿宋_GB2312" w:eastAsia="方正仿宋_GB2312" w:cs="方正仿宋_GB2312"/>
          <w:b w:val="0"/>
          <w:bCs w:val="0"/>
          <w:spacing w:val="6"/>
          <w:sz w:val="32"/>
          <w:szCs w:val="32"/>
          <w:lang w:val="en-US" w:eastAsia="zh-CN"/>
        </w:rPr>
      </w:pPr>
      <w:r>
        <w:rPr>
          <w:rFonts w:hint="eastAsia" w:ascii="方正仿宋_GB2312" w:hAnsi="方正仿宋_GB2312" w:eastAsia="方正仿宋_GB2312" w:cs="方正仿宋_GB2312"/>
          <w:b w:val="0"/>
          <w:bCs w:val="0"/>
          <w:spacing w:val="6"/>
          <w:sz w:val="32"/>
          <w:szCs w:val="32"/>
          <w:lang w:val="en-US" w:eastAsia="zh-CN"/>
        </w:rPr>
        <w:t>通讯地址：宜昌市伍家岗区沿江大道129号金江银座9楼9015室（邮政编码：443000）</w:t>
      </w:r>
    </w:p>
    <w:p w14:paraId="6B4024F0">
      <w:pPr>
        <w:pageBreakBefore w:val="0"/>
        <w:widowControl w:val="0"/>
        <w:kinsoku/>
        <w:wordWrap/>
        <w:overflowPunct/>
        <w:topLinePunct w:val="0"/>
        <w:autoSpaceDE/>
        <w:autoSpaceDN/>
        <w:bidi w:val="0"/>
        <w:spacing w:line="560" w:lineRule="exact"/>
        <w:ind w:firstLine="664" w:firstLineChars="200"/>
        <w:jc w:val="left"/>
        <w:textAlignment w:val="auto"/>
        <w:rPr>
          <w:rFonts w:hint="eastAsia" w:ascii="方正仿宋_GB2312" w:hAnsi="方正仿宋_GB2312" w:eastAsia="方正仿宋_GB2312" w:cs="方正仿宋_GB2312"/>
          <w:b w:val="0"/>
          <w:bCs w:val="0"/>
          <w:spacing w:val="6"/>
          <w:sz w:val="32"/>
          <w:szCs w:val="32"/>
          <w:lang w:val="en-US" w:eastAsia="zh-CN"/>
        </w:rPr>
      </w:pPr>
      <w:r>
        <w:rPr>
          <w:rFonts w:hint="default" w:ascii="方正仿宋_GB2312" w:hAnsi="方正仿宋_GB2312" w:eastAsia="方正仿宋_GB2312" w:cs="方正仿宋_GB2312"/>
          <w:b w:val="0"/>
          <w:bCs w:val="0"/>
          <w:spacing w:val="6"/>
          <w:sz w:val="32"/>
          <w:szCs w:val="32"/>
          <w:lang w:val="en-US" w:eastAsia="zh-CN"/>
        </w:rPr>
        <w:t>附件：</w:t>
      </w:r>
      <w:r>
        <w:rPr>
          <w:rFonts w:hint="eastAsia" w:ascii="方正仿宋_GB2312" w:hAnsi="方正仿宋_GB2312" w:eastAsia="方正仿宋_GB2312" w:cs="方正仿宋_GB2312"/>
          <w:b w:val="0"/>
          <w:bCs w:val="0"/>
          <w:spacing w:val="6"/>
          <w:sz w:val="32"/>
          <w:szCs w:val="32"/>
          <w:lang w:val="en-US" w:eastAsia="zh-CN"/>
        </w:rPr>
        <w:t>《既有工业建筑可靠性和抗震鉴定技术导则（征求意见稿）》</w:t>
      </w:r>
    </w:p>
    <w:p w14:paraId="7E6851DA">
      <w:pPr>
        <w:pageBreakBefore w:val="0"/>
        <w:widowControl w:val="0"/>
        <w:kinsoku/>
        <w:wordWrap/>
        <w:overflowPunct/>
        <w:topLinePunct w:val="0"/>
        <w:autoSpaceDE/>
        <w:autoSpaceDN/>
        <w:bidi w:val="0"/>
        <w:spacing w:line="560" w:lineRule="exact"/>
        <w:textAlignment w:val="auto"/>
        <w:rPr>
          <w:rFonts w:hint="eastAsia" w:ascii="方正仿宋_GB2312" w:hAnsi="方正仿宋_GB2312" w:eastAsia="方正仿宋_GB2312" w:cs="方正仿宋_GB2312"/>
          <w:b w:val="0"/>
          <w:bCs w:val="0"/>
          <w:spacing w:val="6"/>
          <w:sz w:val="32"/>
          <w:szCs w:val="32"/>
          <w:lang w:eastAsia="zh-CN"/>
        </w:rPr>
      </w:pPr>
    </w:p>
    <w:p w14:paraId="471F9A03">
      <w:pPr>
        <w:pStyle w:val="2"/>
        <w:pageBreakBefore w:val="0"/>
        <w:widowControl w:val="0"/>
        <w:kinsoku/>
        <w:wordWrap/>
        <w:overflowPunct/>
        <w:topLinePunct w:val="0"/>
        <w:autoSpaceDE/>
        <w:autoSpaceDN/>
        <w:bidi w:val="0"/>
        <w:adjustRightInd w:val="0"/>
        <w:snapToGrid w:val="0"/>
        <w:spacing w:after="0" w:line="560" w:lineRule="exact"/>
        <w:ind w:firstLine="4316" w:firstLineChars="1300"/>
        <w:textAlignment w:val="auto"/>
        <w:rPr>
          <w:rFonts w:ascii="仿宋" w:hAnsi="仿宋" w:eastAsia="仿宋" w:cs="仿宋"/>
          <w:spacing w:val="6"/>
          <w:sz w:val="32"/>
          <w:szCs w:val="32"/>
        </w:rPr>
      </w:pPr>
      <w:r>
        <w:rPr>
          <w:rFonts w:hint="eastAsia" w:ascii="仿宋" w:hAnsi="仿宋" w:eastAsia="仿宋" w:cs="仿宋"/>
          <w:spacing w:val="6"/>
          <w:sz w:val="32"/>
          <w:szCs w:val="32"/>
        </w:rPr>
        <w:t>宜昌市住房和城市更新局</w:t>
      </w:r>
    </w:p>
    <w:p w14:paraId="0E870F36">
      <w:pPr>
        <w:pStyle w:val="2"/>
        <w:pageBreakBefore w:val="0"/>
        <w:widowControl w:val="0"/>
        <w:kinsoku/>
        <w:wordWrap/>
        <w:overflowPunct/>
        <w:topLinePunct w:val="0"/>
        <w:autoSpaceDE/>
        <w:autoSpaceDN/>
        <w:bidi w:val="0"/>
        <w:adjustRightInd w:val="0"/>
        <w:snapToGrid w:val="0"/>
        <w:spacing w:after="0" w:line="560" w:lineRule="exact"/>
        <w:ind w:firstLine="4980" w:firstLineChars="1500"/>
        <w:textAlignment w:val="auto"/>
        <w:rPr>
          <w:rFonts w:ascii="仿宋" w:hAnsi="仿宋" w:eastAsia="仿宋" w:cs="仿宋"/>
          <w:spacing w:val="6"/>
          <w:sz w:val="32"/>
          <w:szCs w:val="32"/>
        </w:rPr>
      </w:pPr>
      <w:r>
        <w:rPr>
          <w:rFonts w:hint="eastAsia" w:ascii="仿宋" w:hAnsi="仿宋" w:eastAsia="仿宋" w:cs="仿宋"/>
          <w:spacing w:val="6"/>
          <w:sz w:val="32"/>
          <w:szCs w:val="32"/>
        </w:rPr>
        <w:t>2024年</w:t>
      </w:r>
      <w:r>
        <w:rPr>
          <w:rFonts w:hint="eastAsia" w:ascii="仿宋" w:hAnsi="仿宋" w:eastAsia="仿宋" w:cs="仿宋"/>
          <w:spacing w:val="6"/>
          <w:sz w:val="32"/>
          <w:szCs w:val="32"/>
          <w:lang w:val="en-US" w:eastAsia="zh-CN"/>
        </w:rPr>
        <w:t>9</w:t>
      </w:r>
      <w:r>
        <w:rPr>
          <w:rFonts w:hint="eastAsia" w:ascii="仿宋" w:hAnsi="仿宋" w:eastAsia="仿宋" w:cs="仿宋"/>
          <w:spacing w:val="6"/>
          <w:sz w:val="32"/>
          <w:szCs w:val="32"/>
        </w:rPr>
        <w:t>月</w:t>
      </w:r>
      <w:r>
        <w:rPr>
          <w:rFonts w:hint="eastAsia" w:ascii="仿宋" w:hAnsi="仿宋" w:eastAsia="仿宋" w:cs="仿宋"/>
          <w:spacing w:val="6"/>
          <w:sz w:val="32"/>
          <w:szCs w:val="32"/>
          <w:lang w:val="en-US" w:eastAsia="zh-CN"/>
        </w:rPr>
        <w:t>30</w:t>
      </w:r>
      <w:r>
        <w:rPr>
          <w:rFonts w:hint="eastAsia" w:ascii="仿宋" w:hAnsi="仿宋" w:eastAsia="仿宋" w:cs="仿宋"/>
          <w:spacing w:val="6"/>
          <w:sz w:val="32"/>
          <w:szCs w:val="32"/>
        </w:rPr>
        <w:t>日</w:t>
      </w:r>
    </w:p>
    <w:p w14:paraId="58D72DEA">
      <w:pPr>
        <w:pStyle w:val="4"/>
        <w:pageBreakBefore w:val="0"/>
        <w:widowControl w:val="0"/>
        <w:kinsoku/>
        <w:wordWrap/>
        <w:overflowPunct/>
        <w:topLinePunct w:val="0"/>
        <w:autoSpaceDE/>
        <w:autoSpaceDN/>
        <w:bidi w:val="0"/>
        <w:spacing w:line="560" w:lineRule="exact"/>
        <w:ind w:firstLine="640" w:firstLineChars="200"/>
        <w:textAlignment w:val="auto"/>
        <w:rPr>
          <w:rFonts w:hint="eastAsia"/>
          <w:lang w:eastAsia="zh-CN"/>
        </w:rPr>
        <w:sectPr>
          <w:pgSz w:w="11906" w:h="16838"/>
          <w:pgMar w:top="1440" w:right="1800" w:bottom="1440" w:left="1800" w:header="851" w:footer="992" w:gutter="0"/>
          <w:cols w:space="720" w:num="1"/>
          <w:docGrid w:type="lines" w:linePitch="312" w:charSpace="0"/>
        </w:sectPr>
      </w:pPr>
    </w:p>
    <w:p w14:paraId="2F37BB69">
      <w:pPr>
        <w:spacing w:line="267" w:lineRule="auto"/>
        <w:rPr>
          <w:rFonts w:ascii="黑体" w:hAnsi="黑体" w:eastAsia="黑体" w:cs="黑体"/>
          <w:sz w:val="32"/>
          <w:szCs w:val="32"/>
        </w:rPr>
      </w:pPr>
      <w:r>
        <w:rPr>
          <w:rFonts w:hint="eastAsia" w:ascii="黑体" w:hAnsi="黑体" w:eastAsia="黑体" w:cs="黑体"/>
          <w:spacing w:val="6"/>
          <w:sz w:val="32"/>
          <w:szCs w:val="32"/>
        </w:rPr>
        <w:t>附件</w:t>
      </w:r>
    </w:p>
    <w:bookmarkEnd w:id="0"/>
    <w:p w14:paraId="36A6897A">
      <w:pPr>
        <w:spacing w:before="312" w:beforeLines="100" w:after="312" w:afterLines="100"/>
        <w:jc w:val="center"/>
        <w:rPr>
          <w:rFonts w:ascii="宋体" w:hAnsi="宋体"/>
          <w:b/>
          <w:sz w:val="32"/>
          <w:szCs w:val="32"/>
        </w:rPr>
      </w:pPr>
    </w:p>
    <w:p w14:paraId="219DA24B">
      <w:pPr>
        <w:pStyle w:val="4"/>
      </w:pPr>
    </w:p>
    <w:p w14:paraId="15107CA2">
      <w:pPr>
        <w:spacing w:before="312" w:beforeLines="100" w:after="312" w:afterLines="100"/>
        <w:jc w:val="center"/>
        <w:rPr>
          <w:rFonts w:hint="eastAsia" w:ascii="宋体" w:hAnsi="宋体" w:cs="宋体"/>
          <w:b/>
          <w:bCs/>
          <w:spacing w:val="6"/>
          <w:w w:val="95"/>
          <w:sz w:val="44"/>
          <w:szCs w:val="44"/>
        </w:rPr>
      </w:pPr>
      <w:r>
        <w:rPr>
          <w:rFonts w:hint="eastAsia" w:ascii="宋体" w:hAnsi="宋体" w:cs="宋体"/>
          <w:b/>
          <w:bCs/>
          <w:spacing w:val="6"/>
          <w:w w:val="95"/>
          <w:sz w:val="44"/>
          <w:szCs w:val="44"/>
        </w:rPr>
        <w:t>既有工业建筑可靠性和抗震鉴定技术导则</w:t>
      </w:r>
    </w:p>
    <w:p w14:paraId="37840A3C">
      <w:pPr>
        <w:spacing w:before="312" w:beforeLines="100" w:after="312" w:afterLines="100"/>
        <w:jc w:val="center"/>
        <w:rPr>
          <w:rFonts w:ascii="宋体" w:hAnsi="宋体"/>
          <w:b/>
          <w:sz w:val="32"/>
          <w:szCs w:val="32"/>
        </w:rPr>
      </w:pPr>
      <w:r>
        <w:rPr>
          <w:rFonts w:hint="eastAsia" w:ascii="宋体" w:hAnsi="宋体" w:cs="宋体"/>
          <w:b/>
          <w:bCs/>
          <w:spacing w:val="6"/>
          <w:w w:val="95"/>
          <w:sz w:val="44"/>
          <w:szCs w:val="44"/>
        </w:rPr>
        <w:t>(征求意见稿)</w:t>
      </w:r>
    </w:p>
    <w:p w14:paraId="7EB3B1C5">
      <w:pPr>
        <w:spacing w:before="312" w:beforeLines="100" w:after="312" w:afterLines="100"/>
        <w:jc w:val="center"/>
        <w:rPr>
          <w:rFonts w:ascii="宋体" w:hAnsi="宋体"/>
          <w:b/>
          <w:sz w:val="32"/>
          <w:szCs w:val="32"/>
        </w:rPr>
      </w:pPr>
    </w:p>
    <w:p w14:paraId="09609D62">
      <w:pPr>
        <w:spacing w:before="312" w:beforeLines="100" w:after="312" w:afterLines="100"/>
        <w:jc w:val="center"/>
        <w:rPr>
          <w:rFonts w:ascii="宋体" w:hAnsi="宋体"/>
          <w:b/>
          <w:sz w:val="32"/>
          <w:szCs w:val="32"/>
        </w:rPr>
      </w:pPr>
    </w:p>
    <w:p w14:paraId="2A6887E3">
      <w:pPr>
        <w:spacing w:before="312" w:beforeLines="100" w:after="312" w:afterLines="100"/>
        <w:jc w:val="center"/>
        <w:rPr>
          <w:rFonts w:ascii="宋体" w:hAnsi="宋体"/>
          <w:b/>
          <w:sz w:val="32"/>
          <w:szCs w:val="32"/>
        </w:rPr>
      </w:pPr>
    </w:p>
    <w:p w14:paraId="0A380C56">
      <w:pPr>
        <w:spacing w:before="312" w:beforeLines="100" w:after="312" w:afterLines="100"/>
        <w:jc w:val="center"/>
        <w:rPr>
          <w:rFonts w:ascii="宋体" w:hAnsi="宋体"/>
          <w:b/>
          <w:sz w:val="32"/>
          <w:szCs w:val="32"/>
        </w:rPr>
      </w:pPr>
    </w:p>
    <w:p w14:paraId="569196D1">
      <w:pPr>
        <w:spacing w:before="312" w:beforeLines="100" w:after="312" w:afterLines="100"/>
        <w:jc w:val="center"/>
        <w:rPr>
          <w:rFonts w:ascii="宋体" w:hAnsi="宋体"/>
          <w:b/>
          <w:sz w:val="32"/>
          <w:szCs w:val="32"/>
        </w:rPr>
      </w:pPr>
    </w:p>
    <w:p w14:paraId="3710ED18">
      <w:pPr>
        <w:spacing w:before="312" w:beforeLines="100" w:after="312" w:afterLines="100"/>
        <w:jc w:val="center"/>
        <w:rPr>
          <w:rFonts w:ascii="宋体" w:hAnsi="宋体"/>
          <w:b/>
          <w:sz w:val="32"/>
          <w:szCs w:val="32"/>
        </w:rPr>
      </w:pPr>
    </w:p>
    <w:p w14:paraId="64EA0817">
      <w:pPr>
        <w:adjustRightInd w:val="0"/>
        <w:snapToGrid w:val="0"/>
        <w:spacing w:before="312" w:beforeLines="100" w:after="312" w:afterLines="100" w:line="600" w:lineRule="exact"/>
        <w:jc w:val="center"/>
        <w:rPr>
          <w:rFonts w:ascii="宋体" w:hAnsi="宋体"/>
          <w:b/>
          <w:sz w:val="32"/>
          <w:szCs w:val="32"/>
        </w:rPr>
      </w:pPr>
      <w:r>
        <w:rPr>
          <w:rFonts w:hint="eastAsia" w:ascii="宋体" w:hAnsi="宋体"/>
          <w:b/>
          <w:sz w:val="32"/>
          <w:szCs w:val="32"/>
        </w:rPr>
        <w:t>宜昌市住房和城市更新局</w:t>
      </w:r>
    </w:p>
    <w:p w14:paraId="37C2C0BF">
      <w:pPr>
        <w:adjustRightInd w:val="0"/>
        <w:snapToGrid w:val="0"/>
        <w:spacing w:before="312" w:beforeLines="100" w:after="312" w:afterLines="100" w:line="600" w:lineRule="exact"/>
        <w:jc w:val="center"/>
        <w:rPr>
          <w:rFonts w:ascii="宋体" w:hAnsi="宋体"/>
          <w:b/>
          <w:sz w:val="32"/>
          <w:szCs w:val="32"/>
        </w:rPr>
      </w:pPr>
      <w:r>
        <w:rPr>
          <w:rFonts w:hint="eastAsia" w:ascii="宋体" w:hAnsi="宋体"/>
          <w:b/>
          <w:sz w:val="32"/>
          <w:szCs w:val="32"/>
        </w:rPr>
        <w:t>2024年</w:t>
      </w:r>
      <w:r>
        <w:rPr>
          <w:rFonts w:hint="eastAsia" w:ascii="宋体" w:hAnsi="宋体"/>
          <w:b/>
          <w:sz w:val="32"/>
          <w:szCs w:val="32"/>
          <w:lang w:val="en-US" w:eastAsia="zh-CN"/>
        </w:rPr>
        <w:t>9</w:t>
      </w:r>
      <w:r>
        <w:rPr>
          <w:rFonts w:hint="eastAsia" w:ascii="宋体" w:hAnsi="宋体"/>
          <w:b/>
          <w:sz w:val="32"/>
          <w:szCs w:val="32"/>
        </w:rPr>
        <w:t>月</w:t>
      </w:r>
    </w:p>
    <w:p w14:paraId="70AC141D">
      <w:pPr>
        <w:spacing w:before="312" w:beforeLines="100" w:after="312" w:afterLines="100"/>
        <w:jc w:val="center"/>
        <w:rPr>
          <w:rFonts w:ascii="宋体" w:hAnsi="宋体"/>
          <w:b/>
          <w:sz w:val="32"/>
          <w:szCs w:val="32"/>
        </w:rPr>
      </w:pPr>
    </w:p>
    <w:p w14:paraId="267B5081">
      <w:pPr>
        <w:widowControl/>
        <w:jc w:val="left"/>
        <w:rPr>
          <w:kern w:val="0"/>
          <w:sz w:val="24"/>
        </w:rPr>
        <w:sectPr>
          <w:footerReference r:id="rId3" w:type="default"/>
          <w:pgSz w:w="11906" w:h="16838"/>
          <w:pgMar w:top="1134" w:right="1701" w:bottom="1134" w:left="1701" w:header="851" w:footer="992" w:gutter="0"/>
          <w:cols w:space="425" w:num="1"/>
          <w:docGrid w:type="lines" w:linePitch="312" w:charSpace="0"/>
        </w:sectPr>
      </w:pPr>
    </w:p>
    <w:p w14:paraId="6315C138">
      <w:pPr>
        <w:keepNext w:val="0"/>
        <w:keepLines w:val="0"/>
        <w:pageBreakBefore w:val="0"/>
        <w:widowControl w:val="0"/>
        <w:kinsoku/>
        <w:wordWrap/>
        <w:overflowPunct/>
        <w:topLinePunct w:val="0"/>
        <w:autoSpaceDE/>
        <w:autoSpaceDN/>
        <w:bidi w:val="0"/>
        <w:adjustRightInd/>
        <w:snapToGrid/>
        <w:spacing w:before="120" w:after="120" w:line="360" w:lineRule="auto"/>
        <w:jc w:val="center"/>
        <w:textAlignment w:val="auto"/>
        <w:outlineLvl w:val="0"/>
        <w:rPr>
          <w:rFonts w:hint="default" w:ascii="Times New Roman" w:hAnsi="Times New Roman" w:eastAsia="黑体" w:cs="Times New Roman"/>
          <w:b/>
          <w:bCs/>
          <w:color w:val="auto"/>
          <w:sz w:val="36"/>
          <w:szCs w:val="36"/>
        </w:rPr>
      </w:pPr>
      <w:bookmarkStart w:id="1" w:name="_Toc28123"/>
      <w:bookmarkStart w:id="2" w:name="_Toc24631"/>
      <w:bookmarkStart w:id="3" w:name="_Toc23500"/>
      <w:bookmarkStart w:id="4" w:name="_Toc15107"/>
      <w:r>
        <w:rPr>
          <w:rFonts w:hint="default" w:ascii="Times New Roman" w:hAnsi="Times New Roman" w:eastAsia="黑体" w:cs="Times New Roman"/>
          <w:b/>
          <w:bCs/>
          <w:color w:val="auto"/>
          <w:sz w:val="36"/>
          <w:szCs w:val="36"/>
        </w:rPr>
        <w:t>前  言</w:t>
      </w:r>
      <w:bookmarkEnd w:id="1"/>
      <w:bookmarkEnd w:id="2"/>
      <w:bookmarkEnd w:id="3"/>
      <w:bookmarkEnd w:id="4"/>
    </w:p>
    <w:p w14:paraId="09AAD109">
      <w:pPr>
        <w:pStyle w:val="2"/>
        <w:rPr>
          <w:rFonts w:hint="default"/>
        </w:rPr>
      </w:pPr>
    </w:p>
    <w:p w14:paraId="4BDBDB40">
      <w:pPr>
        <w:keepNext w:val="0"/>
        <w:keepLines w:val="0"/>
        <w:pageBreakBefore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为规范工业建筑安全鉴定工作，编制组在总结宜昌地区工业建筑安全鉴定的现状，借鉴国内外先进经验及相关标准、规范，广泛征求意见的基础上，制定了本导则</w:t>
      </w:r>
      <w:r>
        <w:rPr>
          <w:rFonts w:hint="default" w:ascii="Times New Roman" w:hAnsi="Times New Roman" w:eastAsia="宋体" w:cs="Times New Roman"/>
          <w:color w:val="auto"/>
          <w:sz w:val="24"/>
          <w:szCs w:val="24"/>
        </w:rPr>
        <w:t>。</w:t>
      </w:r>
    </w:p>
    <w:p w14:paraId="64BA4CAE">
      <w:pPr>
        <w:keepNext w:val="0"/>
        <w:keepLines w:val="0"/>
        <w:pageBreakBefore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本导则共分为</w:t>
      </w:r>
      <w:r>
        <w:rPr>
          <w:rFonts w:hint="eastAsia" w:ascii="Times New Roman" w:hAnsi="Times New Roman" w:eastAsia="宋体"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lang w:val="en-US" w:eastAsia="zh-CN"/>
        </w:rPr>
        <w:t>章，</w:t>
      </w:r>
      <w:r>
        <w:rPr>
          <w:rFonts w:hint="default" w:ascii="Times New Roman" w:hAnsi="Times New Roman" w:eastAsia="宋体" w:cs="Times New Roman"/>
          <w:color w:val="auto"/>
          <w:sz w:val="24"/>
          <w:szCs w:val="24"/>
          <w:highlight w:val="none"/>
        </w:rPr>
        <w:t>主要内容</w:t>
      </w:r>
      <w:r>
        <w:rPr>
          <w:rFonts w:hint="default" w:ascii="Times New Roman" w:hAnsi="Times New Roman" w:eastAsia="宋体" w:cs="Times New Roman"/>
          <w:color w:val="auto"/>
          <w:sz w:val="24"/>
          <w:szCs w:val="24"/>
          <w:highlight w:val="none"/>
          <w:lang w:val="en-US" w:eastAsia="zh-CN"/>
        </w:rPr>
        <w:t>为</w:t>
      </w:r>
      <w:r>
        <w:rPr>
          <w:rFonts w:hint="default" w:ascii="Times New Roman" w:hAnsi="Times New Roman" w:eastAsia="宋体" w:cs="Times New Roman"/>
          <w:color w:val="auto"/>
          <w:sz w:val="24"/>
          <w:szCs w:val="24"/>
          <w:highlight w:val="none"/>
        </w:rPr>
        <w:t>：1、总则；2、</w:t>
      </w:r>
      <w:r>
        <w:rPr>
          <w:rFonts w:hint="eastAsia" w:ascii="Times New Roman" w:hAnsi="Times New Roman" w:eastAsia="宋体" w:cs="Times New Roman"/>
          <w:color w:val="auto"/>
          <w:sz w:val="24"/>
          <w:szCs w:val="24"/>
          <w:highlight w:val="none"/>
          <w:lang w:val="en-US" w:eastAsia="zh-CN"/>
        </w:rPr>
        <w:t>术语</w:t>
      </w:r>
      <w:r>
        <w:rPr>
          <w:rFonts w:hint="default" w:ascii="Times New Roman" w:hAnsi="Times New Roman" w:eastAsia="宋体" w:cs="Times New Roman"/>
          <w:color w:val="auto"/>
          <w:sz w:val="24"/>
          <w:szCs w:val="24"/>
          <w:highlight w:val="none"/>
        </w:rPr>
        <w:t>；3、基本规定；</w:t>
      </w:r>
      <w:r>
        <w:rPr>
          <w:rFonts w:hint="eastAsia"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、调查与</w:t>
      </w:r>
      <w:r>
        <w:rPr>
          <w:rFonts w:hint="eastAsia" w:ascii="Times New Roman" w:hAnsi="Times New Roman" w:eastAsia="宋体" w:cs="Times New Roman"/>
          <w:color w:val="auto"/>
          <w:sz w:val="24"/>
          <w:szCs w:val="24"/>
          <w:highlight w:val="none"/>
          <w:lang w:val="en-US" w:eastAsia="zh-CN"/>
        </w:rPr>
        <w:t>检测</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、结构分析验算；</w:t>
      </w:r>
      <w:r>
        <w:rPr>
          <w:rFonts w:hint="eastAsia"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、鉴定评级；</w:t>
      </w:r>
      <w:r>
        <w:rPr>
          <w:rFonts w:hint="eastAsia" w:ascii="Times New Roman" w:hAnsi="Times New Roman" w:eastAsia="宋体"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抗震鉴定</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rPr>
        <w:t>、鉴定报告编写要求</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9、鉴定档案管理。</w:t>
      </w:r>
    </w:p>
    <w:p w14:paraId="563F6CD9">
      <w:pPr>
        <w:keepNext w:val="0"/>
        <w:keepLines w:val="0"/>
        <w:pageBreakBefore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rPr>
        <w:t>本导</w:t>
      </w:r>
      <w:r>
        <w:rPr>
          <w:rFonts w:hint="default" w:ascii="Times New Roman" w:hAnsi="Times New Roman" w:eastAsia="宋体" w:cs="Times New Roman"/>
          <w:color w:val="auto"/>
          <w:sz w:val="24"/>
          <w:szCs w:val="24"/>
          <w:lang w:val="en-US" w:eastAsia="zh-CN"/>
        </w:rPr>
        <w:t>则由宜昌市房屋安全鉴定管理中心负责管理和解释。本文件实施应用中</w:t>
      </w:r>
      <w:r>
        <w:rPr>
          <w:rFonts w:hint="default" w:ascii="Times New Roman" w:hAnsi="Times New Roman" w:eastAsia="宋体" w:cs="Times New Roman"/>
          <w:color w:val="auto"/>
          <w:sz w:val="24"/>
          <w:szCs w:val="24"/>
          <w:highlight w:val="none"/>
          <w:lang w:val="en-US" w:eastAsia="zh-CN"/>
        </w:rPr>
        <w:t>的疑问或对本文件的有关修改意见、建议，请反馈至宜昌市房屋安全鉴定管理中心，联系电话：0717-6742069，地址：宜昌市伍家岗区金江银座9层。</w:t>
      </w:r>
    </w:p>
    <w:p w14:paraId="343A1C12">
      <w:pPr>
        <w:keepNext w:val="0"/>
        <w:keepLines w:val="0"/>
        <w:pageBreakBefore w:val="0"/>
        <w:kinsoku/>
        <w:wordWrap/>
        <w:overflowPunct/>
        <w:topLinePunct w:val="0"/>
        <w:autoSpaceDE/>
        <w:autoSpaceDN/>
        <w:bidi w:val="0"/>
        <w:adjustRightInd w:val="0"/>
        <w:snapToGrid w:val="0"/>
        <w:spacing w:line="360" w:lineRule="auto"/>
        <w:ind w:firstLine="482" w:firstLineChars="200"/>
        <w:jc w:val="left"/>
        <w:textAlignment w:val="auto"/>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b/>
          <w:bCs/>
          <w:color w:val="auto"/>
          <w:sz w:val="24"/>
          <w:szCs w:val="24"/>
          <w:highlight w:val="none"/>
          <w:lang w:eastAsia="zh-CN"/>
        </w:rPr>
        <w:t>参</w:t>
      </w:r>
      <w:r>
        <w:rPr>
          <w:rFonts w:hint="default" w:ascii="Times New Roman" w:hAnsi="Times New Roman" w:eastAsia="宋体" w:cs="Times New Roman"/>
          <w:b/>
          <w:bCs/>
          <w:color w:val="auto"/>
          <w:sz w:val="24"/>
          <w:szCs w:val="24"/>
          <w:highlight w:val="none"/>
        </w:rPr>
        <w:t>编单位：</w:t>
      </w:r>
      <w:r>
        <w:rPr>
          <w:rFonts w:hint="default" w:ascii="Times New Roman" w:hAnsi="Times New Roman" w:eastAsia="宋体" w:cs="Times New Roman"/>
          <w:color w:val="auto"/>
          <w:sz w:val="24"/>
          <w:szCs w:val="24"/>
          <w:highlight w:val="none"/>
        </w:rPr>
        <w:t>宜昌市房屋安全鉴定管理中心</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武汉博理建筑工程质量检测</w:t>
      </w:r>
      <w:r>
        <w:rPr>
          <w:rFonts w:hint="default" w:ascii="Times New Roman" w:hAnsi="Times New Roman" w:eastAsia="宋体" w:cs="Times New Roman"/>
          <w:color w:val="auto"/>
          <w:sz w:val="24"/>
          <w:szCs w:val="24"/>
          <w:highlight w:val="none"/>
        </w:rPr>
        <w:t>有限公司</w:t>
      </w:r>
      <w:r>
        <w:rPr>
          <w:rFonts w:hint="eastAsia" w:ascii="Times New Roman" w:hAnsi="Times New Roman" w:eastAsia="宋体" w:cs="Times New Roman"/>
          <w:color w:val="auto"/>
          <w:sz w:val="24"/>
          <w:szCs w:val="24"/>
          <w:highlight w:val="none"/>
          <w:lang w:eastAsia="zh-CN"/>
        </w:rPr>
        <w:t>、武汉九方工程技术有限责任公司、</w:t>
      </w:r>
      <w:r>
        <w:rPr>
          <w:rFonts w:hint="default" w:ascii="Times New Roman" w:hAnsi="Times New Roman" w:eastAsia="宋体" w:cs="Times New Roman"/>
          <w:color w:val="auto"/>
          <w:sz w:val="24"/>
          <w:szCs w:val="24"/>
          <w:highlight w:val="none"/>
        </w:rPr>
        <w:t>湖北楚天卓越工程技术有限公司</w:t>
      </w:r>
      <w:r>
        <w:rPr>
          <w:rFonts w:hint="eastAsia" w:ascii="Times New Roman" w:hAnsi="Times New Roman" w:eastAsia="宋体" w:cs="Times New Roman"/>
          <w:color w:val="auto"/>
          <w:sz w:val="24"/>
          <w:szCs w:val="24"/>
          <w:highlight w:val="none"/>
          <w:lang w:eastAsia="zh-CN"/>
        </w:rPr>
        <w:t>、湖北精睿建设工程检测有限公司、</w:t>
      </w:r>
      <w:r>
        <w:rPr>
          <w:rFonts w:hint="default" w:ascii="Times New Roman" w:hAnsi="Times New Roman" w:eastAsia="宋体" w:cs="Times New Roman"/>
          <w:color w:val="auto"/>
          <w:sz w:val="24"/>
          <w:szCs w:val="24"/>
          <w:highlight w:val="none"/>
        </w:rPr>
        <w:t>湖北永祥检验检测技术服务有限公司</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北京盈建科软件有限责任公司</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湖北衡泰工程技术有限公司、</w:t>
      </w:r>
      <w:r>
        <w:rPr>
          <w:rFonts w:hint="default" w:ascii="Times New Roman" w:hAnsi="Times New Roman" w:eastAsia="宋体" w:cs="Times New Roman"/>
          <w:color w:val="auto"/>
          <w:sz w:val="24"/>
          <w:szCs w:val="24"/>
          <w:highlight w:val="none"/>
        </w:rPr>
        <w:t>湖北建夷检验检测中心有限公司</w:t>
      </w:r>
      <w:r>
        <w:rPr>
          <w:rFonts w:hint="eastAsia" w:ascii="Times New Roman" w:hAnsi="Times New Roman" w:eastAsia="宋体" w:cs="Times New Roman"/>
          <w:color w:val="auto"/>
          <w:sz w:val="24"/>
          <w:szCs w:val="24"/>
          <w:highlight w:val="none"/>
          <w:lang w:eastAsia="zh-CN"/>
        </w:rPr>
        <w:t>。</w:t>
      </w:r>
    </w:p>
    <w:p w14:paraId="37FB3A5C">
      <w:pPr>
        <w:keepNext w:val="0"/>
        <w:keepLines w:val="0"/>
        <w:pageBreakBefore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color w:val="auto"/>
          <w:lang w:val="en-US" w:eastAsia="zh-CN"/>
        </w:rPr>
        <w:sectPr>
          <w:footerReference r:id="rId4" w:type="default"/>
          <w:pgSz w:w="11906" w:h="16838"/>
          <w:pgMar w:top="1440" w:right="1800" w:bottom="1440" w:left="1800" w:header="851" w:footer="992" w:gutter="0"/>
          <w:pgNumType w:fmt="decimal"/>
          <w:cols w:space="425" w:num="1"/>
          <w:docGrid w:type="lines" w:linePitch="312" w:charSpace="0"/>
        </w:sectPr>
      </w:pPr>
      <w:r>
        <w:rPr>
          <w:rFonts w:hint="eastAsia" w:ascii="Times New Roman" w:hAnsi="Times New Roman" w:eastAsia="宋体" w:cs="Times New Roman"/>
          <w:b/>
          <w:bCs/>
          <w:color w:val="auto"/>
          <w:sz w:val="24"/>
          <w:szCs w:val="24"/>
          <w:lang w:eastAsia="zh-CN"/>
        </w:rPr>
        <w:t>参编人员：</w:t>
      </w:r>
      <w:r>
        <w:rPr>
          <w:rFonts w:hint="eastAsia" w:ascii="Times New Roman" w:hAnsi="Times New Roman" w:eastAsia="宋体" w:cs="Times New Roman"/>
          <w:color w:val="auto"/>
          <w:sz w:val="24"/>
          <w:szCs w:val="24"/>
          <w:highlight w:val="none"/>
          <w:lang w:val="en-US" w:eastAsia="zh-CN"/>
        </w:rPr>
        <w:t>略</w:t>
      </w:r>
    </w:p>
    <w:p w14:paraId="3A5CB585">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36"/>
          <w:szCs w:val="36"/>
          <w:lang w:val="en-US" w:eastAsia="zh-CN"/>
        </w:rPr>
      </w:pPr>
      <w:r>
        <w:rPr>
          <w:rFonts w:hint="eastAsia" w:ascii="Times New Roman" w:hAnsi="Times New Roman" w:eastAsia="宋体" w:cs="Times New Roman"/>
          <w:color w:val="auto"/>
          <w:sz w:val="36"/>
          <w:szCs w:val="36"/>
          <w:lang w:val="en-US" w:eastAsia="zh-CN"/>
        </w:rPr>
        <w:t>目  次</w:t>
      </w:r>
    </w:p>
    <w:p w14:paraId="5DADD4FD">
      <w:pPr>
        <w:pStyle w:val="15"/>
        <w:tabs>
          <w:tab w:val="right" w:leader="dot" w:pos="8306"/>
        </w:tabs>
        <w:rPr>
          <w:color w:val="auto"/>
        </w:rPr>
      </w:pPr>
      <w:r>
        <w:rPr>
          <w:rFonts w:hint="default" w:ascii="Times New Roman" w:hAnsi="Times New Roman" w:eastAsia="宋体" w:cs="Times New Roman"/>
          <w:color w:val="auto"/>
          <w:sz w:val="24"/>
          <w:szCs w:val="24"/>
          <w:lang w:val="en-US" w:eastAsia="zh-CN"/>
        </w:rPr>
        <w:fldChar w:fldCharType="begin"/>
      </w:r>
      <w:r>
        <w:rPr>
          <w:rFonts w:hint="default" w:ascii="Times New Roman" w:hAnsi="Times New Roman" w:eastAsia="宋体" w:cs="Times New Roman"/>
          <w:color w:val="auto"/>
          <w:sz w:val="24"/>
          <w:szCs w:val="24"/>
          <w:lang w:val="en-US" w:eastAsia="zh-CN"/>
        </w:rPr>
        <w:instrText xml:space="preserve">TOC \o "1-3" \h \u </w:instrText>
      </w:r>
      <w:r>
        <w:rPr>
          <w:rFonts w:hint="default" w:ascii="Times New Roman" w:hAnsi="Times New Roman" w:eastAsia="宋体" w:cs="Times New Roman"/>
          <w:color w:val="auto"/>
          <w:sz w:val="24"/>
          <w:szCs w:val="24"/>
          <w:lang w:val="en-US" w:eastAsia="zh-CN"/>
        </w:rPr>
        <w:fldChar w:fldCharType="separate"/>
      </w:r>
      <w:r>
        <w:rPr>
          <w:rFonts w:hint="default" w:ascii="Times New Roman" w:hAnsi="Times New Roman" w:eastAsia="宋体" w:cs="Times New Roman"/>
          <w:color w:val="auto"/>
          <w:szCs w:val="24"/>
          <w:lang w:val="en-US" w:eastAsia="zh-CN"/>
        </w:rPr>
        <w:fldChar w:fldCharType="begin"/>
      </w:r>
      <w:r>
        <w:rPr>
          <w:rFonts w:hint="default" w:ascii="Times New Roman" w:hAnsi="Times New Roman" w:eastAsia="宋体" w:cs="Times New Roman"/>
          <w:color w:val="auto"/>
          <w:szCs w:val="24"/>
          <w:lang w:val="en-US" w:eastAsia="zh-CN"/>
        </w:rPr>
        <w:instrText xml:space="preserve"> HYPERLINK \l _Toc23500 </w:instrText>
      </w:r>
      <w:r>
        <w:rPr>
          <w:rFonts w:hint="default" w:ascii="Times New Roman" w:hAnsi="Times New Roman" w:eastAsia="宋体" w:cs="Times New Roman"/>
          <w:color w:val="auto"/>
          <w:szCs w:val="24"/>
          <w:lang w:val="en-US" w:eastAsia="zh-CN"/>
        </w:rPr>
        <w:fldChar w:fldCharType="separate"/>
      </w:r>
      <w:r>
        <w:rPr>
          <w:rFonts w:hint="default" w:ascii="Times New Roman" w:hAnsi="Times New Roman" w:eastAsia="黑体" w:cs="Times New Roman"/>
          <w:bCs/>
          <w:color w:val="auto"/>
          <w:szCs w:val="36"/>
        </w:rPr>
        <w:t>前  言</w:t>
      </w:r>
      <w:r>
        <w:rPr>
          <w:color w:val="auto"/>
        </w:rPr>
        <w:tab/>
      </w:r>
      <w:r>
        <w:rPr>
          <w:color w:val="auto"/>
        </w:rPr>
        <w:fldChar w:fldCharType="begin"/>
      </w:r>
      <w:r>
        <w:rPr>
          <w:color w:val="auto"/>
        </w:rPr>
        <w:instrText xml:space="preserve"> PAGEREF _Toc23500 \h </w:instrText>
      </w:r>
      <w:r>
        <w:rPr>
          <w:color w:val="auto"/>
        </w:rPr>
        <w:fldChar w:fldCharType="separate"/>
      </w:r>
      <w:r>
        <w:rPr>
          <w:color w:val="auto"/>
        </w:rPr>
        <w:t>1</w:t>
      </w:r>
      <w:r>
        <w:rPr>
          <w:color w:val="auto"/>
        </w:rPr>
        <w:fldChar w:fldCharType="end"/>
      </w:r>
      <w:r>
        <w:rPr>
          <w:rFonts w:hint="default" w:ascii="Times New Roman" w:hAnsi="Times New Roman" w:eastAsia="宋体" w:cs="Times New Roman"/>
          <w:color w:val="auto"/>
          <w:szCs w:val="24"/>
          <w:lang w:val="en-US" w:eastAsia="zh-CN"/>
        </w:rPr>
        <w:fldChar w:fldCharType="end"/>
      </w:r>
    </w:p>
    <w:p w14:paraId="67D5BA69">
      <w:pPr>
        <w:pStyle w:val="15"/>
        <w:tabs>
          <w:tab w:val="right" w:leader="dot" w:pos="8306"/>
        </w:tabs>
        <w:rPr>
          <w:color w:val="auto"/>
        </w:rPr>
      </w:pPr>
      <w:r>
        <w:rPr>
          <w:rFonts w:hint="default" w:ascii="Times New Roman" w:hAnsi="Times New Roman" w:eastAsia="宋体" w:cs="Times New Roman"/>
          <w:color w:val="auto"/>
          <w:szCs w:val="24"/>
          <w:lang w:val="en-US" w:eastAsia="zh-CN"/>
        </w:rPr>
        <w:fldChar w:fldCharType="begin"/>
      </w:r>
      <w:r>
        <w:rPr>
          <w:rFonts w:hint="default" w:ascii="Times New Roman" w:hAnsi="Times New Roman" w:eastAsia="宋体" w:cs="Times New Roman"/>
          <w:color w:val="auto"/>
          <w:szCs w:val="24"/>
          <w:lang w:val="en-US" w:eastAsia="zh-CN"/>
        </w:rPr>
        <w:instrText xml:space="preserve"> HYPERLINK \l _Toc23326 </w:instrText>
      </w:r>
      <w:r>
        <w:rPr>
          <w:rFonts w:hint="default" w:ascii="Times New Roman" w:hAnsi="Times New Roman" w:eastAsia="宋体" w:cs="Times New Roman"/>
          <w:color w:val="auto"/>
          <w:szCs w:val="24"/>
          <w:lang w:val="en-US" w:eastAsia="zh-CN"/>
        </w:rPr>
        <w:fldChar w:fldCharType="separate"/>
      </w:r>
      <w:r>
        <w:rPr>
          <w:rFonts w:hint="default" w:ascii="Times New Roman" w:hAnsi="Times New Roman" w:eastAsia="宋体" w:cs="Times New Roman"/>
          <w:color w:val="auto"/>
          <w:lang w:val="en-US" w:eastAsia="zh-CN"/>
        </w:rPr>
        <w:t xml:space="preserve">1 </w:t>
      </w:r>
      <w:r>
        <w:rPr>
          <w:rFonts w:hint="eastAsia"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lang w:val="en-US" w:eastAsia="zh-CN"/>
        </w:rPr>
        <w:t>总则</w:t>
      </w:r>
      <w:r>
        <w:rPr>
          <w:color w:val="auto"/>
        </w:rPr>
        <w:tab/>
      </w:r>
      <w:r>
        <w:rPr>
          <w:color w:val="auto"/>
        </w:rPr>
        <w:fldChar w:fldCharType="begin"/>
      </w:r>
      <w:r>
        <w:rPr>
          <w:color w:val="auto"/>
        </w:rPr>
        <w:instrText xml:space="preserve"> PAGEREF _Toc23326 \h </w:instrText>
      </w:r>
      <w:r>
        <w:rPr>
          <w:color w:val="auto"/>
        </w:rPr>
        <w:fldChar w:fldCharType="separate"/>
      </w:r>
      <w:r>
        <w:rPr>
          <w:color w:val="auto"/>
        </w:rPr>
        <w:t>2</w:t>
      </w:r>
      <w:r>
        <w:rPr>
          <w:color w:val="auto"/>
        </w:rPr>
        <w:fldChar w:fldCharType="end"/>
      </w:r>
      <w:r>
        <w:rPr>
          <w:rFonts w:hint="default" w:ascii="Times New Roman" w:hAnsi="Times New Roman" w:eastAsia="宋体" w:cs="Times New Roman"/>
          <w:color w:val="auto"/>
          <w:szCs w:val="24"/>
          <w:lang w:val="en-US" w:eastAsia="zh-CN"/>
        </w:rPr>
        <w:fldChar w:fldCharType="end"/>
      </w:r>
    </w:p>
    <w:p w14:paraId="4D1FFE9E">
      <w:pPr>
        <w:pStyle w:val="15"/>
        <w:tabs>
          <w:tab w:val="right" w:leader="dot" w:pos="8306"/>
        </w:tabs>
        <w:rPr>
          <w:color w:val="auto"/>
        </w:rPr>
      </w:pPr>
      <w:r>
        <w:rPr>
          <w:rFonts w:hint="default" w:ascii="Times New Roman" w:hAnsi="Times New Roman" w:eastAsia="宋体" w:cs="Times New Roman"/>
          <w:color w:val="auto"/>
          <w:szCs w:val="24"/>
          <w:lang w:val="en-US" w:eastAsia="zh-CN"/>
        </w:rPr>
        <w:fldChar w:fldCharType="begin"/>
      </w:r>
      <w:r>
        <w:rPr>
          <w:rFonts w:hint="default" w:ascii="Times New Roman" w:hAnsi="Times New Roman" w:eastAsia="宋体" w:cs="Times New Roman"/>
          <w:color w:val="auto"/>
          <w:szCs w:val="24"/>
          <w:lang w:val="en-US" w:eastAsia="zh-CN"/>
        </w:rPr>
        <w:instrText xml:space="preserve"> HYPERLINK \l _Toc21573 </w:instrText>
      </w:r>
      <w:r>
        <w:rPr>
          <w:rFonts w:hint="default" w:ascii="Times New Roman" w:hAnsi="Times New Roman" w:eastAsia="宋体" w:cs="Times New Roman"/>
          <w:color w:val="auto"/>
          <w:szCs w:val="24"/>
          <w:lang w:val="en-US" w:eastAsia="zh-CN"/>
        </w:rPr>
        <w:fldChar w:fldCharType="separate"/>
      </w:r>
      <w:r>
        <w:rPr>
          <w:rFonts w:hint="default" w:ascii="Times New Roman" w:hAnsi="Times New Roman" w:eastAsia="宋体" w:cs="Times New Roman"/>
          <w:color w:val="auto"/>
          <w:lang w:val="en-US" w:eastAsia="zh-CN"/>
        </w:rPr>
        <w:t xml:space="preserve">2 </w:t>
      </w:r>
      <w:r>
        <w:rPr>
          <w:rFonts w:hint="eastAsia"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lang w:val="en-US" w:eastAsia="zh-CN"/>
        </w:rPr>
        <w:t>术语</w:t>
      </w:r>
      <w:r>
        <w:rPr>
          <w:color w:val="auto"/>
        </w:rPr>
        <w:tab/>
      </w:r>
      <w:r>
        <w:rPr>
          <w:color w:val="auto"/>
        </w:rPr>
        <w:fldChar w:fldCharType="begin"/>
      </w:r>
      <w:r>
        <w:rPr>
          <w:color w:val="auto"/>
        </w:rPr>
        <w:instrText xml:space="preserve"> PAGEREF _Toc21573 \h </w:instrText>
      </w:r>
      <w:r>
        <w:rPr>
          <w:color w:val="auto"/>
        </w:rPr>
        <w:fldChar w:fldCharType="separate"/>
      </w:r>
      <w:r>
        <w:rPr>
          <w:color w:val="auto"/>
        </w:rPr>
        <w:t>3</w:t>
      </w:r>
      <w:r>
        <w:rPr>
          <w:color w:val="auto"/>
        </w:rPr>
        <w:fldChar w:fldCharType="end"/>
      </w:r>
      <w:r>
        <w:rPr>
          <w:rFonts w:hint="default" w:ascii="Times New Roman" w:hAnsi="Times New Roman" w:eastAsia="宋体" w:cs="Times New Roman"/>
          <w:color w:val="auto"/>
          <w:szCs w:val="24"/>
          <w:lang w:val="en-US" w:eastAsia="zh-CN"/>
        </w:rPr>
        <w:fldChar w:fldCharType="end"/>
      </w:r>
    </w:p>
    <w:p w14:paraId="53D2162F">
      <w:pPr>
        <w:pStyle w:val="15"/>
        <w:tabs>
          <w:tab w:val="right" w:leader="dot" w:pos="8306"/>
        </w:tabs>
        <w:rPr>
          <w:color w:val="auto"/>
        </w:rPr>
      </w:pPr>
      <w:r>
        <w:rPr>
          <w:rFonts w:hint="default" w:ascii="Times New Roman" w:hAnsi="Times New Roman" w:eastAsia="宋体" w:cs="Times New Roman"/>
          <w:color w:val="auto"/>
          <w:szCs w:val="24"/>
          <w:lang w:val="en-US" w:eastAsia="zh-CN"/>
        </w:rPr>
        <w:fldChar w:fldCharType="begin"/>
      </w:r>
      <w:r>
        <w:rPr>
          <w:rFonts w:hint="default" w:ascii="Times New Roman" w:hAnsi="Times New Roman" w:eastAsia="宋体" w:cs="Times New Roman"/>
          <w:color w:val="auto"/>
          <w:szCs w:val="24"/>
          <w:lang w:val="en-US" w:eastAsia="zh-CN"/>
        </w:rPr>
        <w:instrText xml:space="preserve"> HYPERLINK \l _Toc9514 </w:instrText>
      </w:r>
      <w:r>
        <w:rPr>
          <w:rFonts w:hint="default" w:ascii="Times New Roman" w:hAnsi="Times New Roman" w:eastAsia="宋体" w:cs="Times New Roman"/>
          <w:color w:val="auto"/>
          <w:szCs w:val="24"/>
          <w:lang w:val="en-US" w:eastAsia="zh-CN"/>
        </w:rPr>
        <w:fldChar w:fldCharType="separate"/>
      </w:r>
      <w:r>
        <w:rPr>
          <w:rFonts w:hint="default" w:ascii="Times New Roman" w:hAnsi="Times New Roman" w:eastAsia="宋体" w:cs="Times New Roman"/>
          <w:color w:val="auto"/>
          <w:lang w:val="en-US" w:eastAsia="zh-CN"/>
        </w:rPr>
        <w:t xml:space="preserve">3 </w:t>
      </w:r>
      <w:r>
        <w:rPr>
          <w:rFonts w:hint="eastAsia"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lang w:val="en-US" w:eastAsia="zh-CN"/>
        </w:rPr>
        <w:t>基本规定</w:t>
      </w:r>
      <w:r>
        <w:rPr>
          <w:color w:val="auto"/>
        </w:rPr>
        <w:tab/>
      </w:r>
      <w:r>
        <w:rPr>
          <w:color w:val="auto"/>
        </w:rPr>
        <w:fldChar w:fldCharType="begin"/>
      </w:r>
      <w:r>
        <w:rPr>
          <w:color w:val="auto"/>
        </w:rPr>
        <w:instrText xml:space="preserve"> PAGEREF _Toc9514 \h </w:instrText>
      </w:r>
      <w:r>
        <w:rPr>
          <w:color w:val="auto"/>
        </w:rPr>
        <w:fldChar w:fldCharType="separate"/>
      </w:r>
      <w:r>
        <w:rPr>
          <w:color w:val="auto"/>
        </w:rPr>
        <w:t>4</w:t>
      </w:r>
      <w:r>
        <w:rPr>
          <w:color w:val="auto"/>
        </w:rPr>
        <w:fldChar w:fldCharType="end"/>
      </w:r>
      <w:r>
        <w:rPr>
          <w:rFonts w:hint="default" w:ascii="Times New Roman" w:hAnsi="Times New Roman" w:eastAsia="宋体" w:cs="Times New Roman"/>
          <w:color w:val="auto"/>
          <w:szCs w:val="24"/>
          <w:lang w:val="en-US" w:eastAsia="zh-CN"/>
        </w:rPr>
        <w:fldChar w:fldCharType="end"/>
      </w:r>
    </w:p>
    <w:p w14:paraId="7298EF06">
      <w:pPr>
        <w:pStyle w:val="16"/>
        <w:tabs>
          <w:tab w:val="right" w:leader="dot" w:pos="8306"/>
        </w:tabs>
        <w:rPr>
          <w:color w:val="auto"/>
        </w:rPr>
      </w:pPr>
      <w:r>
        <w:rPr>
          <w:rFonts w:hint="default" w:ascii="Times New Roman" w:hAnsi="Times New Roman" w:eastAsia="宋体" w:cs="Times New Roman"/>
          <w:color w:val="auto"/>
          <w:szCs w:val="24"/>
          <w:lang w:val="en-US" w:eastAsia="zh-CN"/>
        </w:rPr>
        <w:fldChar w:fldCharType="begin"/>
      </w:r>
      <w:r>
        <w:rPr>
          <w:rFonts w:hint="default" w:ascii="Times New Roman" w:hAnsi="Times New Roman" w:eastAsia="宋体" w:cs="Times New Roman"/>
          <w:color w:val="auto"/>
          <w:szCs w:val="24"/>
          <w:lang w:val="en-US" w:eastAsia="zh-CN"/>
        </w:rPr>
        <w:instrText xml:space="preserve"> HYPERLINK \l _Toc22621 </w:instrText>
      </w:r>
      <w:r>
        <w:rPr>
          <w:rFonts w:hint="default" w:ascii="Times New Roman" w:hAnsi="Times New Roman" w:eastAsia="宋体" w:cs="Times New Roman"/>
          <w:color w:val="auto"/>
          <w:szCs w:val="24"/>
          <w:lang w:val="en-US" w:eastAsia="zh-CN"/>
        </w:rPr>
        <w:fldChar w:fldCharType="separate"/>
      </w:r>
      <w:r>
        <w:rPr>
          <w:rFonts w:hint="default" w:ascii="Times New Roman" w:hAnsi="Times New Roman" w:eastAsia="宋体" w:cs="Times New Roman"/>
          <w:color w:val="auto"/>
          <w:szCs w:val="28"/>
          <w:lang w:val="en-US" w:eastAsia="zh-CN"/>
        </w:rPr>
        <w:t xml:space="preserve">3.1 </w:t>
      </w:r>
      <w:r>
        <w:rPr>
          <w:rFonts w:hint="eastAsia" w:ascii="Times New Roman" w:hAnsi="Times New Roman" w:eastAsia="宋体" w:cs="Times New Roman"/>
          <w:color w:val="auto"/>
          <w:szCs w:val="28"/>
          <w:lang w:val="en-US" w:eastAsia="zh-CN"/>
        </w:rPr>
        <w:t xml:space="preserve"> </w:t>
      </w:r>
      <w:r>
        <w:rPr>
          <w:rFonts w:hint="default" w:ascii="Times New Roman" w:hAnsi="Times New Roman" w:eastAsia="宋体" w:cs="Times New Roman"/>
          <w:color w:val="auto"/>
          <w:szCs w:val="28"/>
          <w:lang w:val="en-US" w:eastAsia="zh-CN"/>
        </w:rPr>
        <w:t>一般规定</w:t>
      </w:r>
      <w:r>
        <w:rPr>
          <w:color w:val="auto"/>
        </w:rPr>
        <w:tab/>
      </w:r>
      <w:r>
        <w:rPr>
          <w:color w:val="auto"/>
        </w:rPr>
        <w:fldChar w:fldCharType="begin"/>
      </w:r>
      <w:r>
        <w:rPr>
          <w:color w:val="auto"/>
        </w:rPr>
        <w:instrText xml:space="preserve"> PAGEREF _Toc22621 \h </w:instrText>
      </w:r>
      <w:r>
        <w:rPr>
          <w:color w:val="auto"/>
        </w:rPr>
        <w:fldChar w:fldCharType="separate"/>
      </w:r>
      <w:r>
        <w:rPr>
          <w:color w:val="auto"/>
        </w:rPr>
        <w:t>4</w:t>
      </w:r>
      <w:r>
        <w:rPr>
          <w:color w:val="auto"/>
        </w:rPr>
        <w:fldChar w:fldCharType="end"/>
      </w:r>
      <w:r>
        <w:rPr>
          <w:rFonts w:hint="default" w:ascii="Times New Roman" w:hAnsi="Times New Roman" w:eastAsia="宋体" w:cs="Times New Roman"/>
          <w:color w:val="auto"/>
          <w:szCs w:val="24"/>
          <w:lang w:val="en-US" w:eastAsia="zh-CN"/>
        </w:rPr>
        <w:fldChar w:fldCharType="end"/>
      </w:r>
    </w:p>
    <w:p w14:paraId="3E065D6E">
      <w:pPr>
        <w:pStyle w:val="16"/>
        <w:tabs>
          <w:tab w:val="right" w:leader="dot" w:pos="8306"/>
        </w:tabs>
        <w:rPr>
          <w:color w:val="auto"/>
        </w:rPr>
      </w:pPr>
      <w:r>
        <w:rPr>
          <w:rFonts w:hint="default" w:ascii="Times New Roman" w:hAnsi="Times New Roman" w:eastAsia="宋体" w:cs="Times New Roman"/>
          <w:color w:val="auto"/>
          <w:szCs w:val="24"/>
          <w:lang w:val="en-US" w:eastAsia="zh-CN"/>
        </w:rPr>
        <w:fldChar w:fldCharType="begin"/>
      </w:r>
      <w:r>
        <w:rPr>
          <w:rFonts w:hint="default" w:ascii="Times New Roman" w:hAnsi="Times New Roman" w:eastAsia="宋体" w:cs="Times New Roman"/>
          <w:color w:val="auto"/>
          <w:szCs w:val="24"/>
          <w:lang w:val="en-US" w:eastAsia="zh-CN"/>
        </w:rPr>
        <w:instrText xml:space="preserve"> HYPERLINK \l _Toc31823 </w:instrText>
      </w:r>
      <w:r>
        <w:rPr>
          <w:rFonts w:hint="default" w:ascii="Times New Roman" w:hAnsi="Times New Roman" w:eastAsia="宋体" w:cs="Times New Roman"/>
          <w:color w:val="auto"/>
          <w:szCs w:val="24"/>
          <w:lang w:val="en-US" w:eastAsia="zh-CN"/>
        </w:rPr>
        <w:fldChar w:fldCharType="separate"/>
      </w:r>
      <w:r>
        <w:rPr>
          <w:rFonts w:hint="eastAsia" w:ascii="Times New Roman" w:hAnsi="Times New Roman" w:eastAsia="宋体" w:cs="Times New Roman"/>
          <w:color w:val="auto"/>
          <w:szCs w:val="28"/>
          <w:lang w:val="en-US" w:eastAsia="zh-CN"/>
        </w:rPr>
        <w:t>3.2  鉴定机构和从业人员要求</w:t>
      </w:r>
      <w:r>
        <w:rPr>
          <w:color w:val="auto"/>
        </w:rPr>
        <w:tab/>
      </w:r>
      <w:r>
        <w:rPr>
          <w:color w:val="auto"/>
        </w:rPr>
        <w:fldChar w:fldCharType="begin"/>
      </w:r>
      <w:r>
        <w:rPr>
          <w:color w:val="auto"/>
        </w:rPr>
        <w:instrText xml:space="preserve"> PAGEREF _Toc31823 \h </w:instrText>
      </w:r>
      <w:r>
        <w:rPr>
          <w:color w:val="auto"/>
        </w:rPr>
        <w:fldChar w:fldCharType="separate"/>
      </w:r>
      <w:r>
        <w:rPr>
          <w:color w:val="auto"/>
        </w:rPr>
        <w:t>4</w:t>
      </w:r>
      <w:r>
        <w:rPr>
          <w:color w:val="auto"/>
        </w:rPr>
        <w:fldChar w:fldCharType="end"/>
      </w:r>
      <w:r>
        <w:rPr>
          <w:rFonts w:hint="default" w:ascii="Times New Roman" w:hAnsi="Times New Roman" w:eastAsia="宋体" w:cs="Times New Roman"/>
          <w:color w:val="auto"/>
          <w:szCs w:val="24"/>
          <w:lang w:val="en-US" w:eastAsia="zh-CN"/>
        </w:rPr>
        <w:fldChar w:fldCharType="end"/>
      </w:r>
    </w:p>
    <w:p w14:paraId="1B5F3DD0">
      <w:pPr>
        <w:pStyle w:val="16"/>
        <w:tabs>
          <w:tab w:val="right" w:leader="dot" w:pos="8306"/>
        </w:tabs>
        <w:rPr>
          <w:color w:val="auto"/>
        </w:rPr>
      </w:pPr>
      <w:r>
        <w:rPr>
          <w:rFonts w:hint="default" w:ascii="Times New Roman" w:hAnsi="Times New Roman" w:eastAsia="宋体" w:cs="Times New Roman"/>
          <w:color w:val="auto"/>
          <w:szCs w:val="24"/>
          <w:lang w:val="en-US" w:eastAsia="zh-CN"/>
        </w:rPr>
        <w:fldChar w:fldCharType="begin"/>
      </w:r>
      <w:r>
        <w:rPr>
          <w:rFonts w:hint="default" w:ascii="Times New Roman" w:hAnsi="Times New Roman" w:eastAsia="宋体" w:cs="Times New Roman"/>
          <w:color w:val="auto"/>
          <w:szCs w:val="24"/>
          <w:lang w:val="en-US" w:eastAsia="zh-CN"/>
        </w:rPr>
        <w:instrText xml:space="preserve"> HYPERLINK \l _Toc2636 </w:instrText>
      </w:r>
      <w:r>
        <w:rPr>
          <w:rFonts w:hint="default" w:ascii="Times New Roman" w:hAnsi="Times New Roman" w:eastAsia="宋体" w:cs="Times New Roman"/>
          <w:color w:val="auto"/>
          <w:szCs w:val="24"/>
          <w:lang w:val="en-US" w:eastAsia="zh-CN"/>
        </w:rPr>
        <w:fldChar w:fldCharType="separate"/>
      </w:r>
      <w:r>
        <w:rPr>
          <w:rFonts w:hint="eastAsia" w:ascii="Times New Roman" w:hAnsi="Times New Roman" w:eastAsia="宋体" w:cs="Times New Roman"/>
          <w:color w:val="auto"/>
          <w:szCs w:val="28"/>
          <w:lang w:val="en-US" w:eastAsia="zh-CN"/>
        </w:rPr>
        <w:t>3.3  鉴定工作管理体系</w:t>
      </w:r>
      <w:r>
        <w:rPr>
          <w:color w:val="auto"/>
        </w:rPr>
        <w:tab/>
      </w:r>
      <w:r>
        <w:rPr>
          <w:color w:val="auto"/>
        </w:rPr>
        <w:fldChar w:fldCharType="begin"/>
      </w:r>
      <w:r>
        <w:rPr>
          <w:color w:val="auto"/>
        </w:rPr>
        <w:instrText xml:space="preserve"> PAGEREF _Toc2636 \h </w:instrText>
      </w:r>
      <w:r>
        <w:rPr>
          <w:color w:val="auto"/>
        </w:rPr>
        <w:fldChar w:fldCharType="separate"/>
      </w:r>
      <w:r>
        <w:rPr>
          <w:color w:val="auto"/>
        </w:rPr>
        <w:t>5</w:t>
      </w:r>
      <w:r>
        <w:rPr>
          <w:color w:val="auto"/>
        </w:rPr>
        <w:fldChar w:fldCharType="end"/>
      </w:r>
      <w:r>
        <w:rPr>
          <w:rFonts w:hint="default" w:ascii="Times New Roman" w:hAnsi="Times New Roman" w:eastAsia="宋体" w:cs="Times New Roman"/>
          <w:color w:val="auto"/>
          <w:szCs w:val="24"/>
          <w:lang w:val="en-US" w:eastAsia="zh-CN"/>
        </w:rPr>
        <w:fldChar w:fldCharType="end"/>
      </w:r>
    </w:p>
    <w:p w14:paraId="7C0A1968">
      <w:pPr>
        <w:pStyle w:val="16"/>
        <w:tabs>
          <w:tab w:val="right" w:leader="dot" w:pos="8306"/>
        </w:tabs>
        <w:rPr>
          <w:color w:val="auto"/>
        </w:rPr>
      </w:pPr>
      <w:r>
        <w:rPr>
          <w:rFonts w:hint="default" w:ascii="Times New Roman" w:hAnsi="Times New Roman" w:eastAsia="宋体" w:cs="Times New Roman"/>
          <w:color w:val="auto"/>
          <w:szCs w:val="24"/>
          <w:lang w:val="en-US" w:eastAsia="zh-CN"/>
        </w:rPr>
        <w:fldChar w:fldCharType="begin"/>
      </w:r>
      <w:r>
        <w:rPr>
          <w:rFonts w:hint="default" w:ascii="Times New Roman" w:hAnsi="Times New Roman" w:eastAsia="宋体" w:cs="Times New Roman"/>
          <w:color w:val="auto"/>
          <w:szCs w:val="24"/>
          <w:lang w:val="en-US" w:eastAsia="zh-CN"/>
        </w:rPr>
        <w:instrText xml:space="preserve"> HYPERLINK \l _Toc7052 </w:instrText>
      </w:r>
      <w:r>
        <w:rPr>
          <w:rFonts w:hint="default" w:ascii="Times New Roman" w:hAnsi="Times New Roman" w:eastAsia="宋体" w:cs="Times New Roman"/>
          <w:color w:val="auto"/>
          <w:szCs w:val="24"/>
          <w:lang w:val="en-US" w:eastAsia="zh-CN"/>
        </w:rPr>
        <w:fldChar w:fldCharType="separate"/>
      </w:r>
      <w:r>
        <w:rPr>
          <w:rFonts w:hint="eastAsia" w:ascii="Times New Roman" w:hAnsi="Times New Roman" w:eastAsia="宋体" w:cs="Times New Roman"/>
          <w:color w:val="auto"/>
          <w:szCs w:val="28"/>
          <w:lang w:val="en-US" w:eastAsia="zh-CN"/>
        </w:rPr>
        <w:t xml:space="preserve">3.4  </w:t>
      </w:r>
      <w:r>
        <w:rPr>
          <w:rFonts w:hint="default" w:ascii="Times New Roman" w:hAnsi="Times New Roman" w:eastAsia="宋体" w:cs="Times New Roman"/>
          <w:color w:val="auto"/>
          <w:szCs w:val="28"/>
          <w:lang w:val="en-US" w:eastAsia="zh-CN"/>
        </w:rPr>
        <w:t>鉴定程序及</w:t>
      </w:r>
      <w:r>
        <w:rPr>
          <w:rFonts w:hint="eastAsia" w:ascii="Times New Roman" w:hAnsi="Times New Roman" w:eastAsia="宋体" w:cs="Times New Roman"/>
          <w:color w:val="auto"/>
          <w:szCs w:val="28"/>
          <w:lang w:val="en-US" w:eastAsia="zh-CN"/>
        </w:rPr>
        <w:t>主要</w:t>
      </w:r>
      <w:r>
        <w:rPr>
          <w:rFonts w:hint="default" w:ascii="Times New Roman" w:hAnsi="Times New Roman" w:eastAsia="宋体" w:cs="Times New Roman"/>
          <w:color w:val="auto"/>
          <w:szCs w:val="28"/>
          <w:lang w:val="en-US" w:eastAsia="zh-CN"/>
        </w:rPr>
        <w:t>内容</w:t>
      </w:r>
      <w:r>
        <w:rPr>
          <w:color w:val="auto"/>
        </w:rPr>
        <w:tab/>
      </w:r>
      <w:r>
        <w:rPr>
          <w:color w:val="auto"/>
        </w:rPr>
        <w:fldChar w:fldCharType="begin"/>
      </w:r>
      <w:r>
        <w:rPr>
          <w:color w:val="auto"/>
        </w:rPr>
        <w:instrText xml:space="preserve"> PAGEREF _Toc7052 \h </w:instrText>
      </w:r>
      <w:r>
        <w:rPr>
          <w:color w:val="auto"/>
        </w:rPr>
        <w:fldChar w:fldCharType="separate"/>
      </w:r>
      <w:r>
        <w:rPr>
          <w:color w:val="auto"/>
        </w:rPr>
        <w:t>6</w:t>
      </w:r>
      <w:r>
        <w:rPr>
          <w:color w:val="auto"/>
        </w:rPr>
        <w:fldChar w:fldCharType="end"/>
      </w:r>
      <w:r>
        <w:rPr>
          <w:rFonts w:hint="default" w:ascii="Times New Roman" w:hAnsi="Times New Roman" w:eastAsia="宋体" w:cs="Times New Roman"/>
          <w:color w:val="auto"/>
          <w:szCs w:val="24"/>
          <w:lang w:val="en-US" w:eastAsia="zh-CN"/>
        </w:rPr>
        <w:fldChar w:fldCharType="end"/>
      </w:r>
    </w:p>
    <w:p w14:paraId="7A443E29">
      <w:pPr>
        <w:pStyle w:val="15"/>
        <w:tabs>
          <w:tab w:val="right" w:leader="dot" w:pos="8306"/>
        </w:tabs>
        <w:rPr>
          <w:color w:val="auto"/>
        </w:rPr>
      </w:pPr>
      <w:r>
        <w:rPr>
          <w:rFonts w:hint="default" w:ascii="Times New Roman" w:hAnsi="Times New Roman" w:eastAsia="宋体" w:cs="Times New Roman"/>
          <w:color w:val="auto"/>
          <w:szCs w:val="24"/>
          <w:lang w:val="en-US" w:eastAsia="zh-CN"/>
        </w:rPr>
        <w:fldChar w:fldCharType="begin"/>
      </w:r>
      <w:r>
        <w:rPr>
          <w:rFonts w:hint="default" w:ascii="Times New Roman" w:hAnsi="Times New Roman" w:eastAsia="宋体" w:cs="Times New Roman"/>
          <w:color w:val="auto"/>
          <w:szCs w:val="24"/>
          <w:lang w:val="en-US" w:eastAsia="zh-CN"/>
        </w:rPr>
        <w:instrText xml:space="preserve"> HYPERLINK \l _Toc31762 </w:instrText>
      </w:r>
      <w:r>
        <w:rPr>
          <w:rFonts w:hint="default" w:ascii="Times New Roman" w:hAnsi="Times New Roman" w:eastAsia="宋体" w:cs="Times New Roman"/>
          <w:color w:val="auto"/>
          <w:szCs w:val="24"/>
          <w:lang w:val="en-US" w:eastAsia="zh-CN"/>
        </w:rPr>
        <w:fldChar w:fldCharType="separate"/>
      </w:r>
      <w:r>
        <w:rPr>
          <w:rFonts w:hint="eastAsia" w:ascii="Times New Roman" w:hAnsi="Times New Roman" w:eastAsia="宋体" w:cs="Times New Roman"/>
          <w:color w:val="auto"/>
          <w:lang w:val="en-US" w:eastAsia="zh-CN"/>
        </w:rPr>
        <w:t>4</w:t>
      </w:r>
      <w:r>
        <w:rPr>
          <w:rFonts w:hint="default" w:ascii="Times New Roman" w:hAnsi="Times New Roman" w:eastAsia="宋体" w:cs="Times New Roman"/>
          <w:color w:val="auto"/>
          <w:lang w:val="en-US" w:eastAsia="zh-CN"/>
        </w:rPr>
        <w:t xml:space="preserve"> </w:t>
      </w:r>
      <w:r>
        <w:rPr>
          <w:rFonts w:hint="eastAsia"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lang w:val="en-US" w:eastAsia="zh-CN"/>
        </w:rPr>
        <w:t>调查与检测</w:t>
      </w:r>
      <w:r>
        <w:rPr>
          <w:color w:val="auto"/>
        </w:rPr>
        <w:tab/>
      </w:r>
      <w:r>
        <w:rPr>
          <w:color w:val="auto"/>
        </w:rPr>
        <w:fldChar w:fldCharType="begin"/>
      </w:r>
      <w:r>
        <w:rPr>
          <w:color w:val="auto"/>
        </w:rPr>
        <w:instrText xml:space="preserve"> PAGEREF _Toc31762 \h </w:instrText>
      </w:r>
      <w:r>
        <w:rPr>
          <w:color w:val="auto"/>
        </w:rPr>
        <w:fldChar w:fldCharType="separate"/>
      </w:r>
      <w:r>
        <w:rPr>
          <w:color w:val="auto"/>
        </w:rPr>
        <w:t>8</w:t>
      </w:r>
      <w:r>
        <w:rPr>
          <w:color w:val="auto"/>
        </w:rPr>
        <w:fldChar w:fldCharType="end"/>
      </w:r>
      <w:r>
        <w:rPr>
          <w:rFonts w:hint="default" w:ascii="Times New Roman" w:hAnsi="Times New Roman" w:eastAsia="宋体" w:cs="Times New Roman"/>
          <w:color w:val="auto"/>
          <w:szCs w:val="24"/>
          <w:lang w:val="en-US" w:eastAsia="zh-CN"/>
        </w:rPr>
        <w:fldChar w:fldCharType="end"/>
      </w:r>
    </w:p>
    <w:p w14:paraId="15A2D4AA">
      <w:pPr>
        <w:pStyle w:val="16"/>
        <w:tabs>
          <w:tab w:val="right" w:leader="dot" w:pos="8306"/>
        </w:tabs>
        <w:rPr>
          <w:color w:val="auto"/>
        </w:rPr>
      </w:pPr>
      <w:r>
        <w:rPr>
          <w:rFonts w:hint="default" w:ascii="Times New Roman" w:hAnsi="Times New Roman" w:eastAsia="宋体" w:cs="Times New Roman"/>
          <w:color w:val="auto"/>
          <w:szCs w:val="24"/>
          <w:lang w:val="en-US" w:eastAsia="zh-CN"/>
        </w:rPr>
        <w:fldChar w:fldCharType="begin"/>
      </w:r>
      <w:r>
        <w:rPr>
          <w:rFonts w:hint="default" w:ascii="Times New Roman" w:hAnsi="Times New Roman" w:eastAsia="宋体" w:cs="Times New Roman"/>
          <w:color w:val="auto"/>
          <w:szCs w:val="24"/>
          <w:lang w:val="en-US" w:eastAsia="zh-CN"/>
        </w:rPr>
        <w:instrText xml:space="preserve"> HYPERLINK \l _Toc3038 </w:instrText>
      </w:r>
      <w:r>
        <w:rPr>
          <w:rFonts w:hint="default" w:ascii="Times New Roman" w:hAnsi="Times New Roman" w:eastAsia="宋体" w:cs="Times New Roman"/>
          <w:color w:val="auto"/>
          <w:szCs w:val="24"/>
          <w:lang w:val="en-US" w:eastAsia="zh-CN"/>
        </w:rPr>
        <w:fldChar w:fldCharType="separate"/>
      </w:r>
      <w:r>
        <w:rPr>
          <w:rFonts w:hint="eastAsia" w:ascii="Times New Roman" w:hAnsi="Times New Roman" w:eastAsia="宋体" w:cs="Times New Roman"/>
          <w:color w:val="auto"/>
          <w:szCs w:val="28"/>
          <w:highlight w:val="none"/>
          <w:lang w:val="en-US" w:eastAsia="zh-CN"/>
        </w:rPr>
        <w:t>4.1  一般规定</w:t>
      </w:r>
      <w:r>
        <w:rPr>
          <w:color w:val="auto"/>
        </w:rPr>
        <w:tab/>
      </w:r>
      <w:r>
        <w:rPr>
          <w:color w:val="auto"/>
        </w:rPr>
        <w:fldChar w:fldCharType="begin"/>
      </w:r>
      <w:r>
        <w:rPr>
          <w:color w:val="auto"/>
        </w:rPr>
        <w:instrText xml:space="preserve"> PAGEREF _Toc3038 \h </w:instrText>
      </w:r>
      <w:r>
        <w:rPr>
          <w:color w:val="auto"/>
        </w:rPr>
        <w:fldChar w:fldCharType="separate"/>
      </w:r>
      <w:r>
        <w:rPr>
          <w:color w:val="auto"/>
        </w:rPr>
        <w:t>8</w:t>
      </w:r>
      <w:r>
        <w:rPr>
          <w:color w:val="auto"/>
        </w:rPr>
        <w:fldChar w:fldCharType="end"/>
      </w:r>
      <w:r>
        <w:rPr>
          <w:rFonts w:hint="default" w:ascii="Times New Roman" w:hAnsi="Times New Roman" w:eastAsia="宋体" w:cs="Times New Roman"/>
          <w:color w:val="auto"/>
          <w:szCs w:val="24"/>
          <w:lang w:val="en-US" w:eastAsia="zh-CN"/>
        </w:rPr>
        <w:fldChar w:fldCharType="end"/>
      </w:r>
    </w:p>
    <w:p w14:paraId="00A386CC">
      <w:pPr>
        <w:pStyle w:val="16"/>
        <w:tabs>
          <w:tab w:val="right" w:leader="dot" w:pos="8306"/>
        </w:tabs>
        <w:rPr>
          <w:color w:val="auto"/>
        </w:rPr>
      </w:pPr>
      <w:r>
        <w:rPr>
          <w:rFonts w:hint="default" w:ascii="Times New Roman" w:hAnsi="Times New Roman" w:eastAsia="宋体" w:cs="Times New Roman"/>
          <w:color w:val="auto"/>
          <w:szCs w:val="24"/>
          <w:lang w:val="en-US" w:eastAsia="zh-CN"/>
        </w:rPr>
        <w:fldChar w:fldCharType="begin"/>
      </w:r>
      <w:r>
        <w:rPr>
          <w:rFonts w:hint="default" w:ascii="Times New Roman" w:hAnsi="Times New Roman" w:eastAsia="宋体" w:cs="Times New Roman"/>
          <w:color w:val="auto"/>
          <w:szCs w:val="24"/>
          <w:lang w:val="en-US" w:eastAsia="zh-CN"/>
        </w:rPr>
        <w:instrText xml:space="preserve"> HYPERLINK \l _Toc15822 </w:instrText>
      </w:r>
      <w:r>
        <w:rPr>
          <w:rFonts w:hint="default" w:ascii="Times New Roman" w:hAnsi="Times New Roman" w:eastAsia="宋体" w:cs="Times New Roman"/>
          <w:color w:val="auto"/>
          <w:szCs w:val="24"/>
          <w:lang w:val="en-US" w:eastAsia="zh-CN"/>
        </w:rPr>
        <w:fldChar w:fldCharType="separate"/>
      </w:r>
      <w:r>
        <w:rPr>
          <w:rFonts w:hint="eastAsia" w:ascii="Times New Roman" w:hAnsi="Times New Roman" w:eastAsia="宋体" w:cs="Times New Roman"/>
          <w:color w:val="auto"/>
          <w:szCs w:val="28"/>
          <w:lang w:val="en-US" w:eastAsia="zh-CN"/>
        </w:rPr>
        <w:t>4</w:t>
      </w:r>
      <w:r>
        <w:rPr>
          <w:rFonts w:hint="default" w:ascii="Times New Roman" w:hAnsi="Times New Roman" w:eastAsia="宋体" w:cs="Times New Roman"/>
          <w:color w:val="auto"/>
          <w:szCs w:val="28"/>
          <w:lang w:val="en-US" w:eastAsia="zh-CN"/>
        </w:rPr>
        <w:t>.</w:t>
      </w:r>
      <w:r>
        <w:rPr>
          <w:rFonts w:hint="eastAsia" w:ascii="Times New Roman" w:hAnsi="Times New Roman" w:eastAsia="宋体" w:cs="Times New Roman"/>
          <w:color w:val="auto"/>
          <w:szCs w:val="28"/>
          <w:lang w:val="en-US" w:eastAsia="zh-CN"/>
        </w:rPr>
        <w:t>2</w:t>
      </w:r>
      <w:r>
        <w:rPr>
          <w:rFonts w:hint="default" w:ascii="Times New Roman" w:hAnsi="Times New Roman" w:eastAsia="宋体" w:cs="Times New Roman"/>
          <w:color w:val="auto"/>
          <w:szCs w:val="28"/>
          <w:lang w:val="en-US" w:eastAsia="zh-CN"/>
        </w:rPr>
        <w:t xml:space="preserve"> </w:t>
      </w:r>
      <w:r>
        <w:rPr>
          <w:rFonts w:hint="eastAsia" w:ascii="Times New Roman" w:hAnsi="Times New Roman" w:eastAsia="宋体" w:cs="Times New Roman"/>
          <w:color w:val="auto"/>
          <w:szCs w:val="28"/>
          <w:lang w:val="en-US" w:eastAsia="zh-CN"/>
        </w:rPr>
        <w:t xml:space="preserve"> 现场委托</w:t>
      </w:r>
      <w:r>
        <w:rPr>
          <w:color w:val="auto"/>
        </w:rPr>
        <w:tab/>
      </w:r>
      <w:r>
        <w:rPr>
          <w:color w:val="auto"/>
        </w:rPr>
        <w:fldChar w:fldCharType="begin"/>
      </w:r>
      <w:r>
        <w:rPr>
          <w:color w:val="auto"/>
        </w:rPr>
        <w:instrText xml:space="preserve"> PAGEREF _Toc15822 \h </w:instrText>
      </w:r>
      <w:r>
        <w:rPr>
          <w:color w:val="auto"/>
        </w:rPr>
        <w:fldChar w:fldCharType="separate"/>
      </w:r>
      <w:r>
        <w:rPr>
          <w:color w:val="auto"/>
        </w:rPr>
        <w:t>9</w:t>
      </w:r>
      <w:r>
        <w:rPr>
          <w:color w:val="auto"/>
        </w:rPr>
        <w:fldChar w:fldCharType="end"/>
      </w:r>
      <w:r>
        <w:rPr>
          <w:rFonts w:hint="default" w:ascii="Times New Roman" w:hAnsi="Times New Roman" w:eastAsia="宋体" w:cs="Times New Roman"/>
          <w:color w:val="auto"/>
          <w:szCs w:val="24"/>
          <w:lang w:val="en-US" w:eastAsia="zh-CN"/>
        </w:rPr>
        <w:fldChar w:fldCharType="end"/>
      </w:r>
    </w:p>
    <w:p w14:paraId="66D7E615">
      <w:pPr>
        <w:pStyle w:val="16"/>
        <w:tabs>
          <w:tab w:val="right" w:leader="dot" w:pos="8306"/>
        </w:tabs>
        <w:rPr>
          <w:color w:val="auto"/>
        </w:rPr>
      </w:pPr>
      <w:r>
        <w:rPr>
          <w:rFonts w:hint="default" w:ascii="Times New Roman" w:hAnsi="Times New Roman" w:eastAsia="宋体" w:cs="Times New Roman"/>
          <w:color w:val="auto"/>
          <w:szCs w:val="24"/>
          <w:lang w:val="en-US" w:eastAsia="zh-CN"/>
        </w:rPr>
        <w:fldChar w:fldCharType="begin"/>
      </w:r>
      <w:r>
        <w:rPr>
          <w:rFonts w:hint="default" w:ascii="Times New Roman" w:hAnsi="Times New Roman" w:eastAsia="宋体" w:cs="Times New Roman"/>
          <w:color w:val="auto"/>
          <w:szCs w:val="24"/>
          <w:lang w:val="en-US" w:eastAsia="zh-CN"/>
        </w:rPr>
        <w:instrText xml:space="preserve"> HYPERLINK \l _Toc25522 </w:instrText>
      </w:r>
      <w:r>
        <w:rPr>
          <w:rFonts w:hint="default" w:ascii="Times New Roman" w:hAnsi="Times New Roman" w:eastAsia="宋体" w:cs="Times New Roman"/>
          <w:color w:val="auto"/>
          <w:szCs w:val="24"/>
          <w:lang w:val="en-US" w:eastAsia="zh-CN"/>
        </w:rPr>
        <w:fldChar w:fldCharType="separate"/>
      </w:r>
      <w:r>
        <w:rPr>
          <w:rFonts w:hint="eastAsia" w:ascii="Times New Roman" w:hAnsi="Times New Roman" w:eastAsia="宋体" w:cs="Times New Roman"/>
          <w:color w:val="auto"/>
          <w:szCs w:val="28"/>
          <w:lang w:val="en-US" w:eastAsia="zh-CN"/>
        </w:rPr>
        <w:t>4</w:t>
      </w:r>
      <w:r>
        <w:rPr>
          <w:rFonts w:hint="default" w:ascii="Times New Roman" w:hAnsi="Times New Roman" w:eastAsia="宋体" w:cs="Times New Roman"/>
          <w:color w:val="auto"/>
          <w:szCs w:val="28"/>
          <w:lang w:val="en-US" w:eastAsia="zh-CN"/>
        </w:rPr>
        <w:t>.</w:t>
      </w:r>
      <w:r>
        <w:rPr>
          <w:rFonts w:hint="eastAsia" w:ascii="Times New Roman" w:hAnsi="Times New Roman" w:eastAsia="宋体" w:cs="Times New Roman"/>
          <w:color w:val="auto"/>
          <w:szCs w:val="28"/>
          <w:lang w:val="en-US" w:eastAsia="zh-CN"/>
        </w:rPr>
        <w:t>3</w:t>
      </w:r>
      <w:r>
        <w:rPr>
          <w:rFonts w:hint="default" w:ascii="Times New Roman" w:hAnsi="Times New Roman" w:eastAsia="宋体" w:cs="Times New Roman"/>
          <w:color w:val="auto"/>
          <w:szCs w:val="28"/>
          <w:lang w:val="en-US" w:eastAsia="zh-CN"/>
        </w:rPr>
        <w:t xml:space="preserve"> </w:t>
      </w:r>
      <w:r>
        <w:rPr>
          <w:rFonts w:hint="eastAsia" w:ascii="Times New Roman" w:hAnsi="Times New Roman" w:eastAsia="宋体" w:cs="Times New Roman"/>
          <w:color w:val="auto"/>
          <w:szCs w:val="28"/>
          <w:lang w:val="en-US" w:eastAsia="zh-CN"/>
        </w:rPr>
        <w:t xml:space="preserve"> </w:t>
      </w:r>
      <w:r>
        <w:rPr>
          <w:rFonts w:hint="default" w:ascii="Times New Roman" w:hAnsi="Times New Roman" w:eastAsia="宋体" w:cs="Times New Roman"/>
          <w:color w:val="auto"/>
          <w:szCs w:val="28"/>
          <w:lang w:val="en-US" w:eastAsia="zh-CN"/>
        </w:rPr>
        <w:t>初步调查</w:t>
      </w:r>
      <w:r>
        <w:rPr>
          <w:color w:val="auto"/>
        </w:rPr>
        <w:tab/>
      </w:r>
      <w:r>
        <w:rPr>
          <w:color w:val="auto"/>
        </w:rPr>
        <w:fldChar w:fldCharType="begin"/>
      </w:r>
      <w:r>
        <w:rPr>
          <w:color w:val="auto"/>
        </w:rPr>
        <w:instrText xml:space="preserve"> PAGEREF _Toc25522 \h </w:instrText>
      </w:r>
      <w:r>
        <w:rPr>
          <w:color w:val="auto"/>
        </w:rPr>
        <w:fldChar w:fldCharType="separate"/>
      </w:r>
      <w:r>
        <w:rPr>
          <w:color w:val="auto"/>
        </w:rPr>
        <w:t>10</w:t>
      </w:r>
      <w:r>
        <w:rPr>
          <w:color w:val="auto"/>
        </w:rPr>
        <w:fldChar w:fldCharType="end"/>
      </w:r>
      <w:r>
        <w:rPr>
          <w:rFonts w:hint="default" w:ascii="Times New Roman" w:hAnsi="Times New Roman" w:eastAsia="宋体" w:cs="Times New Roman"/>
          <w:color w:val="auto"/>
          <w:szCs w:val="24"/>
          <w:lang w:val="en-US" w:eastAsia="zh-CN"/>
        </w:rPr>
        <w:fldChar w:fldCharType="end"/>
      </w:r>
    </w:p>
    <w:p w14:paraId="1DA1CF62">
      <w:pPr>
        <w:pStyle w:val="16"/>
        <w:tabs>
          <w:tab w:val="right" w:leader="dot" w:pos="8306"/>
        </w:tabs>
        <w:rPr>
          <w:color w:val="auto"/>
        </w:rPr>
      </w:pPr>
      <w:r>
        <w:rPr>
          <w:rFonts w:hint="default" w:ascii="Times New Roman" w:hAnsi="Times New Roman" w:eastAsia="宋体" w:cs="Times New Roman"/>
          <w:color w:val="auto"/>
          <w:szCs w:val="24"/>
          <w:lang w:val="en-US" w:eastAsia="zh-CN"/>
        </w:rPr>
        <w:fldChar w:fldCharType="begin"/>
      </w:r>
      <w:r>
        <w:rPr>
          <w:rFonts w:hint="default" w:ascii="Times New Roman" w:hAnsi="Times New Roman" w:eastAsia="宋体" w:cs="Times New Roman"/>
          <w:color w:val="auto"/>
          <w:szCs w:val="24"/>
          <w:lang w:val="en-US" w:eastAsia="zh-CN"/>
        </w:rPr>
        <w:instrText xml:space="preserve"> HYPERLINK \l _Toc24541 </w:instrText>
      </w:r>
      <w:r>
        <w:rPr>
          <w:rFonts w:hint="default" w:ascii="Times New Roman" w:hAnsi="Times New Roman" w:eastAsia="宋体" w:cs="Times New Roman"/>
          <w:color w:val="auto"/>
          <w:szCs w:val="24"/>
          <w:lang w:val="en-US" w:eastAsia="zh-CN"/>
        </w:rPr>
        <w:fldChar w:fldCharType="separate"/>
      </w:r>
      <w:r>
        <w:rPr>
          <w:rFonts w:hint="eastAsia" w:ascii="Times New Roman" w:hAnsi="Times New Roman" w:eastAsia="宋体" w:cs="Times New Roman"/>
          <w:color w:val="auto"/>
          <w:szCs w:val="28"/>
          <w:lang w:val="en-US" w:eastAsia="zh-CN"/>
        </w:rPr>
        <w:t>4.4  荷载调查</w:t>
      </w:r>
      <w:r>
        <w:rPr>
          <w:color w:val="auto"/>
        </w:rPr>
        <w:tab/>
      </w:r>
      <w:r>
        <w:rPr>
          <w:color w:val="auto"/>
        </w:rPr>
        <w:fldChar w:fldCharType="begin"/>
      </w:r>
      <w:r>
        <w:rPr>
          <w:color w:val="auto"/>
        </w:rPr>
        <w:instrText xml:space="preserve"> PAGEREF _Toc24541 \h </w:instrText>
      </w:r>
      <w:r>
        <w:rPr>
          <w:color w:val="auto"/>
        </w:rPr>
        <w:fldChar w:fldCharType="separate"/>
      </w:r>
      <w:r>
        <w:rPr>
          <w:color w:val="auto"/>
        </w:rPr>
        <w:t>10</w:t>
      </w:r>
      <w:r>
        <w:rPr>
          <w:color w:val="auto"/>
        </w:rPr>
        <w:fldChar w:fldCharType="end"/>
      </w:r>
      <w:r>
        <w:rPr>
          <w:rFonts w:hint="default" w:ascii="Times New Roman" w:hAnsi="Times New Roman" w:eastAsia="宋体" w:cs="Times New Roman"/>
          <w:color w:val="auto"/>
          <w:szCs w:val="24"/>
          <w:lang w:val="en-US" w:eastAsia="zh-CN"/>
        </w:rPr>
        <w:fldChar w:fldCharType="end"/>
      </w:r>
    </w:p>
    <w:p w14:paraId="6BFD6E9D">
      <w:pPr>
        <w:pStyle w:val="16"/>
        <w:tabs>
          <w:tab w:val="right" w:leader="dot" w:pos="8306"/>
        </w:tabs>
        <w:rPr>
          <w:color w:val="auto"/>
        </w:rPr>
      </w:pPr>
      <w:r>
        <w:rPr>
          <w:rFonts w:hint="default" w:ascii="Times New Roman" w:hAnsi="Times New Roman" w:eastAsia="宋体" w:cs="Times New Roman"/>
          <w:color w:val="auto"/>
          <w:szCs w:val="24"/>
          <w:lang w:val="en-US" w:eastAsia="zh-CN"/>
        </w:rPr>
        <w:fldChar w:fldCharType="begin"/>
      </w:r>
      <w:r>
        <w:rPr>
          <w:rFonts w:hint="default" w:ascii="Times New Roman" w:hAnsi="Times New Roman" w:eastAsia="宋体" w:cs="Times New Roman"/>
          <w:color w:val="auto"/>
          <w:szCs w:val="24"/>
          <w:lang w:val="en-US" w:eastAsia="zh-CN"/>
        </w:rPr>
        <w:instrText xml:space="preserve"> HYPERLINK \l _Toc32523 </w:instrText>
      </w:r>
      <w:r>
        <w:rPr>
          <w:rFonts w:hint="default" w:ascii="Times New Roman" w:hAnsi="Times New Roman" w:eastAsia="宋体" w:cs="Times New Roman"/>
          <w:color w:val="auto"/>
          <w:szCs w:val="24"/>
          <w:lang w:val="en-US" w:eastAsia="zh-CN"/>
        </w:rPr>
        <w:fldChar w:fldCharType="separate"/>
      </w:r>
      <w:r>
        <w:rPr>
          <w:rFonts w:hint="eastAsia" w:ascii="Times New Roman" w:hAnsi="Times New Roman" w:eastAsia="宋体" w:cs="Times New Roman"/>
          <w:color w:val="auto"/>
          <w:szCs w:val="28"/>
          <w:lang w:val="en-US" w:eastAsia="zh-CN"/>
        </w:rPr>
        <w:t>4.5  使用环境、历史的调查</w:t>
      </w:r>
      <w:r>
        <w:rPr>
          <w:color w:val="auto"/>
        </w:rPr>
        <w:tab/>
      </w:r>
      <w:r>
        <w:rPr>
          <w:color w:val="auto"/>
        </w:rPr>
        <w:fldChar w:fldCharType="begin"/>
      </w:r>
      <w:r>
        <w:rPr>
          <w:color w:val="auto"/>
        </w:rPr>
        <w:instrText xml:space="preserve"> PAGEREF _Toc32523 \h </w:instrText>
      </w:r>
      <w:r>
        <w:rPr>
          <w:color w:val="auto"/>
        </w:rPr>
        <w:fldChar w:fldCharType="separate"/>
      </w:r>
      <w:r>
        <w:rPr>
          <w:color w:val="auto"/>
        </w:rPr>
        <w:t>11</w:t>
      </w:r>
      <w:r>
        <w:rPr>
          <w:color w:val="auto"/>
        </w:rPr>
        <w:fldChar w:fldCharType="end"/>
      </w:r>
      <w:r>
        <w:rPr>
          <w:rFonts w:hint="default" w:ascii="Times New Roman" w:hAnsi="Times New Roman" w:eastAsia="宋体" w:cs="Times New Roman"/>
          <w:color w:val="auto"/>
          <w:szCs w:val="24"/>
          <w:lang w:val="en-US" w:eastAsia="zh-CN"/>
        </w:rPr>
        <w:fldChar w:fldCharType="end"/>
      </w:r>
    </w:p>
    <w:p w14:paraId="37C84007">
      <w:pPr>
        <w:pStyle w:val="16"/>
        <w:tabs>
          <w:tab w:val="right" w:leader="dot" w:pos="8306"/>
        </w:tabs>
        <w:rPr>
          <w:color w:val="auto"/>
        </w:rPr>
      </w:pPr>
      <w:r>
        <w:rPr>
          <w:rFonts w:hint="default" w:ascii="Times New Roman" w:hAnsi="Times New Roman" w:eastAsia="宋体" w:cs="Times New Roman"/>
          <w:color w:val="auto"/>
          <w:szCs w:val="24"/>
          <w:lang w:val="en-US" w:eastAsia="zh-CN"/>
        </w:rPr>
        <w:fldChar w:fldCharType="begin"/>
      </w:r>
      <w:r>
        <w:rPr>
          <w:rFonts w:hint="default" w:ascii="Times New Roman" w:hAnsi="Times New Roman" w:eastAsia="宋体" w:cs="Times New Roman"/>
          <w:color w:val="auto"/>
          <w:szCs w:val="24"/>
          <w:lang w:val="en-US" w:eastAsia="zh-CN"/>
        </w:rPr>
        <w:instrText xml:space="preserve"> HYPERLINK \l _Toc3810 </w:instrText>
      </w:r>
      <w:r>
        <w:rPr>
          <w:rFonts w:hint="default" w:ascii="Times New Roman" w:hAnsi="Times New Roman" w:eastAsia="宋体" w:cs="Times New Roman"/>
          <w:color w:val="auto"/>
          <w:szCs w:val="24"/>
          <w:lang w:val="en-US" w:eastAsia="zh-CN"/>
        </w:rPr>
        <w:fldChar w:fldCharType="separate"/>
      </w:r>
      <w:r>
        <w:rPr>
          <w:rFonts w:hint="eastAsia" w:ascii="Times New Roman" w:hAnsi="Times New Roman" w:eastAsia="宋体" w:cs="Times New Roman"/>
          <w:color w:val="auto"/>
          <w:szCs w:val="28"/>
          <w:lang w:val="en-US" w:eastAsia="zh-CN"/>
        </w:rPr>
        <w:t>4.6  检测</w:t>
      </w:r>
      <w:r>
        <w:rPr>
          <w:color w:val="auto"/>
        </w:rPr>
        <w:tab/>
      </w:r>
      <w:r>
        <w:rPr>
          <w:color w:val="auto"/>
        </w:rPr>
        <w:fldChar w:fldCharType="begin"/>
      </w:r>
      <w:r>
        <w:rPr>
          <w:color w:val="auto"/>
        </w:rPr>
        <w:instrText xml:space="preserve"> PAGEREF _Toc3810 \h </w:instrText>
      </w:r>
      <w:r>
        <w:rPr>
          <w:color w:val="auto"/>
        </w:rPr>
        <w:fldChar w:fldCharType="separate"/>
      </w:r>
      <w:r>
        <w:rPr>
          <w:color w:val="auto"/>
        </w:rPr>
        <w:t>11</w:t>
      </w:r>
      <w:r>
        <w:rPr>
          <w:color w:val="auto"/>
        </w:rPr>
        <w:fldChar w:fldCharType="end"/>
      </w:r>
      <w:r>
        <w:rPr>
          <w:rFonts w:hint="default" w:ascii="Times New Roman" w:hAnsi="Times New Roman" w:eastAsia="宋体" w:cs="Times New Roman"/>
          <w:color w:val="auto"/>
          <w:szCs w:val="24"/>
          <w:lang w:val="en-US" w:eastAsia="zh-CN"/>
        </w:rPr>
        <w:fldChar w:fldCharType="end"/>
      </w:r>
    </w:p>
    <w:p w14:paraId="1D77300C">
      <w:pPr>
        <w:pStyle w:val="15"/>
        <w:tabs>
          <w:tab w:val="right" w:leader="dot" w:pos="8306"/>
        </w:tabs>
        <w:rPr>
          <w:color w:val="auto"/>
        </w:rPr>
      </w:pPr>
      <w:r>
        <w:rPr>
          <w:rFonts w:hint="default" w:ascii="Times New Roman" w:hAnsi="Times New Roman" w:eastAsia="宋体" w:cs="Times New Roman"/>
          <w:color w:val="auto"/>
          <w:szCs w:val="24"/>
          <w:lang w:val="en-US" w:eastAsia="zh-CN"/>
        </w:rPr>
        <w:fldChar w:fldCharType="begin"/>
      </w:r>
      <w:r>
        <w:rPr>
          <w:rFonts w:hint="default" w:ascii="Times New Roman" w:hAnsi="Times New Roman" w:eastAsia="宋体" w:cs="Times New Roman"/>
          <w:color w:val="auto"/>
          <w:szCs w:val="24"/>
          <w:lang w:val="en-US" w:eastAsia="zh-CN"/>
        </w:rPr>
        <w:instrText xml:space="preserve"> HYPERLINK \l _Toc24039 </w:instrText>
      </w:r>
      <w:r>
        <w:rPr>
          <w:rFonts w:hint="default" w:ascii="Times New Roman" w:hAnsi="Times New Roman" w:eastAsia="宋体" w:cs="Times New Roman"/>
          <w:color w:val="auto"/>
          <w:szCs w:val="24"/>
          <w:lang w:val="en-US" w:eastAsia="zh-CN"/>
        </w:rPr>
        <w:fldChar w:fldCharType="separate"/>
      </w:r>
      <w:r>
        <w:rPr>
          <w:rFonts w:hint="eastAsia" w:ascii="Times New Roman" w:hAnsi="Times New Roman" w:eastAsia="宋体" w:cs="Times New Roman"/>
          <w:color w:val="auto"/>
        </w:rPr>
        <w:t>5</w:t>
      </w:r>
      <w:r>
        <w:rPr>
          <w:rFonts w:ascii="Times New Roman" w:hAnsi="Times New Roman" w:eastAsia="宋体" w:cs="Times New Roman"/>
          <w:color w:val="auto"/>
        </w:rPr>
        <w:t xml:space="preserve"> </w:t>
      </w:r>
      <w:r>
        <w:rPr>
          <w:rFonts w:hint="eastAsia" w:ascii="Times New Roman" w:hAnsi="Times New Roman" w:eastAsia="宋体" w:cs="Times New Roman"/>
          <w:color w:val="auto"/>
        </w:rPr>
        <w:t xml:space="preserve"> 结构验算分析</w:t>
      </w:r>
      <w:r>
        <w:rPr>
          <w:color w:val="auto"/>
        </w:rPr>
        <w:tab/>
      </w:r>
      <w:r>
        <w:rPr>
          <w:color w:val="auto"/>
        </w:rPr>
        <w:fldChar w:fldCharType="begin"/>
      </w:r>
      <w:r>
        <w:rPr>
          <w:color w:val="auto"/>
        </w:rPr>
        <w:instrText xml:space="preserve"> PAGEREF _Toc24039 \h </w:instrText>
      </w:r>
      <w:r>
        <w:rPr>
          <w:color w:val="auto"/>
        </w:rPr>
        <w:fldChar w:fldCharType="separate"/>
      </w:r>
      <w:r>
        <w:rPr>
          <w:color w:val="auto"/>
        </w:rPr>
        <w:t>17</w:t>
      </w:r>
      <w:r>
        <w:rPr>
          <w:color w:val="auto"/>
        </w:rPr>
        <w:fldChar w:fldCharType="end"/>
      </w:r>
      <w:r>
        <w:rPr>
          <w:rFonts w:hint="default" w:ascii="Times New Roman" w:hAnsi="Times New Roman" w:eastAsia="宋体" w:cs="Times New Roman"/>
          <w:color w:val="auto"/>
          <w:szCs w:val="24"/>
          <w:lang w:val="en-US" w:eastAsia="zh-CN"/>
        </w:rPr>
        <w:fldChar w:fldCharType="end"/>
      </w:r>
    </w:p>
    <w:p w14:paraId="0F015402">
      <w:pPr>
        <w:pStyle w:val="16"/>
        <w:tabs>
          <w:tab w:val="right" w:leader="dot" w:pos="8306"/>
        </w:tabs>
        <w:rPr>
          <w:color w:val="auto"/>
        </w:rPr>
      </w:pPr>
      <w:r>
        <w:rPr>
          <w:rFonts w:hint="default" w:ascii="Times New Roman" w:hAnsi="Times New Roman" w:eastAsia="宋体" w:cs="Times New Roman"/>
          <w:color w:val="auto"/>
          <w:szCs w:val="24"/>
          <w:lang w:val="en-US" w:eastAsia="zh-CN"/>
        </w:rPr>
        <w:fldChar w:fldCharType="begin"/>
      </w:r>
      <w:r>
        <w:rPr>
          <w:rFonts w:hint="default" w:ascii="Times New Roman" w:hAnsi="Times New Roman" w:eastAsia="宋体" w:cs="Times New Roman"/>
          <w:color w:val="auto"/>
          <w:szCs w:val="24"/>
          <w:lang w:val="en-US" w:eastAsia="zh-CN"/>
        </w:rPr>
        <w:instrText xml:space="preserve"> HYPERLINK \l _Toc24875 </w:instrText>
      </w:r>
      <w:r>
        <w:rPr>
          <w:rFonts w:hint="default" w:ascii="Times New Roman" w:hAnsi="Times New Roman" w:eastAsia="宋体" w:cs="Times New Roman"/>
          <w:color w:val="auto"/>
          <w:szCs w:val="24"/>
          <w:lang w:val="en-US" w:eastAsia="zh-CN"/>
        </w:rPr>
        <w:fldChar w:fldCharType="separate"/>
      </w:r>
      <w:r>
        <w:rPr>
          <w:rFonts w:hint="eastAsia" w:ascii="Times New Roman" w:hAnsi="Times New Roman" w:eastAsia="宋体" w:cs="Times New Roman"/>
          <w:color w:val="auto"/>
          <w:szCs w:val="28"/>
        </w:rPr>
        <w:t>5.1  一般规定</w:t>
      </w:r>
      <w:r>
        <w:rPr>
          <w:color w:val="auto"/>
        </w:rPr>
        <w:tab/>
      </w:r>
      <w:r>
        <w:rPr>
          <w:color w:val="auto"/>
        </w:rPr>
        <w:fldChar w:fldCharType="begin"/>
      </w:r>
      <w:r>
        <w:rPr>
          <w:color w:val="auto"/>
        </w:rPr>
        <w:instrText xml:space="preserve"> PAGEREF _Toc24875 \h </w:instrText>
      </w:r>
      <w:r>
        <w:rPr>
          <w:color w:val="auto"/>
        </w:rPr>
        <w:fldChar w:fldCharType="separate"/>
      </w:r>
      <w:r>
        <w:rPr>
          <w:color w:val="auto"/>
        </w:rPr>
        <w:t>17</w:t>
      </w:r>
      <w:r>
        <w:rPr>
          <w:color w:val="auto"/>
        </w:rPr>
        <w:fldChar w:fldCharType="end"/>
      </w:r>
      <w:r>
        <w:rPr>
          <w:rFonts w:hint="default" w:ascii="Times New Roman" w:hAnsi="Times New Roman" w:eastAsia="宋体" w:cs="Times New Roman"/>
          <w:color w:val="auto"/>
          <w:szCs w:val="24"/>
          <w:lang w:val="en-US" w:eastAsia="zh-CN"/>
        </w:rPr>
        <w:fldChar w:fldCharType="end"/>
      </w:r>
    </w:p>
    <w:p w14:paraId="30DB9FAE">
      <w:pPr>
        <w:pStyle w:val="16"/>
        <w:tabs>
          <w:tab w:val="right" w:leader="dot" w:pos="8306"/>
        </w:tabs>
        <w:rPr>
          <w:color w:val="auto"/>
        </w:rPr>
      </w:pPr>
      <w:r>
        <w:rPr>
          <w:rFonts w:hint="default" w:ascii="Times New Roman" w:hAnsi="Times New Roman" w:eastAsia="宋体" w:cs="Times New Roman"/>
          <w:color w:val="auto"/>
          <w:szCs w:val="24"/>
          <w:lang w:val="en-US" w:eastAsia="zh-CN"/>
        </w:rPr>
        <w:fldChar w:fldCharType="begin"/>
      </w:r>
      <w:r>
        <w:rPr>
          <w:rFonts w:hint="default" w:ascii="Times New Roman" w:hAnsi="Times New Roman" w:eastAsia="宋体" w:cs="Times New Roman"/>
          <w:color w:val="auto"/>
          <w:szCs w:val="24"/>
          <w:lang w:val="en-US" w:eastAsia="zh-CN"/>
        </w:rPr>
        <w:instrText xml:space="preserve"> HYPERLINK \l _Toc667 </w:instrText>
      </w:r>
      <w:r>
        <w:rPr>
          <w:rFonts w:hint="default" w:ascii="Times New Roman" w:hAnsi="Times New Roman" w:eastAsia="宋体" w:cs="Times New Roman"/>
          <w:color w:val="auto"/>
          <w:szCs w:val="24"/>
          <w:lang w:val="en-US" w:eastAsia="zh-CN"/>
        </w:rPr>
        <w:fldChar w:fldCharType="separate"/>
      </w:r>
      <w:r>
        <w:rPr>
          <w:rFonts w:hint="eastAsia" w:ascii="Times New Roman" w:hAnsi="Times New Roman" w:eastAsia="宋体" w:cs="Times New Roman"/>
          <w:color w:val="auto"/>
          <w:szCs w:val="28"/>
        </w:rPr>
        <w:t>5.2  结构验算分析</w:t>
      </w:r>
      <w:r>
        <w:rPr>
          <w:color w:val="auto"/>
        </w:rPr>
        <w:tab/>
      </w:r>
      <w:r>
        <w:rPr>
          <w:color w:val="auto"/>
        </w:rPr>
        <w:fldChar w:fldCharType="begin"/>
      </w:r>
      <w:r>
        <w:rPr>
          <w:color w:val="auto"/>
        </w:rPr>
        <w:instrText xml:space="preserve"> PAGEREF _Toc667 \h </w:instrText>
      </w:r>
      <w:r>
        <w:rPr>
          <w:color w:val="auto"/>
        </w:rPr>
        <w:fldChar w:fldCharType="separate"/>
      </w:r>
      <w:r>
        <w:rPr>
          <w:color w:val="auto"/>
        </w:rPr>
        <w:t>17</w:t>
      </w:r>
      <w:r>
        <w:rPr>
          <w:color w:val="auto"/>
        </w:rPr>
        <w:fldChar w:fldCharType="end"/>
      </w:r>
      <w:r>
        <w:rPr>
          <w:rFonts w:hint="default" w:ascii="Times New Roman" w:hAnsi="Times New Roman" w:eastAsia="宋体" w:cs="Times New Roman"/>
          <w:color w:val="auto"/>
          <w:szCs w:val="24"/>
          <w:lang w:val="en-US" w:eastAsia="zh-CN"/>
        </w:rPr>
        <w:fldChar w:fldCharType="end"/>
      </w:r>
    </w:p>
    <w:p w14:paraId="0CEAA768">
      <w:pPr>
        <w:pStyle w:val="15"/>
        <w:tabs>
          <w:tab w:val="right" w:leader="dot" w:pos="8306"/>
        </w:tabs>
        <w:rPr>
          <w:color w:val="auto"/>
        </w:rPr>
      </w:pPr>
      <w:r>
        <w:rPr>
          <w:rFonts w:hint="default" w:ascii="Times New Roman" w:hAnsi="Times New Roman" w:eastAsia="宋体" w:cs="Times New Roman"/>
          <w:color w:val="auto"/>
          <w:szCs w:val="24"/>
          <w:lang w:val="en-US" w:eastAsia="zh-CN"/>
        </w:rPr>
        <w:fldChar w:fldCharType="begin"/>
      </w:r>
      <w:r>
        <w:rPr>
          <w:rFonts w:hint="default" w:ascii="Times New Roman" w:hAnsi="Times New Roman" w:eastAsia="宋体" w:cs="Times New Roman"/>
          <w:color w:val="auto"/>
          <w:szCs w:val="24"/>
          <w:lang w:val="en-US" w:eastAsia="zh-CN"/>
        </w:rPr>
        <w:instrText xml:space="preserve"> HYPERLINK \l _Toc26630 </w:instrText>
      </w:r>
      <w:r>
        <w:rPr>
          <w:rFonts w:hint="default" w:ascii="Times New Roman" w:hAnsi="Times New Roman" w:eastAsia="宋体" w:cs="Times New Roman"/>
          <w:color w:val="auto"/>
          <w:szCs w:val="24"/>
          <w:lang w:val="en-US" w:eastAsia="zh-CN"/>
        </w:rPr>
        <w:fldChar w:fldCharType="separate"/>
      </w:r>
      <w:r>
        <w:rPr>
          <w:rFonts w:hint="eastAsia" w:ascii="Times New Roman" w:hAnsi="Times New Roman" w:eastAsia="宋体" w:cs="Times New Roman"/>
          <w:color w:val="auto"/>
          <w:lang w:val="en-US" w:eastAsia="zh-CN"/>
        </w:rPr>
        <w:t>6</w:t>
      </w:r>
      <w:r>
        <w:rPr>
          <w:rFonts w:hint="default" w:ascii="Times New Roman" w:hAnsi="Times New Roman" w:eastAsia="宋体" w:cs="Times New Roman"/>
          <w:color w:val="auto"/>
          <w:lang w:val="en-US" w:eastAsia="zh-CN"/>
        </w:rPr>
        <w:t xml:space="preserve"> </w:t>
      </w:r>
      <w:r>
        <w:rPr>
          <w:rFonts w:hint="eastAsia"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lang w:val="en-US" w:eastAsia="zh-CN"/>
        </w:rPr>
        <w:t>鉴定评级</w:t>
      </w:r>
      <w:r>
        <w:rPr>
          <w:color w:val="auto"/>
        </w:rPr>
        <w:tab/>
      </w:r>
      <w:r>
        <w:rPr>
          <w:color w:val="auto"/>
        </w:rPr>
        <w:fldChar w:fldCharType="begin"/>
      </w:r>
      <w:r>
        <w:rPr>
          <w:color w:val="auto"/>
        </w:rPr>
        <w:instrText xml:space="preserve"> PAGEREF _Toc26630 \h </w:instrText>
      </w:r>
      <w:r>
        <w:rPr>
          <w:color w:val="auto"/>
        </w:rPr>
        <w:fldChar w:fldCharType="separate"/>
      </w:r>
      <w:r>
        <w:rPr>
          <w:color w:val="auto"/>
        </w:rPr>
        <w:t>20</w:t>
      </w:r>
      <w:r>
        <w:rPr>
          <w:color w:val="auto"/>
        </w:rPr>
        <w:fldChar w:fldCharType="end"/>
      </w:r>
      <w:r>
        <w:rPr>
          <w:rFonts w:hint="default" w:ascii="Times New Roman" w:hAnsi="Times New Roman" w:eastAsia="宋体" w:cs="Times New Roman"/>
          <w:color w:val="auto"/>
          <w:szCs w:val="24"/>
          <w:lang w:val="en-US" w:eastAsia="zh-CN"/>
        </w:rPr>
        <w:fldChar w:fldCharType="end"/>
      </w:r>
    </w:p>
    <w:p w14:paraId="759FD644">
      <w:pPr>
        <w:pStyle w:val="16"/>
        <w:tabs>
          <w:tab w:val="right" w:leader="dot" w:pos="8306"/>
        </w:tabs>
        <w:rPr>
          <w:color w:val="auto"/>
        </w:rPr>
      </w:pPr>
      <w:r>
        <w:rPr>
          <w:rFonts w:hint="default" w:ascii="Times New Roman" w:hAnsi="Times New Roman" w:eastAsia="宋体" w:cs="Times New Roman"/>
          <w:color w:val="auto"/>
          <w:szCs w:val="24"/>
          <w:lang w:val="en-US" w:eastAsia="zh-CN"/>
        </w:rPr>
        <w:fldChar w:fldCharType="begin"/>
      </w:r>
      <w:r>
        <w:rPr>
          <w:rFonts w:hint="default" w:ascii="Times New Roman" w:hAnsi="Times New Roman" w:eastAsia="宋体" w:cs="Times New Roman"/>
          <w:color w:val="auto"/>
          <w:szCs w:val="24"/>
          <w:lang w:val="en-US" w:eastAsia="zh-CN"/>
        </w:rPr>
        <w:instrText xml:space="preserve"> HYPERLINK \l _Toc14400 </w:instrText>
      </w:r>
      <w:r>
        <w:rPr>
          <w:rFonts w:hint="default" w:ascii="Times New Roman" w:hAnsi="Times New Roman" w:eastAsia="宋体" w:cs="Times New Roman"/>
          <w:color w:val="auto"/>
          <w:szCs w:val="24"/>
          <w:lang w:val="en-US" w:eastAsia="zh-CN"/>
        </w:rPr>
        <w:fldChar w:fldCharType="separate"/>
      </w:r>
      <w:r>
        <w:rPr>
          <w:rFonts w:hint="eastAsia" w:ascii="Times New Roman" w:hAnsi="Times New Roman" w:eastAsia="宋体" w:cs="Times New Roman"/>
          <w:color w:val="auto"/>
          <w:szCs w:val="28"/>
          <w:lang w:val="en-US" w:eastAsia="zh-CN"/>
        </w:rPr>
        <w:t>6</w:t>
      </w:r>
      <w:r>
        <w:rPr>
          <w:rFonts w:hint="default" w:ascii="Times New Roman" w:hAnsi="Times New Roman" w:eastAsia="宋体" w:cs="Times New Roman"/>
          <w:color w:val="auto"/>
          <w:szCs w:val="28"/>
          <w:lang w:val="en-US" w:eastAsia="zh-CN"/>
        </w:rPr>
        <w:t>.1</w:t>
      </w:r>
      <w:r>
        <w:rPr>
          <w:rFonts w:hint="eastAsia" w:ascii="Times New Roman" w:hAnsi="Times New Roman" w:eastAsia="宋体" w:cs="Times New Roman"/>
          <w:color w:val="auto"/>
          <w:szCs w:val="28"/>
          <w:lang w:val="en-US" w:eastAsia="zh-CN"/>
        </w:rPr>
        <w:t xml:space="preserve">  </w:t>
      </w:r>
      <w:r>
        <w:rPr>
          <w:rFonts w:hint="default" w:ascii="Times New Roman" w:hAnsi="Times New Roman" w:eastAsia="宋体" w:cs="Times New Roman"/>
          <w:color w:val="auto"/>
          <w:szCs w:val="28"/>
          <w:lang w:val="en-US" w:eastAsia="zh-CN"/>
        </w:rPr>
        <w:t>一般规定</w:t>
      </w:r>
      <w:r>
        <w:rPr>
          <w:color w:val="auto"/>
        </w:rPr>
        <w:tab/>
      </w:r>
      <w:r>
        <w:rPr>
          <w:color w:val="auto"/>
        </w:rPr>
        <w:fldChar w:fldCharType="begin"/>
      </w:r>
      <w:r>
        <w:rPr>
          <w:color w:val="auto"/>
        </w:rPr>
        <w:instrText xml:space="preserve"> PAGEREF _Toc14400 \h </w:instrText>
      </w:r>
      <w:r>
        <w:rPr>
          <w:color w:val="auto"/>
        </w:rPr>
        <w:fldChar w:fldCharType="separate"/>
      </w:r>
      <w:r>
        <w:rPr>
          <w:color w:val="auto"/>
        </w:rPr>
        <w:t>20</w:t>
      </w:r>
      <w:r>
        <w:rPr>
          <w:color w:val="auto"/>
        </w:rPr>
        <w:fldChar w:fldCharType="end"/>
      </w:r>
      <w:r>
        <w:rPr>
          <w:rFonts w:hint="default" w:ascii="Times New Roman" w:hAnsi="Times New Roman" w:eastAsia="宋体" w:cs="Times New Roman"/>
          <w:color w:val="auto"/>
          <w:szCs w:val="24"/>
          <w:lang w:val="en-US" w:eastAsia="zh-CN"/>
        </w:rPr>
        <w:fldChar w:fldCharType="end"/>
      </w:r>
    </w:p>
    <w:p w14:paraId="5423D5E9">
      <w:pPr>
        <w:pStyle w:val="16"/>
        <w:tabs>
          <w:tab w:val="right" w:leader="dot" w:pos="8306"/>
        </w:tabs>
        <w:rPr>
          <w:color w:val="auto"/>
        </w:rPr>
      </w:pPr>
      <w:r>
        <w:rPr>
          <w:rFonts w:hint="default" w:ascii="Times New Roman" w:hAnsi="Times New Roman" w:eastAsia="宋体" w:cs="Times New Roman"/>
          <w:color w:val="auto"/>
          <w:szCs w:val="24"/>
          <w:lang w:val="en-US" w:eastAsia="zh-CN"/>
        </w:rPr>
        <w:fldChar w:fldCharType="begin"/>
      </w:r>
      <w:r>
        <w:rPr>
          <w:rFonts w:hint="default" w:ascii="Times New Roman" w:hAnsi="Times New Roman" w:eastAsia="宋体" w:cs="Times New Roman"/>
          <w:color w:val="auto"/>
          <w:szCs w:val="24"/>
          <w:lang w:val="en-US" w:eastAsia="zh-CN"/>
        </w:rPr>
        <w:instrText xml:space="preserve"> HYPERLINK \l _Toc27915 </w:instrText>
      </w:r>
      <w:r>
        <w:rPr>
          <w:rFonts w:hint="default" w:ascii="Times New Roman" w:hAnsi="Times New Roman" w:eastAsia="宋体" w:cs="Times New Roman"/>
          <w:color w:val="auto"/>
          <w:szCs w:val="24"/>
          <w:lang w:val="en-US" w:eastAsia="zh-CN"/>
        </w:rPr>
        <w:fldChar w:fldCharType="separate"/>
      </w:r>
      <w:r>
        <w:rPr>
          <w:rFonts w:hint="eastAsia" w:ascii="Times New Roman" w:hAnsi="Times New Roman" w:eastAsia="宋体" w:cs="Times New Roman"/>
          <w:color w:val="auto"/>
          <w:szCs w:val="28"/>
          <w:lang w:val="en-US" w:eastAsia="zh-CN"/>
        </w:rPr>
        <w:t>6.2  构件的鉴定评级</w:t>
      </w:r>
      <w:r>
        <w:rPr>
          <w:color w:val="auto"/>
        </w:rPr>
        <w:tab/>
      </w:r>
      <w:r>
        <w:rPr>
          <w:color w:val="auto"/>
        </w:rPr>
        <w:fldChar w:fldCharType="begin"/>
      </w:r>
      <w:r>
        <w:rPr>
          <w:color w:val="auto"/>
        </w:rPr>
        <w:instrText xml:space="preserve"> PAGEREF _Toc27915 \h </w:instrText>
      </w:r>
      <w:r>
        <w:rPr>
          <w:color w:val="auto"/>
        </w:rPr>
        <w:fldChar w:fldCharType="separate"/>
      </w:r>
      <w:r>
        <w:rPr>
          <w:color w:val="auto"/>
        </w:rPr>
        <w:t>20</w:t>
      </w:r>
      <w:r>
        <w:rPr>
          <w:color w:val="auto"/>
        </w:rPr>
        <w:fldChar w:fldCharType="end"/>
      </w:r>
      <w:r>
        <w:rPr>
          <w:rFonts w:hint="default" w:ascii="Times New Roman" w:hAnsi="Times New Roman" w:eastAsia="宋体" w:cs="Times New Roman"/>
          <w:color w:val="auto"/>
          <w:szCs w:val="24"/>
          <w:lang w:val="en-US" w:eastAsia="zh-CN"/>
        </w:rPr>
        <w:fldChar w:fldCharType="end"/>
      </w:r>
    </w:p>
    <w:p w14:paraId="10FBBE3E">
      <w:pPr>
        <w:pStyle w:val="16"/>
        <w:tabs>
          <w:tab w:val="right" w:leader="dot" w:pos="8306"/>
        </w:tabs>
        <w:rPr>
          <w:color w:val="auto"/>
        </w:rPr>
      </w:pPr>
      <w:r>
        <w:rPr>
          <w:rFonts w:hint="default" w:ascii="Times New Roman" w:hAnsi="Times New Roman" w:eastAsia="宋体" w:cs="Times New Roman"/>
          <w:color w:val="auto"/>
          <w:szCs w:val="24"/>
          <w:lang w:val="en-US" w:eastAsia="zh-CN"/>
        </w:rPr>
        <w:fldChar w:fldCharType="begin"/>
      </w:r>
      <w:r>
        <w:rPr>
          <w:rFonts w:hint="default" w:ascii="Times New Roman" w:hAnsi="Times New Roman" w:eastAsia="宋体" w:cs="Times New Roman"/>
          <w:color w:val="auto"/>
          <w:szCs w:val="24"/>
          <w:lang w:val="en-US" w:eastAsia="zh-CN"/>
        </w:rPr>
        <w:instrText xml:space="preserve"> HYPERLINK \l _Toc10608 </w:instrText>
      </w:r>
      <w:r>
        <w:rPr>
          <w:rFonts w:hint="default" w:ascii="Times New Roman" w:hAnsi="Times New Roman" w:eastAsia="宋体" w:cs="Times New Roman"/>
          <w:color w:val="auto"/>
          <w:szCs w:val="24"/>
          <w:lang w:val="en-US" w:eastAsia="zh-CN"/>
        </w:rPr>
        <w:fldChar w:fldCharType="separate"/>
      </w:r>
      <w:r>
        <w:rPr>
          <w:rFonts w:hint="eastAsia" w:ascii="Times New Roman" w:hAnsi="Times New Roman" w:eastAsia="宋体" w:cs="Times New Roman"/>
          <w:color w:val="auto"/>
          <w:szCs w:val="28"/>
          <w:lang w:val="en-US" w:eastAsia="zh-CN"/>
        </w:rPr>
        <w:t>6.3  结构系统的鉴定评级</w:t>
      </w:r>
      <w:r>
        <w:rPr>
          <w:color w:val="auto"/>
        </w:rPr>
        <w:tab/>
      </w:r>
      <w:r>
        <w:rPr>
          <w:color w:val="auto"/>
        </w:rPr>
        <w:fldChar w:fldCharType="begin"/>
      </w:r>
      <w:r>
        <w:rPr>
          <w:color w:val="auto"/>
        </w:rPr>
        <w:instrText xml:space="preserve"> PAGEREF _Toc10608 \h </w:instrText>
      </w:r>
      <w:r>
        <w:rPr>
          <w:color w:val="auto"/>
        </w:rPr>
        <w:fldChar w:fldCharType="separate"/>
      </w:r>
      <w:r>
        <w:rPr>
          <w:color w:val="auto"/>
        </w:rPr>
        <w:t>23</w:t>
      </w:r>
      <w:r>
        <w:rPr>
          <w:color w:val="auto"/>
        </w:rPr>
        <w:fldChar w:fldCharType="end"/>
      </w:r>
      <w:r>
        <w:rPr>
          <w:rFonts w:hint="default" w:ascii="Times New Roman" w:hAnsi="Times New Roman" w:eastAsia="宋体" w:cs="Times New Roman"/>
          <w:color w:val="auto"/>
          <w:szCs w:val="24"/>
          <w:lang w:val="en-US" w:eastAsia="zh-CN"/>
        </w:rPr>
        <w:fldChar w:fldCharType="end"/>
      </w:r>
    </w:p>
    <w:p w14:paraId="71607ED8">
      <w:pPr>
        <w:pStyle w:val="16"/>
        <w:tabs>
          <w:tab w:val="right" w:leader="dot" w:pos="8306"/>
        </w:tabs>
        <w:rPr>
          <w:color w:val="auto"/>
        </w:rPr>
      </w:pPr>
      <w:r>
        <w:rPr>
          <w:rFonts w:hint="default" w:ascii="Times New Roman" w:hAnsi="Times New Roman" w:eastAsia="宋体" w:cs="Times New Roman"/>
          <w:color w:val="auto"/>
          <w:szCs w:val="24"/>
          <w:lang w:val="en-US" w:eastAsia="zh-CN"/>
        </w:rPr>
        <w:fldChar w:fldCharType="begin"/>
      </w:r>
      <w:r>
        <w:rPr>
          <w:rFonts w:hint="default" w:ascii="Times New Roman" w:hAnsi="Times New Roman" w:eastAsia="宋体" w:cs="Times New Roman"/>
          <w:color w:val="auto"/>
          <w:szCs w:val="24"/>
          <w:lang w:val="en-US" w:eastAsia="zh-CN"/>
        </w:rPr>
        <w:instrText xml:space="preserve"> HYPERLINK \l _Toc16996 </w:instrText>
      </w:r>
      <w:r>
        <w:rPr>
          <w:rFonts w:hint="default" w:ascii="Times New Roman" w:hAnsi="Times New Roman" w:eastAsia="宋体" w:cs="Times New Roman"/>
          <w:color w:val="auto"/>
          <w:szCs w:val="24"/>
          <w:lang w:val="en-US" w:eastAsia="zh-CN"/>
        </w:rPr>
        <w:fldChar w:fldCharType="separate"/>
      </w:r>
      <w:r>
        <w:rPr>
          <w:rFonts w:hint="eastAsia" w:ascii="Times New Roman" w:hAnsi="Times New Roman" w:eastAsia="宋体" w:cs="Times New Roman"/>
          <w:color w:val="auto"/>
          <w:szCs w:val="28"/>
          <w:lang w:val="en-US" w:eastAsia="zh-CN"/>
        </w:rPr>
        <w:t>6.4  工业建筑物的鉴定等级评定</w:t>
      </w:r>
      <w:r>
        <w:rPr>
          <w:color w:val="auto"/>
        </w:rPr>
        <w:tab/>
      </w:r>
      <w:r>
        <w:rPr>
          <w:color w:val="auto"/>
        </w:rPr>
        <w:fldChar w:fldCharType="begin"/>
      </w:r>
      <w:r>
        <w:rPr>
          <w:color w:val="auto"/>
        </w:rPr>
        <w:instrText xml:space="preserve"> PAGEREF _Toc16996 \h </w:instrText>
      </w:r>
      <w:r>
        <w:rPr>
          <w:color w:val="auto"/>
        </w:rPr>
        <w:fldChar w:fldCharType="separate"/>
      </w:r>
      <w:r>
        <w:rPr>
          <w:color w:val="auto"/>
        </w:rPr>
        <w:t>24</w:t>
      </w:r>
      <w:r>
        <w:rPr>
          <w:color w:val="auto"/>
        </w:rPr>
        <w:fldChar w:fldCharType="end"/>
      </w:r>
      <w:r>
        <w:rPr>
          <w:rFonts w:hint="default" w:ascii="Times New Roman" w:hAnsi="Times New Roman" w:eastAsia="宋体" w:cs="Times New Roman"/>
          <w:color w:val="auto"/>
          <w:szCs w:val="24"/>
          <w:lang w:val="en-US" w:eastAsia="zh-CN"/>
        </w:rPr>
        <w:fldChar w:fldCharType="end"/>
      </w:r>
    </w:p>
    <w:p w14:paraId="347FA22A">
      <w:pPr>
        <w:pStyle w:val="15"/>
        <w:tabs>
          <w:tab w:val="right" w:leader="dot" w:pos="8306"/>
        </w:tabs>
        <w:rPr>
          <w:color w:val="auto"/>
        </w:rPr>
      </w:pPr>
      <w:r>
        <w:rPr>
          <w:rFonts w:hint="default" w:ascii="Times New Roman" w:hAnsi="Times New Roman" w:eastAsia="宋体" w:cs="Times New Roman"/>
          <w:color w:val="auto"/>
          <w:szCs w:val="24"/>
          <w:lang w:val="en-US" w:eastAsia="zh-CN"/>
        </w:rPr>
        <w:fldChar w:fldCharType="begin"/>
      </w:r>
      <w:r>
        <w:rPr>
          <w:rFonts w:hint="default" w:ascii="Times New Roman" w:hAnsi="Times New Roman" w:eastAsia="宋体" w:cs="Times New Roman"/>
          <w:color w:val="auto"/>
          <w:szCs w:val="24"/>
          <w:lang w:val="en-US" w:eastAsia="zh-CN"/>
        </w:rPr>
        <w:instrText xml:space="preserve"> HYPERLINK \l _Toc12755 </w:instrText>
      </w:r>
      <w:r>
        <w:rPr>
          <w:rFonts w:hint="default" w:ascii="Times New Roman" w:hAnsi="Times New Roman" w:eastAsia="宋体" w:cs="Times New Roman"/>
          <w:color w:val="auto"/>
          <w:szCs w:val="24"/>
          <w:lang w:val="en-US" w:eastAsia="zh-CN"/>
        </w:rPr>
        <w:fldChar w:fldCharType="separate"/>
      </w:r>
      <w:r>
        <w:rPr>
          <w:rFonts w:hint="eastAsia" w:ascii="Times New Roman" w:hAnsi="Times New Roman" w:eastAsia="宋体" w:cs="Times New Roman"/>
          <w:color w:val="auto"/>
          <w:lang w:val="en-US" w:eastAsia="zh-CN"/>
        </w:rPr>
        <w:t>7</w:t>
      </w:r>
      <w:r>
        <w:rPr>
          <w:rFonts w:hint="default" w:ascii="Times New Roman" w:hAnsi="Times New Roman" w:eastAsia="宋体" w:cs="Times New Roman"/>
          <w:color w:val="auto"/>
          <w:lang w:val="en-US" w:eastAsia="zh-CN"/>
        </w:rPr>
        <w:t xml:space="preserve"> </w:t>
      </w:r>
      <w:r>
        <w:rPr>
          <w:rFonts w:hint="eastAsia"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rPr>
        <w:t>抗震鉴定</w:t>
      </w:r>
      <w:r>
        <w:rPr>
          <w:color w:val="auto"/>
        </w:rPr>
        <w:tab/>
      </w:r>
      <w:r>
        <w:rPr>
          <w:color w:val="auto"/>
        </w:rPr>
        <w:fldChar w:fldCharType="begin"/>
      </w:r>
      <w:r>
        <w:rPr>
          <w:color w:val="auto"/>
        </w:rPr>
        <w:instrText xml:space="preserve"> PAGEREF _Toc12755 \h </w:instrText>
      </w:r>
      <w:r>
        <w:rPr>
          <w:color w:val="auto"/>
        </w:rPr>
        <w:fldChar w:fldCharType="separate"/>
      </w:r>
      <w:r>
        <w:rPr>
          <w:color w:val="auto"/>
        </w:rPr>
        <w:t>25</w:t>
      </w:r>
      <w:r>
        <w:rPr>
          <w:color w:val="auto"/>
        </w:rPr>
        <w:fldChar w:fldCharType="end"/>
      </w:r>
      <w:r>
        <w:rPr>
          <w:rFonts w:hint="default" w:ascii="Times New Roman" w:hAnsi="Times New Roman" w:eastAsia="宋体" w:cs="Times New Roman"/>
          <w:color w:val="auto"/>
          <w:szCs w:val="24"/>
          <w:lang w:val="en-US" w:eastAsia="zh-CN"/>
        </w:rPr>
        <w:fldChar w:fldCharType="end"/>
      </w:r>
    </w:p>
    <w:p w14:paraId="4A543D26">
      <w:pPr>
        <w:pStyle w:val="16"/>
        <w:tabs>
          <w:tab w:val="right" w:leader="dot" w:pos="8306"/>
        </w:tabs>
        <w:rPr>
          <w:color w:val="auto"/>
        </w:rPr>
      </w:pPr>
      <w:r>
        <w:rPr>
          <w:rFonts w:hint="default" w:ascii="Times New Roman" w:hAnsi="Times New Roman" w:eastAsia="宋体" w:cs="Times New Roman"/>
          <w:color w:val="auto"/>
          <w:szCs w:val="24"/>
          <w:lang w:val="en-US" w:eastAsia="zh-CN"/>
        </w:rPr>
        <w:fldChar w:fldCharType="begin"/>
      </w:r>
      <w:r>
        <w:rPr>
          <w:rFonts w:hint="default" w:ascii="Times New Roman" w:hAnsi="Times New Roman" w:eastAsia="宋体" w:cs="Times New Roman"/>
          <w:color w:val="auto"/>
          <w:szCs w:val="24"/>
          <w:lang w:val="en-US" w:eastAsia="zh-CN"/>
        </w:rPr>
        <w:instrText xml:space="preserve"> HYPERLINK \l _Toc1683 </w:instrText>
      </w:r>
      <w:r>
        <w:rPr>
          <w:rFonts w:hint="default" w:ascii="Times New Roman" w:hAnsi="Times New Roman" w:eastAsia="宋体" w:cs="Times New Roman"/>
          <w:color w:val="auto"/>
          <w:szCs w:val="24"/>
          <w:lang w:val="en-US" w:eastAsia="zh-CN"/>
        </w:rPr>
        <w:fldChar w:fldCharType="separate"/>
      </w:r>
      <w:r>
        <w:rPr>
          <w:rFonts w:hint="eastAsia" w:ascii="Times New Roman" w:hAnsi="Times New Roman" w:eastAsia="宋体" w:cs="Times New Roman"/>
          <w:color w:val="auto"/>
          <w:szCs w:val="28"/>
          <w:lang w:val="en-US" w:eastAsia="zh-CN"/>
        </w:rPr>
        <w:t>7</w:t>
      </w:r>
      <w:r>
        <w:rPr>
          <w:rFonts w:hint="default" w:ascii="Times New Roman" w:hAnsi="Times New Roman" w:eastAsia="宋体" w:cs="Times New Roman"/>
          <w:color w:val="auto"/>
          <w:szCs w:val="28"/>
          <w:lang w:val="en-US" w:eastAsia="zh-CN"/>
        </w:rPr>
        <w:t xml:space="preserve">.1 </w:t>
      </w:r>
      <w:r>
        <w:rPr>
          <w:rFonts w:hint="eastAsia" w:ascii="Times New Roman" w:hAnsi="Times New Roman" w:eastAsia="宋体" w:cs="Times New Roman"/>
          <w:color w:val="auto"/>
          <w:szCs w:val="28"/>
          <w:lang w:val="en-US" w:eastAsia="zh-CN"/>
        </w:rPr>
        <w:t xml:space="preserve"> </w:t>
      </w:r>
      <w:r>
        <w:rPr>
          <w:rFonts w:hint="default" w:ascii="Times New Roman" w:hAnsi="Times New Roman" w:eastAsia="宋体" w:cs="Times New Roman"/>
          <w:color w:val="auto"/>
          <w:szCs w:val="28"/>
          <w:lang w:val="en-US" w:eastAsia="zh-CN"/>
        </w:rPr>
        <w:t>一般规定</w:t>
      </w:r>
      <w:r>
        <w:rPr>
          <w:color w:val="auto"/>
        </w:rPr>
        <w:tab/>
      </w:r>
      <w:r>
        <w:rPr>
          <w:color w:val="auto"/>
        </w:rPr>
        <w:fldChar w:fldCharType="begin"/>
      </w:r>
      <w:r>
        <w:rPr>
          <w:color w:val="auto"/>
        </w:rPr>
        <w:instrText xml:space="preserve"> PAGEREF _Toc1683 \h </w:instrText>
      </w:r>
      <w:r>
        <w:rPr>
          <w:color w:val="auto"/>
        </w:rPr>
        <w:fldChar w:fldCharType="separate"/>
      </w:r>
      <w:r>
        <w:rPr>
          <w:color w:val="auto"/>
        </w:rPr>
        <w:t>25</w:t>
      </w:r>
      <w:r>
        <w:rPr>
          <w:color w:val="auto"/>
        </w:rPr>
        <w:fldChar w:fldCharType="end"/>
      </w:r>
      <w:r>
        <w:rPr>
          <w:rFonts w:hint="default" w:ascii="Times New Roman" w:hAnsi="Times New Roman" w:eastAsia="宋体" w:cs="Times New Roman"/>
          <w:color w:val="auto"/>
          <w:szCs w:val="24"/>
          <w:lang w:val="en-US" w:eastAsia="zh-CN"/>
        </w:rPr>
        <w:fldChar w:fldCharType="end"/>
      </w:r>
    </w:p>
    <w:p w14:paraId="6CB06644">
      <w:pPr>
        <w:pStyle w:val="16"/>
        <w:tabs>
          <w:tab w:val="right" w:leader="dot" w:pos="8306"/>
        </w:tabs>
        <w:rPr>
          <w:color w:val="auto"/>
        </w:rPr>
      </w:pPr>
      <w:r>
        <w:rPr>
          <w:rFonts w:hint="default" w:ascii="Times New Roman" w:hAnsi="Times New Roman" w:eastAsia="宋体" w:cs="Times New Roman"/>
          <w:color w:val="auto"/>
          <w:szCs w:val="24"/>
          <w:lang w:val="en-US" w:eastAsia="zh-CN"/>
        </w:rPr>
        <w:fldChar w:fldCharType="begin"/>
      </w:r>
      <w:r>
        <w:rPr>
          <w:rFonts w:hint="default" w:ascii="Times New Roman" w:hAnsi="Times New Roman" w:eastAsia="宋体" w:cs="Times New Roman"/>
          <w:color w:val="auto"/>
          <w:szCs w:val="24"/>
          <w:lang w:val="en-US" w:eastAsia="zh-CN"/>
        </w:rPr>
        <w:instrText xml:space="preserve"> HYPERLINK \l _Toc26972 </w:instrText>
      </w:r>
      <w:r>
        <w:rPr>
          <w:rFonts w:hint="default" w:ascii="Times New Roman" w:hAnsi="Times New Roman" w:eastAsia="宋体" w:cs="Times New Roman"/>
          <w:color w:val="auto"/>
          <w:szCs w:val="24"/>
          <w:lang w:val="en-US" w:eastAsia="zh-CN"/>
        </w:rPr>
        <w:fldChar w:fldCharType="separate"/>
      </w:r>
      <w:r>
        <w:rPr>
          <w:rFonts w:hint="eastAsia" w:ascii="Times New Roman" w:hAnsi="Times New Roman" w:eastAsia="宋体" w:cs="Times New Roman"/>
          <w:color w:val="auto"/>
          <w:szCs w:val="28"/>
          <w:lang w:val="en-US" w:eastAsia="zh-CN"/>
        </w:rPr>
        <w:t>7</w:t>
      </w:r>
      <w:r>
        <w:rPr>
          <w:rFonts w:hint="default" w:ascii="Times New Roman" w:hAnsi="Times New Roman" w:eastAsia="宋体" w:cs="Times New Roman"/>
          <w:color w:val="auto"/>
          <w:szCs w:val="28"/>
          <w:lang w:val="en-US" w:eastAsia="zh-CN"/>
        </w:rPr>
        <w:t xml:space="preserve">.2 </w:t>
      </w:r>
      <w:r>
        <w:rPr>
          <w:rFonts w:hint="eastAsia" w:ascii="Times New Roman" w:hAnsi="Times New Roman" w:eastAsia="宋体" w:cs="Times New Roman"/>
          <w:color w:val="auto"/>
          <w:szCs w:val="28"/>
          <w:lang w:val="en-US" w:eastAsia="zh-CN"/>
        </w:rPr>
        <w:t xml:space="preserve"> </w:t>
      </w:r>
      <w:r>
        <w:rPr>
          <w:rFonts w:hint="default" w:ascii="Times New Roman" w:hAnsi="Times New Roman" w:eastAsia="宋体" w:cs="Times New Roman"/>
          <w:color w:val="auto"/>
          <w:szCs w:val="28"/>
          <w:lang w:val="en-US" w:eastAsia="zh-CN"/>
        </w:rPr>
        <w:t>主体结构抗震措施鉴定</w:t>
      </w:r>
      <w:r>
        <w:rPr>
          <w:color w:val="auto"/>
        </w:rPr>
        <w:tab/>
      </w:r>
      <w:r>
        <w:rPr>
          <w:color w:val="auto"/>
        </w:rPr>
        <w:fldChar w:fldCharType="begin"/>
      </w:r>
      <w:r>
        <w:rPr>
          <w:color w:val="auto"/>
        </w:rPr>
        <w:instrText xml:space="preserve"> PAGEREF _Toc26972 \h </w:instrText>
      </w:r>
      <w:r>
        <w:rPr>
          <w:color w:val="auto"/>
        </w:rPr>
        <w:fldChar w:fldCharType="separate"/>
      </w:r>
      <w:r>
        <w:rPr>
          <w:color w:val="auto"/>
        </w:rPr>
        <w:t>27</w:t>
      </w:r>
      <w:r>
        <w:rPr>
          <w:color w:val="auto"/>
        </w:rPr>
        <w:fldChar w:fldCharType="end"/>
      </w:r>
      <w:r>
        <w:rPr>
          <w:rFonts w:hint="default" w:ascii="Times New Roman" w:hAnsi="Times New Roman" w:eastAsia="宋体" w:cs="Times New Roman"/>
          <w:color w:val="auto"/>
          <w:szCs w:val="24"/>
          <w:lang w:val="en-US" w:eastAsia="zh-CN"/>
        </w:rPr>
        <w:fldChar w:fldCharType="end"/>
      </w:r>
    </w:p>
    <w:p w14:paraId="23494AFA">
      <w:pPr>
        <w:pStyle w:val="16"/>
        <w:tabs>
          <w:tab w:val="right" w:leader="dot" w:pos="8306"/>
        </w:tabs>
        <w:rPr>
          <w:color w:val="auto"/>
        </w:rPr>
      </w:pPr>
      <w:r>
        <w:rPr>
          <w:rFonts w:hint="default" w:ascii="Times New Roman" w:hAnsi="Times New Roman" w:eastAsia="宋体" w:cs="Times New Roman"/>
          <w:color w:val="auto"/>
          <w:szCs w:val="24"/>
          <w:lang w:val="en-US" w:eastAsia="zh-CN"/>
        </w:rPr>
        <w:fldChar w:fldCharType="begin"/>
      </w:r>
      <w:r>
        <w:rPr>
          <w:rFonts w:hint="default" w:ascii="Times New Roman" w:hAnsi="Times New Roman" w:eastAsia="宋体" w:cs="Times New Roman"/>
          <w:color w:val="auto"/>
          <w:szCs w:val="24"/>
          <w:lang w:val="en-US" w:eastAsia="zh-CN"/>
        </w:rPr>
        <w:instrText xml:space="preserve"> HYPERLINK \l _Toc32596 </w:instrText>
      </w:r>
      <w:r>
        <w:rPr>
          <w:rFonts w:hint="default" w:ascii="Times New Roman" w:hAnsi="Times New Roman" w:eastAsia="宋体" w:cs="Times New Roman"/>
          <w:color w:val="auto"/>
          <w:szCs w:val="24"/>
          <w:lang w:val="en-US" w:eastAsia="zh-CN"/>
        </w:rPr>
        <w:fldChar w:fldCharType="separate"/>
      </w:r>
      <w:r>
        <w:rPr>
          <w:rFonts w:hint="eastAsia" w:ascii="Times New Roman" w:hAnsi="Times New Roman" w:eastAsia="宋体" w:cs="Times New Roman"/>
          <w:color w:val="auto"/>
          <w:szCs w:val="28"/>
          <w:lang w:val="en-US" w:eastAsia="zh-CN"/>
        </w:rPr>
        <w:t>7</w:t>
      </w:r>
      <w:r>
        <w:rPr>
          <w:rFonts w:hint="default" w:ascii="Times New Roman" w:hAnsi="Times New Roman" w:eastAsia="宋体" w:cs="Times New Roman"/>
          <w:color w:val="auto"/>
          <w:szCs w:val="28"/>
          <w:lang w:val="en-US" w:eastAsia="zh-CN"/>
        </w:rPr>
        <w:t>.</w:t>
      </w:r>
      <w:r>
        <w:rPr>
          <w:rFonts w:hint="eastAsia" w:ascii="Times New Roman" w:hAnsi="Times New Roman" w:eastAsia="宋体" w:cs="Times New Roman"/>
          <w:color w:val="auto"/>
          <w:szCs w:val="28"/>
          <w:lang w:val="en-US" w:eastAsia="zh-CN"/>
        </w:rPr>
        <w:t>3</w:t>
      </w:r>
      <w:r>
        <w:rPr>
          <w:rFonts w:hint="default" w:ascii="Times New Roman" w:hAnsi="Times New Roman" w:eastAsia="宋体" w:cs="Times New Roman"/>
          <w:color w:val="auto"/>
          <w:szCs w:val="28"/>
          <w:lang w:val="en-US" w:eastAsia="zh-CN"/>
        </w:rPr>
        <w:t xml:space="preserve"> </w:t>
      </w:r>
      <w:r>
        <w:rPr>
          <w:rFonts w:hint="eastAsia" w:ascii="Times New Roman" w:hAnsi="Times New Roman" w:eastAsia="宋体" w:cs="Times New Roman"/>
          <w:color w:val="auto"/>
          <w:szCs w:val="28"/>
          <w:lang w:val="en-US" w:eastAsia="zh-CN"/>
        </w:rPr>
        <w:t xml:space="preserve"> </w:t>
      </w:r>
      <w:r>
        <w:rPr>
          <w:rFonts w:hint="default" w:ascii="Times New Roman" w:hAnsi="Times New Roman" w:eastAsia="宋体" w:cs="Times New Roman"/>
          <w:color w:val="auto"/>
          <w:szCs w:val="28"/>
          <w:lang w:val="en-US" w:eastAsia="zh-CN"/>
        </w:rPr>
        <w:t>单层钢筋混凝土柱厂房</w:t>
      </w:r>
      <w:r>
        <w:rPr>
          <w:color w:val="auto"/>
        </w:rPr>
        <w:tab/>
      </w:r>
      <w:r>
        <w:rPr>
          <w:color w:val="auto"/>
        </w:rPr>
        <w:fldChar w:fldCharType="begin"/>
      </w:r>
      <w:r>
        <w:rPr>
          <w:color w:val="auto"/>
        </w:rPr>
        <w:instrText xml:space="preserve"> PAGEREF _Toc32596 \h </w:instrText>
      </w:r>
      <w:r>
        <w:rPr>
          <w:color w:val="auto"/>
        </w:rPr>
        <w:fldChar w:fldCharType="separate"/>
      </w:r>
      <w:r>
        <w:rPr>
          <w:color w:val="auto"/>
        </w:rPr>
        <w:t>28</w:t>
      </w:r>
      <w:r>
        <w:rPr>
          <w:color w:val="auto"/>
        </w:rPr>
        <w:fldChar w:fldCharType="end"/>
      </w:r>
      <w:r>
        <w:rPr>
          <w:rFonts w:hint="default" w:ascii="Times New Roman" w:hAnsi="Times New Roman" w:eastAsia="宋体" w:cs="Times New Roman"/>
          <w:color w:val="auto"/>
          <w:szCs w:val="24"/>
          <w:lang w:val="en-US" w:eastAsia="zh-CN"/>
        </w:rPr>
        <w:fldChar w:fldCharType="end"/>
      </w:r>
    </w:p>
    <w:p w14:paraId="06E34632">
      <w:pPr>
        <w:pStyle w:val="16"/>
        <w:tabs>
          <w:tab w:val="right" w:leader="dot" w:pos="8306"/>
        </w:tabs>
        <w:rPr>
          <w:color w:val="auto"/>
        </w:rPr>
      </w:pPr>
      <w:r>
        <w:rPr>
          <w:rFonts w:hint="default" w:ascii="Times New Roman" w:hAnsi="Times New Roman" w:eastAsia="宋体" w:cs="Times New Roman"/>
          <w:color w:val="auto"/>
          <w:szCs w:val="24"/>
          <w:lang w:val="en-US" w:eastAsia="zh-CN"/>
        </w:rPr>
        <w:fldChar w:fldCharType="begin"/>
      </w:r>
      <w:r>
        <w:rPr>
          <w:rFonts w:hint="default" w:ascii="Times New Roman" w:hAnsi="Times New Roman" w:eastAsia="宋体" w:cs="Times New Roman"/>
          <w:color w:val="auto"/>
          <w:szCs w:val="24"/>
          <w:lang w:val="en-US" w:eastAsia="zh-CN"/>
        </w:rPr>
        <w:instrText xml:space="preserve"> HYPERLINK \l _Toc7716 </w:instrText>
      </w:r>
      <w:r>
        <w:rPr>
          <w:rFonts w:hint="default" w:ascii="Times New Roman" w:hAnsi="Times New Roman" w:eastAsia="宋体" w:cs="Times New Roman"/>
          <w:color w:val="auto"/>
          <w:szCs w:val="24"/>
          <w:lang w:val="en-US" w:eastAsia="zh-CN"/>
        </w:rPr>
        <w:fldChar w:fldCharType="separate"/>
      </w:r>
      <w:r>
        <w:rPr>
          <w:rFonts w:hint="eastAsia" w:ascii="Times New Roman" w:hAnsi="Times New Roman" w:eastAsia="宋体" w:cs="Times New Roman"/>
          <w:color w:val="auto"/>
          <w:szCs w:val="28"/>
          <w:lang w:val="en-US" w:eastAsia="zh-CN"/>
        </w:rPr>
        <w:t>7</w:t>
      </w:r>
      <w:r>
        <w:rPr>
          <w:rFonts w:hint="default" w:ascii="Times New Roman" w:hAnsi="Times New Roman" w:eastAsia="宋体" w:cs="Times New Roman"/>
          <w:color w:val="auto"/>
          <w:szCs w:val="28"/>
          <w:lang w:val="en-US" w:eastAsia="zh-CN"/>
        </w:rPr>
        <w:t>.</w:t>
      </w:r>
      <w:r>
        <w:rPr>
          <w:rFonts w:hint="eastAsia" w:ascii="Times New Roman" w:hAnsi="Times New Roman" w:eastAsia="宋体" w:cs="Times New Roman"/>
          <w:color w:val="auto"/>
          <w:szCs w:val="28"/>
          <w:lang w:val="en-US" w:eastAsia="zh-CN"/>
        </w:rPr>
        <w:t>4</w:t>
      </w:r>
      <w:r>
        <w:rPr>
          <w:rFonts w:hint="default" w:ascii="Times New Roman" w:hAnsi="Times New Roman" w:eastAsia="宋体" w:cs="Times New Roman"/>
          <w:color w:val="auto"/>
          <w:szCs w:val="28"/>
          <w:lang w:val="en-US" w:eastAsia="zh-CN"/>
        </w:rPr>
        <w:t xml:space="preserve"> </w:t>
      </w:r>
      <w:r>
        <w:rPr>
          <w:rFonts w:hint="eastAsia" w:ascii="Times New Roman" w:hAnsi="Times New Roman" w:eastAsia="宋体" w:cs="Times New Roman"/>
          <w:color w:val="auto"/>
          <w:szCs w:val="28"/>
          <w:lang w:val="en-US" w:eastAsia="zh-CN"/>
        </w:rPr>
        <w:t xml:space="preserve"> </w:t>
      </w:r>
      <w:r>
        <w:rPr>
          <w:rFonts w:hint="default" w:ascii="Times New Roman" w:hAnsi="Times New Roman" w:eastAsia="宋体" w:cs="Times New Roman"/>
          <w:color w:val="auto"/>
          <w:szCs w:val="28"/>
          <w:lang w:val="en-US" w:eastAsia="zh-CN"/>
        </w:rPr>
        <w:t>单层砖柱厂房</w:t>
      </w:r>
      <w:r>
        <w:rPr>
          <w:color w:val="auto"/>
        </w:rPr>
        <w:tab/>
      </w:r>
      <w:r>
        <w:rPr>
          <w:color w:val="auto"/>
        </w:rPr>
        <w:fldChar w:fldCharType="begin"/>
      </w:r>
      <w:r>
        <w:rPr>
          <w:color w:val="auto"/>
        </w:rPr>
        <w:instrText xml:space="preserve"> PAGEREF _Toc7716 \h </w:instrText>
      </w:r>
      <w:r>
        <w:rPr>
          <w:color w:val="auto"/>
        </w:rPr>
        <w:fldChar w:fldCharType="separate"/>
      </w:r>
      <w:r>
        <w:rPr>
          <w:color w:val="auto"/>
        </w:rPr>
        <w:t>28</w:t>
      </w:r>
      <w:r>
        <w:rPr>
          <w:color w:val="auto"/>
        </w:rPr>
        <w:fldChar w:fldCharType="end"/>
      </w:r>
      <w:r>
        <w:rPr>
          <w:rFonts w:hint="default" w:ascii="Times New Roman" w:hAnsi="Times New Roman" w:eastAsia="宋体" w:cs="Times New Roman"/>
          <w:color w:val="auto"/>
          <w:szCs w:val="24"/>
          <w:lang w:val="en-US" w:eastAsia="zh-CN"/>
        </w:rPr>
        <w:fldChar w:fldCharType="end"/>
      </w:r>
    </w:p>
    <w:p w14:paraId="4A6B9927">
      <w:pPr>
        <w:pStyle w:val="16"/>
        <w:tabs>
          <w:tab w:val="right" w:leader="dot" w:pos="8306"/>
        </w:tabs>
        <w:rPr>
          <w:color w:val="auto"/>
        </w:rPr>
      </w:pPr>
      <w:r>
        <w:rPr>
          <w:rFonts w:hint="default" w:ascii="Times New Roman" w:hAnsi="Times New Roman" w:eastAsia="宋体" w:cs="Times New Roman"/>
          <w:color w:val="auto"/>
          <w:szCs w:val="24"/>
          <w:lang w:val="en-US" w:eastAsia="zh-CN"/>
        </w:rPr>
        <w:fldChar w:fldCharType="begin"/>
      </w:r>
      <w:r>
        <w:rPr>
          <w:rFonts w:hint="default" w:ascii="Times New Roman" w:hAnsi="Times New Roman" w:eastAsia="宋体" w:cs="Times New Roman"/>
          <w:color w:val="auto"/>
          <w:szCs w:val="24"/>
          <w:lang w:val="en-US" w:eastAsia="zh-CN"/>
        </w:rPr>
        <w:instrText xml:space="preserve"> HYPERLINK \l _Toc3199 </w:instrText>
      </w:r>
      <w:r>
        <w:rPr>
          <w:rFonts w:hint="default" w:ascii="Times New Roman" w:hAnsi="Times New Roman" w:eastAsia="宋体" w:cs="Times New Roman"/>
          <w:color w:val="auto"/>
          <w:szCs w:val="24"/>
          <w:lang w:val="en-US" w:eastAsia="zh-CN"/>
        </w:rPr>
        <w:fldChar w:fldCharType="separate"/>
      </w:r>
      <w:r>
        <w:rPr>
          <w:rFonts w:hint="eastAsia" w:ascii="Times New Roman" w:hAnsi="Times New Roman" w:eastAsia="宋体" w:cs="Times New Roman"/>
          <w:color w:val="auto"/>
          <w:szCs w:val="28"/>
          <w:lang w:val="en-US" w:eastAsia="zh-CN"/>
        </w:rPr>
        <w:t>7</w:t>
      </w:r>
      <w:r>
        <w:rPr>
          <w:rFonts w:hint="default" w:ascii="Times New Roman" w:hAnsi="Times New Roman" w:eastAsia="宋体" w:cs="Times New Roman"/>
          <w:color w:val="auto"/>
          <w:szCs w:val="28"/>
          <w:lang w:val="en-US" w:eastAsia="zh-CN"/>
        </w:rPr>
        <w:t>.</w:t>
      </w:r>
      <w:r>
        <w:rPr>
          <w:rFonts w:hint="eastAsia" w:ascii="Times New Roman" w:hAnsi="Times New Roman" w:eastAsia="宋体" w:cs="Times New Roman"/>
          <w:color w:val="auto"/>
          <w:szCs w:val="28"/>
          <w:lang w:val="en-US" w:eastAsia="zh-CN"/>
        </w:rPr>
        <w:t>5</w:t>
      </w:r>
      <w:r>
        <w:rPr>
          <w:rFonts w:hint="default" w:ascii="Times New Roman" w:hAnsi="Times New Roman" w:eastAsia="宋体" w:cs="Times New Roman"/>
          <w:color w:val="auto"/>
          <w:szCs w:val="28"/>
          <w:lang w:val="en-US" w:eastAsia="zh-CN"/>
        </w:rPr>
        <w:t xml:space="preserve"> </w:t>
      </w:r>
      <w:r>
        <w:rPr>
          <w:rFonts w:hint="eastAsia" w:ascii="Times New Roman" w:hAnsi="Times New Roman" w:eastAsia="宋体" w:cs="Times New Roman"/>
          <w:color w:val="auto"/>
          <w:szCs w:val="28"/>
          <w:lang w:val="en-US" w:eastAsia="zh-CN"/>
        </w:rPr>
        <w:t xml:space="preserve"> 门式钢架轻型钢结构</w:t>
      </w:r>
      <w:r>
        <w:rPr>
          <w:color w:val="auto"/>
        </w:rPr>
        <w:tab/>
      </w:r>
      <w:r>
        <w:rPr>
          <w:color w:val="auto"/>
        </w:rPr>
        <w:fldChar w:fldCharType="begin"/>
      </w:r>
      <w:r>
        <w:rPr>
          <w:color w:val="auto"/>
        </w:rPr>
        <w:instrText xml:space="preserve"> PAGEREF _Toc3199 \h </w:instrText>
      </w:r>
      <w:r>
        <w:rPr>
          <w:color w:val="auto"/>
        </w:rPr>
        <w:fldChar w:fldCharType="separate"/>
      </w:r>
      <w:r>
        <w:rPr>
          <w:color w:val="auto"/>
        </w:rPr>
        <w:t>29</w:t>
      </w:r>
      <w:r>
        <w:rPr>
          <w:color w:val="auto"/>
        </w:rPr>
        <w:fldChar w:fldCharType="end"/>
      </w:r>
      <w:r>
        <w:rPr>
          <w:rFonts w:hint="default" w:ascii="Times New Roman" w:hAnsi="Times New Roman" w:eastAsia="宋体" w:cs="Times New Roman"/>
          <w:color w:val="auto"/>
          <w:szCs w:val="24"/>
          <w:lang w:val="en-US" w:eastAsia="zh-CN"/>
        </w:rPr>
        <w:fldChar w:fldCharType="end"/>
      </w:r>
    </w:p>
    <w:p w14:paraId="6EF75B74">
      <w:pPr>
        <w:pStyle w:val="16"/>
        <w:tabs>
          <w:tab w:val="right" w:leader="dot" w:pos="8306"/>
        </w:tabs>
        <w:rPr>
          <w:color w:val="auto"/>
        </w:rPr>
      </w:pPr>
      <w:r>
        <w:rPr>
          <w:rFonts w:hint="default" w:ascii="Times New Roman" w:hAnsi="Times New Roman" w:eastAsia="宋体" w:cs="Times New Roman"/>
          <w:color w:val="auto"/>
          <w:szCs w:val="24"/>
          <w:lang w:val="en-US" w:eastAsia="zh-CN"/>
        </w:rPr>
        <w:fldChar w:fldCharType="begin"/>
      </w:r>
      <w:r>
        <w:rPr>
          <w:rFonts w:hint="default" w:ascii="Times New Roman" w:hAnsi="Times New Roman" w:eastAsia="宋体" w:cs="Times New Roman"/>
          <w:color w:val="auto"/>
          <w:szCs w:val="24"/>
          <w:lang w:val="en-US" w:eastAsia="zh-CN"/>
        </w:rPr>
        <w:instrText xml:space="preserve"> HYPERLINK \l _Toc23095 </w:instrText>
      </w:r>
      <w:r>
        <w:rPr>
          <w:rFonts w:hint="default" w:ascii="Times New Roman" w:hAnsi="Times New Roman" w:eastAsia="宋体" w:cs="Times New Roman"/>
          <w:color w:val="auto"/>
          <w:szCs w:val="24"/>
          <w:lang w:val="en-US" w:eastAsia="zh-CN"/>
        </w:rPr>
        <w:fldChar w:fldCharType="separate"/>
      </w:r>
      <w:r>
        <w:rPr>
          <w:rFonts w:hint="eastAsia" w:ascii="Times New Roman" w:hAnsi="Times New Roman" w:eastAsia="宋体" w:cs="Times New Roman"/>
          <w:color w:val="auto"/>
          <w:szCs w:val="28"/>
          <w:lang w:val="en-US" w:eastAsia="zh-CN"/>
        </w:rPr>
        <w:t>7</w:t>
      </w:r>
      <w:r>
        <w:rPr>
          <w:rFonts w:hint="default" w:ascii="Times New Roman" w:hAnsi="Times New Roman" w:eastAsia="宋体" w:cs="Times New Roman"/>
          <w:color w:val="auto"/>
          <w:szCs w:val="28"/>
          <w:lang w:val="en-US" w:eastAsia="zh-CN"/>
        </w:rPr>
        <w:t>.</w:t>
      </w:r>
      <w:r>
        <w:rPr>
          <w:rFonts w:hint="eastAsia" w:ascii="Times New Roman" w:hAnsi="Times New Roman" w:eastAsia="宋体" w:cs="Times New Roman"/>
          <w:color w:val="auto"/>
          <w:szCs w:val="28"/>
          <w:lang w:val="en-US" w:eastAsia="zh-CN"/>
        </w:rPr>
        <w:t>6</w:t>
      </w:r>
      <w:r>
        <w:rPr>
          <w:rFonts w:hint="default" w:ascii="Times New Roman" w:hAnsi="Times New Roman" w:eastAsia="宋体" w:cs="Times New Roman"/>
          <w:color w:val="auto"/>
          <w:szCs w:val="28"/>
          <w:lang w:val="en-US" w:eastAsia="zh-CN"/>
        </w:rPr>
        <w:t xml:space="preserve"> </w:t>
      </w:r>
      <w:r>
        <w:rPr>
          <w:rFonts w:hint="eastAsia" w:ascii="Times New Roman" w:hAnsi="Times New Roman" w:eastAsia="宋体" w:cs="Times New Roman"/>
          <w:color w:val="auto"/>
          <w:szCs w:val="28"/>
          <w:lang w:val="en-US" w:eastAsia="zh-CN"/>
        </w:rPr>
        <w:t xml:space="preserve"> 单层钢结构厂房</w:t>
      </w:r>
      <w:r>
        <w:rPr>
          <w:color w:val="auto"/>
        </w:rPr>
        <w:tab/>
      </w:r>
      <w:r>
        <w:rPr>
          <w:color w:val="auto"/>
        </w:rPr>
        <w:fldChar w:fldCharType="begin"/>
      </w:r>
      <w:r>
        <w:rPr>
          <w:color w:val="auto"/>
        </w:rPr>
        <w:instrText xml:space="preserve"> PAGEREF _Toc23095 \h </w:instrText>
      </w:r>
      <w:r>
        <w:rPr>
          <w:color w:val="auto"/>
        </w:rPr>
        <w:fldChar w:fldCharType="separate"/>
      </w:r>
      <w:r>
        <w:rPr>
          <w:color w:val="auto"/>
        </w:rPr>
        <w:t>30</w:t>
      </w:r>
      <w:r>
        <w:rPr>
          <w:color w:val="auto"/>
        </w:rPr>
        <w:fldChar w:fldCharType="end"/>
      </w:r>
      <w:r>
        <w:rPr>
          <w:rFonts w:hint="default" w:ascii="Times New Roman" w:hAnsi="Times New Roman" w:eastAsia="宋体" w:cs="Times New Roman"/>
          <w:color w:val="auto"/>
          <w:szCs w:val="24"/>
          <w:lang w:val="en-US" w:eastAsia="zh-CN"/>
        </w:rPr>
        <w:fldChar w:fldCharType="end"/>
      </w:r>
    </w:p>
    <w:p w14:paraId="2DD8AA15">
      <w:pPr>
        <w:pStyle w:val="16"/>
        <w:tabs>
          <w:tab w:val="right" w:leader="dot" w:pos="8306"/>
        </w:tabs>
        <w:rPr>
          <w:color w:val="auto"/>
        </w:rPr>
      </w:pPr>
      <w:r>
        <w:rPr>
          <w:rFonts w:hint="default" w:ascii="Times New Roman" w:hAnsi="Times New Roman" w:eastAsia="宋体" w:cs="Times New Roman"/>
          <w:color w:val="auto"/>
          <w:szCs w:val="24"/>
          <w:lang w:val="en-US" w:eastAsia="zh-CN"/>
        </w:rPr>
        <w:fldChar w:fldCharType="begin"/>
      </w:r>
      <w:r>
        <w:rPr>
          <w:rFonts w:hint="default" w:ascii="Times New Roman" w:hAnsi="Times New Roman" w:eastAsia="宋体" w:cs="Times New Roman"/>
          <w:color w:val="auto"/>
          <w:szCs w:val="24"/>
          <w:lang w:val="en-US" w:eastAsia="zh-CN"/>
        </w:rPr>
        <w:instrText xml:space="preserve"> HYPERLINK \l _Toc31521 </w:instrText>
      </w:r>
      <w:r>
        <w:rPr>
          <w:rFonts w:hint="default" w:ascii="Times New Roman" w:hAnsi="Times New Roman" w:eastAsia="宋体" w:cs="Times New Roman"/>
          <w:color w:val="auto"/>
          <w:szCs w:val="24"/>
          <w:lang w:val="en-US" w:eastAsia="zh-CN"/>
        </w:rPr>
        <w:fldChar w:fldCharType="separate"/>
      </w:r>
      <w:r>
        <w:rPr>
          <w:rFonts w:hint="eastAsia" w:ascii="Times New Roman" w:hAnsi="Times New Roman" w:eastAsia="宋体" w:cs="Times New Roman"/>
          <w:color w:val="auto"/>
          <w:szCs w:val="28"/>
          <w:lang w:val="en-US" w:eastAsia="zh-CN"/>
        </w:rPr>
        <w:t>7</w:t>
      </w:r>
      <w:r>
        <w:rPr>
          <w:rFonts w:hint="default" w:ascii="Times New Roman" w:hAnsi="Times New Roman" w:eastAsia="宋体" w:cs="Times New Roman"/>
          <w:color w:val="auto"/>
          <w:szCs w:val="28"/>
          <w:lang w:val="en-US" w:eastAsia="zh-CN"/>
        </w:rPr>
        <w:t>.</w:t>
      </w:r>
      <w:r>
        <w:rPr>
          <w:rFonts w:hint="eastAsia" w:ascii="Times New Roman" w:hAnsi="Times New Roman" w:eastAsia="宋体" w:cs="Times New Roman"/>
          <w:color w:val="auto"/>
          <w:szCs w:val="28"/>
          <w:lang w:val="en-US" w:eastAsia="zh-CN"/>
        </w:rPr>
        <w:t>7</w:t>
      </w:r>
      <w:r>
        <w:rPr>
          <w:rFonts w:hint="default" w:ascii="Times New Roman" w:hAnsi="Times New Roman" w:eastAsia="宋体" w:cs="Times New Roman"/>
          <w:color w:val="auto"/>
          <w:szCs w:val="28"/>
          <w:lang w:val="en-US" w:eastAsia="zh-CN"/>
        </w:rPr>
        <w:t xml:space="preserve"> </w:t>
      </w:r>
      <w:r>
        <w:rPr>
          <w:rFonts w:hint="eastAsia" w:ascii="Times New Roman" w:hAnsi="Times New Roman" w:eastAsia="宋体" w:cs="Times New Roman"/>
          <w:color w:val="auto"/>
          <w:szCs w:val="28"/>
          <w:lang w:val="en-US" w:eastAsia="zh-CN"/>
        </w:rPr>
        <w:t xml:space="preserve"> 钢框钢排架结构</w:t>
      </w:r>
      <w:r>
        <w:rPr>
          <w:color w:val="auto"/>
        </w:rPr>
        <w:tab/>
      </w:r>
      <w:r>
        <w:rPr>
          <w:color w:val="auto"/>
        </w:rPr>
        <w:fldChar w:fldCharType="begin"/>
      </w:r>
      <w:r>
        <w:rPr>
          <w:color w:val="auto"/>
        </w:rPr>
        <w:instrText xml:space="preserve"> PAGEREF _Toc31521 \h </w:instrText>
      </w:r>
      <w:r>
        <w:rPr>
          <w:color w:val="auto"/>
        </w:rPr>
        <w:fldChar w:fldCharType="separate"/>
      </w:r>
      <w:r>
        <w:rPr>
          <w:color w:val="auto"/>
        </w:rPr>
        <w:t>30</w:t>
      </w:r>
      <w:r>
        <w:rPr>
          <w:color w:val="auto"/>
        </w:rPr>
        <w:fldChar w:fldCharType="end"/>
      </w:r>
      <w:r>
        <w:rPr>
          <w:rFonts w:hint="default" w:ascii="Times New Roman" w:hAnsi="Times New Roman" w:eastAsia="宋体" w:cs="Times New Roman"/>
          <w:color w:val="auto"/>
          <w:szCs w:val="24"/>
          <w:lang w:val="en-US" w:eastAsia="zh-CN"/>
        </w:rPr>
        <w:fldChar w:fldCharType="end"/>
      </w:r>
    </w:p>
    <w:p w14:paraId="0CA0F0F8">
      <w:pPr>
        <w:pStyle w:val="15"/>
        <w:tabs>
          <w:tab w:val="right" w:leader="dot" w:pos="8306"/>
        </w:tabs>
        <w:rPr>
          <w:color w:val="auto"/>
        </w:rPr>
      </w:pPr>
      <w:r>
        <w:rPr>
          <w:rFonts w:hint="default" w:ascii="Times New Roman" w:hAnsi="Times New Roman" w:eastAsia="宋体" w:cs="Times New Roman"/>
          <w:color w:val="auto"/>
          <w:szCs w:val="24"/>
          <w:lang w:val="en-US" w:eastAsia="zh-CN"/>
        </w:rPr>
        <w:fldChar w:fldCharType="begin"/>
      </w:r>
      <w:r>
        <w:rPr>
          <w:rFonts w:hint="default" w:ascii="Times New Roman" w:hAnsi="Times New Roman" w:eastAsia="宋体" w:cs="Times New Roman"/>
          <w:color w:val="auto"/>
          <w:szCs w:val="24"/>
          <w:lang w:val="en-US" w:eastAsia="zh-CN"/>
        </w:rPr>
        <w:instrText xml:space="preserve"> HYPERLINK \l _Toc15584 </w:instrText>
      </w:r>
      <w:r>
        <w:rPr>
          <w:rFonts w:hint="default" w:ascii="Times New Roman" w:hAnsi="Times New Roman" w:eastAsia="宋体" w:cs="Times New Roman"/>
          <w:color w:val="auto"/>
          <w:szCs w:val="24"/>
          <w:lang w:val="en-US" w:eastAsia="zh-CN"/>
        </w:rPr>
        <w:fldChar w:fldCharType="separate"/>
      </w:r>
      <w:r>
        <w:rPr>
          <w:rFonts w:hint="eastAsia" w:ascii="Times New Roman" w:hAnsi="Times New Roman" w:eastAsia="宋体" w:cs="Times New Roman"/>
          <w:color w:val="auto"/>
          <w:lang w:val="en-US" w:eastAsia="zh-CN"/>
        </w:rPr>
        <w:t>8</w:t>
      </w:r>
      <w:r>
        <w:rPr>
          <w:rFonts w:hint="default" w:ascii="Times New Roman" w:hAnsi="Times New Roman" w:eastAsia="宋体" w:cs="Times New Roman"/>
          <w:color w:val="auto"/>
          <w:lang w:val="en-US" w:eastAsia="zh-CN"/>
        </w:rPr>
        <w:t xml:space="preserve"> </w:t>
      </w:r>
      <w:r>
        <w:rPr>
          <w:rFonts w:hint="eastAsia"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lang w:val="en-US" w:eastAsia="zh-CN"/>
        </w:rPr>
        <w:t>鉴定报告编写要求</w:t>
      </w:r>
      <w:r>
        <w:rPr>
          <w:color w:val="auto"/>
        </w:rPr>
        <w:tab/>
      </w:r>
      <w:r>
        <w:rPr>
          <w:color w:val="auto"/>
        </w:rPr>
        <w:fldChar w:fldCharType="begin"/>
      </w:r>
      <w:r>
        <w:rPr>
          <w:color w:val="auto"/>
        </w:rPr>
        <w:instrText xml:space="preserve"> PAGEREF _Toc15584 \h </w:instrText>
      </w:r>
      <w:r>
        <w:rPr>
          <w:color w:val="auto"/>
        </w:rPr>
        <w:fldChar w:fldCharType="separate"/>
      </w:r>
      <w:r>
        <w:rPr>
          <w:color w:val="auto"/>
        </w:rPr>
        <w:t>32</w:t>
      </w:r>
      <w:r>
        <w:rPr>
          <w:color w:val="auto"/>
        </w:rPr>
        <w:fldChar w:fldCharType="end"/>
      </w:r>
      <w:r>
        <w:rPr>
          <w:rFonts w:hint="default" w:ascii="Times New Roman" w:hAnsi="Times New Roman" w:eastAsia="宋体" w:cs="Times New Roman"/>
          <w:color w:val="auto"/>
          <w:szCs w:val="24"/>
          <w:lang w:val="en-US" w:eastAsia="zh-CN"/>
        </w:rPr>
        <w:fldChar w:fldCharType="end"/>
      </w:r>
    </w:p>
    <w:p w14:paraId="7116A7FB">
      <w:pPr>
        <w:pStyle w:val="15"/>
        <w:tabs>
          <w:tab w:val="right" w:leader="dot" w:pos="8306"/>
        </w:tabs>
        <w:rPr>
          <w:color w:val="auto"/>
        </w:rPr>
      </w:pPr>
      <w:r>
        <w:rPr>
          <w:rFonts w:hint="default" w:ascii="Times New Roman" w:hAnsi="Times New Roman" w:eastAsia="宋体" w:cs="Times New Roman"/>
          <w:color w:val="auto"/>
          <w:szCs w:val="24"/>
          <w:lang w:val="en-US" w:eastAsia="zh-CN"/>
        </w:rPr>
        <w:fldChar w:fldCharType="begin"/>
      </w:r>
      <w:r>
        <w:rPr>
          <w:rFonts w:hint="default" w:ascii="Times New Roman" w:hAnsi="Times New Roman" w:eastAsia="宋体" w:cs="Times New Roman"/>
          <w:color w:val="auto"/>
          <w:szCs w:val="24"/>
          <w:lang w:val="en-US" w:eastAsia="zh-CN"/>
        </w:rPr>
        <w:instrText xml:space="preserve"> HYPERLINK \l _Toc540 </w:instrText>
      </w:r>
      <w:r>
        <w:rPr>
          <w:rFonts w:hint="default" w:ascii="Times New Roman" w:hAnsi="Times New Roman" w:eastAsia="宋体" w:cs="Times New Roman"/>
          <w:color w:val="auto"/>
          <w:szCs w:val="24"/>
          <w:lang w:val="en-US" w:eastAsia="zh-CN"/>
        </w:rPr>
        <w:fldChar w:fldCharType="separate"/>
      </w:r>
      <w:r>
        <w:rPr>
          <w:rFonts w:hint="eastAsia" w:ascii="Times New Roman" w:hAnsi="Times New Roman" w:eastAsia="宋体" w:cs="Times New Roman"/>
          <w:color w:val="auto"/>
          <w:lang w:val="en-US" w:eastAsia="zh-CN"/>
        </w:rPr>
        <w:t>9</w:t>
      </w:r>
      <w:r>
        <w:rPr>
          <w:rFonts w:hint="default" w:ascii="Times New Roman" w:hAnsi="Times New Roman" w:eastAsia="宋体" w:cs="Times New Roman"/>
          <w:color w:val="auto"/>
          <w:lang w:val="en-US" w:eastAsia="zh-CN"/>
        </w:rPr>
        <w:t xml:space="preserve"> </w:t>
      </w:r>
      <w:r>
        <w:rPr>
          <w:rFonts w:hint="eastAsia"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lang w:val="en-US" w:eastAsia="zh-CN"/>
        </w:rPr>
        <w:t>鉴定档案管理</w:t>
      </w:r>
      <w:r>
        <w:rPr>
          <w:color w:val="auto"/>
        </w:rPr>
        <w:tab/>
      </w:r>
      <w:r>
        <w:rPr>
          <w:color w:val="auto"/>
        </w:rPr>
        <w:fldChar w:fldCharType="begin"/>
      </w:r>
      <w:r>
        <w:rPr>
          <w:color w:val="auto"/>
        </w:rPr>
        <w:instrText xml:space="preserve"> PAGEREF _Toc540 \h </w:instrText>
      </w:r>
      <w:r>
        <w:rPr>
          <w:color w:val="auto"/>
        </w:rPr>
        <w:fldChar w:fldCharType="separate"/>
      </w:r>
      <w:r>
        <w:rPr>
          <w:color w:val="auto"/>
        </w:rPr>
        <w:t>34</w:t>
      </w:r>
      <w:r>
        <w:rPr>
          <w:color w:val="auto"/>
        </w:rPr>
        <w:fldChar w:fldCharType="end"/>
      </w:r>
      <w:r>
        <w:rPr>
          <w:rFonts w:hint="default" w:ascii="Times New Roman" w:hAnsi="Times New Roman" w:eastAsia="宋体" w:cs="Times New Roman"/>
          <w:color w:val="auto"/>
          <w:szCs w:val="24"/>
          <w:lang w:val="en-US" w:eastAsia="zh-CN"/>
        </w:rPr>
        <w:fldChar w:fldCharType="end"/>
      </w:r>
    </w:p>
    <w:p w14:paraId="26D92B6A">
      <w:pPr>
        <w:pStyle w:val="15"/>
        <w:tabs>
          <w:tab w:val="right" w:leader="dot" w:pos="8306"/>
        </w:tabs>
        <w:rPr>
          <w:color w:val="auto"/>
        </w:rPr>
      </w:pPr>
      <w:r>
        <w:rPr>
          <w:rFonts w:hint="default" w:ascii="Times New Roman" w:hAnsi="Times New Roman" w:eastAsia="宋体" w:cs="Times New Roman"/>
          <w:color w:val="auto"/>
          <w:szCs w:val="24"/>
          <w:lang w:val="en-US" w:eastAsia="zh-CN"/>
        </w:rPr>
        <w:fldChar w:fldCharType="begin"/>
      </w:r>
      <w:r>
        <w:rPr>
          <w:rFonts w:hint="default" w:ascii="Times New Roman" w:hAnsi="Times New Roman" w:eastAsia="宋体" w:cs="Times New Roman"/>
          <w:color w:val="auto"/>
          <w:szCs w:val="24"/>
          <w:lang w:val="en-US" w:eastAsia="zh-CN"/>
        </w:rPr>
        <w:instrText xml:space="preserve"> HYPERLINK \l _Toc27439 </w:instrText>
      </w:r>
      <w:r>
        <w:rPr>
          <w:rFonts w:hint="default" w:ascii="Times New Roman" w:hAnsi="Times New Roman" w:eastAsia="宋体" w:cs="Times New Roman"/>
          <w:color w:val="auto"/>
          <w:szCs w:val="24"/>
          <w:lang w:val="en-US" w:eastAsia="zh-CN"/>
        </w:rPr>
        <w:fldChar w:fldCharType="separate"/>
      </w:r>
      <w:r>
        <w:rPr>
          <w:rFonts w:hint="eastAsia" w:ascii="Times New Roman" w:hAnsi="Times New Roman" w:cs="Times New Roman"/>
          <w:color w:val="auto"/>
          <w:szCs w:val="48"/>
          <w:lang w:val="en-US" w:eastAsia="zh-CN"/>
        </w:rPr>
        <w:t>附录参考资料</w:t>
      </w:r>
      <w:r>
        <w:rPr>
          <w:color w:val="auto"/>
        </w:rPr>
        <w:tab/>
      </w:r>
      <w:r>
        <w:rPr>
          <w:color w:val="auto"/>
        </w:rPr>
        <w:fldChar w:fldCharType="begin"/>
      </w:r>
      <w:r>
        <w:rPr>
          <w:color w:val="auto"/>
        </w:rPr>
        <w:instrText xml:space="preserve"> PAGEREF _Toc27439 \h </w:instrText>
      </w:r>
      <w:r>
        <w:rPr>
          <w:color w:val="auto"/>
        </w:rPr>
        <w:fldChar w:fldCharType="separate"/>
      </w:r>
      <w:r>
        <w:rPr>
          <w:color w:val="auto"/>
        </w:rPr>
        <w:t>35</w:t>
      </w:r>
      <w:r>
        <w:rPr>
          <w:color w:val="auto"/>
        </w:rPr>
        <w:fldChar w:fldCharType="end"/>
      </w:r>
      <w:r>
        <w:rPr>
          <w:rFonts w:hint="default" w:ascii="Times New Roman" w:hAnsi="Times New Roman" w:eastAsia="宋体" w:cs="Times New Roman"/>
          <w:color w:val="auto"/>
          <w:szCs w:val="24"/>
          <w:lang w:val="en-US" w:eastAsia="zh-CN"/>
        </w:rPr>
        <w:fldChar w:fldCharType="end"/>
      </w:r>
    </w:p>
    <w:p w14:paraId="545B0316">
      <w:pPr>
        <w:pStyle w:val="15"/>
        <w:tabs>
          <w:tab w:val="right" w:leader="dot" w:pos="8306"/>
        </w:tabs>
        <w:rPr>
          <w:color w:val="auto"/>
        </w:rPr>
      </w:pPr>
      <w:r>
        <w:rPr>
          <w:rFonts w:hint="default" w:ascii="Times New Roman" w:hAnsi="Times New Roman" w:eastAsia="宋体" w:cs="Times New Roman"/>
          <w:color w:val="auto"/>
          <w:szCs w:val="24"/>
          <w:lang w:val="en-US" w:eastAsia="zh-CN"/>
        </w:rPr>
        <w:fldChar w:fldCharType="begin"/>
      </w:r>
      <w:r>
        <w:rPr>
          <w:rFonts w:hint="default" w:ascii="Times New Roman" w:hAnsi="Times New Roman" w:eastAsia="宋体" w:cs="Times New Roman"/>
          <w:color w:val="auto"/>
          <w:szCs w:val="24"/>
          <w:lang w:val="en-US" w:eastAsia="zh-CN"/>
        </w:rPr>
        <w:instrText xml:space="preserve"> HYPERLINK \l _Toc15632 </w:instrText>
      </w:r>
      <w:r>
        <w:rPr>
          <w:rFonts w:hint="default" w:ascii="Times New Roman" w:hAnsi="Times New Roman" w:eastAsia="宋体" w:cs="Times New Roman"/>
          <w:color w:val="auto"/>
          <w:szCs w:val="24"/>
          <w:lang w:val="en-US" w:eastAsia="zh-CN"/>
        </w:rPr>
        <w:fldChar w:fldCharType="separate"/>
      </w:r>
      <w:r>
        <w:rPr>
          <w:rFonts w:hint="default" w:ascii="Times New Roman" w:hAnsi="Times New Roman" w:cs="Times New Roman"/>
          <w:color w:val="auto"/>
        </w:rPr>
        <w:t>附录</w:t>
      </w:r>
      <w:r>
        <w:rPr>
          <w:rFonts w:hint="eastAsia" w:ascii="Times New Roman" w:hAnsi="Times New Roman" w:cs="Times New Roman"/>
          <w:color w:val="auto"/>
          <w:lang w:val="en-US" w:eastAsia="zh-CN"/>
        </w:rPr>
        <w:t xml:space="preserve">A  </w:t>
      </w:r>
      <w:r>
        <w:rPr>
          <w:rFonts w:hint="default" w:ascii="Times New Roman" w:hAnsi="Times New Roman" w:cs="Times New Roman"/>
          <w:color w:val="auto"/>
          <w:lang w:val="en-US" w:eastAsia="zh-CN"/>
        </w:rPr>
        <w:t>工业</w:t>
      </w:r>
      <w:r>
        <w:rPr>
          <w:rFonts w:hint="default" w:ascii="Times New Roman" w:hAnsi="Times New Roman" w:cs="Times New Roman"/>
          <w:color w:val="auto"/>
          <w:lang w:eastAsia="zh-CN"/>
        </w:rPr>
        <w:t>建筑可靠性鉴定委托书</w:t>
      </w:r>
      <w:r>
        <w:rPr>
          <w:rFonts w:hint="eastAsia"/>
          <w:color w:val="auto"/>
          <w:lang w:val="en-US" w:eastAsia="zh-CN"/>
        </w:rPr>
        <w:t>（样板）</w:t>
      </w:r>
      <w:r>
        <w:rPr>
          <w:color w:val="auto"/>
        </w:rPr>
        <w:tab/>
      </w:r>
      <w:r>
        <w:rPr>
          <w:color w:val="auto"/>
        </w:rPr>
        <w:fldChar w:fldCharType="begin"/>
      </w:r>
      <w:r>
        <w:rPr>
          <w:color w:val="auto"/>
        </w:rPr>
        <w:instrText xml:space="preserve"> PAGEREF _Toc15632 \h </w:instrText>
      </w:r>
      <w:r>
        <w:rPr>
          <w:color w:val="auto"/>
        </w:rPr>
        <w:fldChar w:fldCharType="separate"/>
      </w:r>
      <w:r>
        <w:rPr>
          <w:color w:val="auto"/>
        </w:rPr>
        <w:t>36</w:t>
      </w:r>
      <w:r>
        <w:rPr>
          <w:color w:val="auto"/>
        </w:rPr>
        <w:fldChar w:fldCharType="end"/>
      </w:r>
      <w:r>
        <w:rPr>
          <w:rFonts w:hint="default" w:ascii="Times New Roman" w:hAnsi="Times New Roman" w:eastAsia="宋体" w:cs="Times New Roman"/>
          <w:color w:val="auto"/>
          <w:szCs w:val="24"/>
          <w:lang w:val="en-US" w:eastAsia="zh-CN"/>
        </w:rPr>
        <w:fldChar w:fldCharType="end"/>
      </w:r>
    </w:p>
    <w:p w14:paraId="0B3058B7">
      <w:pPr>
        <w:pStyle w:val="15"/>
        <w:tabs>
          <w:tab w:val="right" w:leader="dot" w:pos="8306"/>
        </w:tabs>
        <w:rPr>
          <w:color w:val="auto"/>
        </w:rPr>
      </w:pPr>
      <w:r>
        <w:rPr>
          <w:rFonts w:hint="default" w:ascii="Times New Roman" w:hAnsi="Times New Roman" w:eastAsia="宋体" w:cs="Times New Roman"/>
          <w:color w:val="auto"/>
          <w:szCs w:val="24"/>
          <w:lang w:val="en-US" w:eastAsia="zh-CN"/>
        </w:rPr>
        <w:fldChar w:fldCharType="begin"/>
      </w:r>
      <w:r>
        <w:rPr>
          <w:rFonts w:hint="default" w:ascii="Times New Roman" w:hAnsi="Times New Roman" w:eastAsia="宋体" w:cs="Times New Roman"/>
          <w:color w:val="auto"/>
          <w:szCs w:val="24"/>
          <w:lang w:val="en-US" w:eastAsia="zh-CN"/>
        </w:rPr>
        <w:instrText xml:space="preserve"> HYPERLINK \l _Toc14798 </w:instrText>
      </w:r>
      <w:r>
        <w:rPr>
          <w:rFonts w:hint="default" w:ascii="Times New Roman" w:hAnsi="Times New Roman" w:eastAsia="宋体" w:cs="Times New Roman"/>
          <w:color w:val="auto"/>
          <w:szCs w:val="24"/>
          <w:lang w:val="en-US" w:eastAsia="zh-CN"/>
        </w:rPr>
        <w:fldChar w:fldCharType="separate"/>
      </w:r>
      <w:r>
        <w:rPr>
          <w:rFonts w:hint="default" w:ascii="Times New Roman" w:hAnsi="Times New Roman" w:cs="Times New Roman"/>
          <w:color w:val="auto"/>
          <w:lang w:val="en-US" w:eastAsia="zh-CN"/>
        </w:rPr>
        <w:t xml:space="preserve">附录B </w:t>
      </w:r>
      <w:r>
        <w:rPr>
          <w:rFonts w:hint="eastAsia" w:ascii="Times New Roman" w:hAnsi="Times New Roman" w:cs="Times New Roman"/>
          <w:color w:val="auto"/>
          <w:lang w:val="en-US" w:eastAsia="zh-CN"/>
        </w:rPr>
        <w:t xml:space="preserve"> </w:t>
      </w:r>
      <w:r>
        <w:rPr>
          <w:rFonts w:hint="default" w:ascii="Times New Roman" w:hAnsi="Times New Roman" w:cs="Times New Roman"/>
          <w:color w:val="auto"/>
          <w:lang w:val="en-US" w:eastAsia="zh-CN"/>
        </w:rPr>
        <w:t>工业建筑构件排查表</w:t>
      </w:r>
      <w:r>
        <w:rPr>
          <w:rFonts w:hint="eastAsia"/>
          <w:color w:val="auto"/>
          <w:lang w:val="en-US" w:eastAsia="zh-CN"/>
        </w:rPr>
        <w:t>（样板）</w:t>
      </w:r>
      <w:r>
        <w:rPr>
          <w:color w:val="auto"/>
        </w:rPr>
        <w:tab/>
      </w:r>
      <w:r>
        <w:rPr>
          <w:color w:val="auto"/>
        </w:rPr>
        <w:fldChar w:fldCharType="begin"/>
      </w:r>
      <w:r>
        <w:rPr>
          <w:color w:val="auto"/>
        </w:rPr>
        <w:instrText xml:space="preserve"> PAGEREF _Toc14798 \h </w:instrText>
      </w:r>
      <w:r>
        <w:rPr>
          <w:color w:val="auto"/>
        </w:rPr>
        <w:fldChar w:fldCharType="separate"/>
      </w:r>
      <w:r>
        <w:rPr>
          <w:color w:val="auto"/>
        </w:rPr>
        <w:t>37</w:t>
      </w:r>
      <w:r>
        <w:rPr>
          <w:color w:val="auto"/>
        </w:rPr>
        <w:fldChar w:fldCharType="end"/>
      </w:r>
      <w:r>
        <w:rPr>
          <w:rFonts w:hint="default" w:ascii="Times New Roman" w:hAnsi="Times New Roman" w:eastAsia="宋体" w:cs="Times New Roman"/>
          <w:color w:val="auto"/>
          <w:szCs w:val="24"/>
          <w:lang w:val="en-US" w:eastAsia="zh-CN"/>
        </w:rPr>
        <w:fldChar w:fldCharType="end"/>
      </w:r>
    </w:p>
    <w:p w14:paraId="361662D6">
      <w:pPr>
        <w:pStyle w:val="15"/>
        <w:tabs>
          <w:tab w:val="right" w:leader="dot" w:pos="8306"/>
        </w:tabs>
        <w:rPr>
          <w:color w:val="auto"/>
        </w:rPr>
      </w:pPr>
      <w:r>
        <w:rPr>
          <w:rFonts w:hint="default" w:ascii="Times New Roman" w:hAnsi="Times New Roman" w:eastAsia="宋体" w:cs="Times New Roman"/>
          <w:color w:val="auto"/>
          <w:szCs w:val="24"/>
          <w:lang w:val="en-US" w:eastAsia="zh-CN"/>
        </w:rPr>
        <w:fldChar w:fldCharType="begin"/>
      </w:r>
      <w:r>
        <w:rPr>
          <w:rFonts w:hint="default" w:ascii="Times New Roman" w:hAnsi="Times New Roman" w:eastAsia="宋体" w:cs="Times New Roman"/>
          <w:color w:val="auto"/>
          <w:szCs w:val="24"/>
          <w:lang w:val="en-US" w:eastAsia="zh-CN"/>
        </w:rPr>
        <w:instrText xml:space="preserve"> HYPERLINK \l _Toc24421 </w:instrText>
      </w:r>
      <w:r>
        <w:rPr>
          <w:rFonts w:hint="default" w:ascii="Times New Roman" w:hAnsi="Times New Roman" w:eastAsia="宋体" w:cs="Times New Roman"/>
          <w:color w:val="auto"/>
          <w:szCs w:val="24"/>
          <w:lang w:val="en-US" w:eastAsia="zh-CN"/>
        </w:rPr>
        <w:fldChar w:fldCharType="separate"/>
      </w:r>
      <w:r>
        <w:rPr>
          <w:rFonts w:hint="default" w:ascii="Times New Roman" w:hAnsi="Times New Roman" w:cs="Times New Roman"/>
          <w:color w:val="auto"/>
          <w:lang w:val="en-US" w:eastAsia="zh-CN"/>
        </w:rPr>
        <w:t>附录C</w:t>
      </w:r>
      <w:r>
        <w:rPr>
          <w:rFonts w:hint="eastAsia" w:ascii="Times New Roman" w:hAnsi="Times New Roman" w:cs="Times New Roman"/>
          <w:color w:val="auto"/>
          <w:lang w:val="en-US" w:eastAsia="zh-CN"/>
        </w:rPr>
        <w:t xml:space="preserve">  </w:t>
      </w:r>
      <w:r>
        <w:rPr>
          <w:rFonts w:hint="default" w:ascii="Times New Roman" w:hAnsi="Times New Roman" w:cs="Times New Roman"/>
          <w:color w:val="auto"/>
          <w:lang w:val="en-US" w:eastAsia="zh-CN"/>
        </w:rPr>
        <w:t>建筑可靠性鉴定方案</w:t>
      </w:r>
      <w:r>
        <w:rPr>
          <w:rFonts w:hint="eastAsia" w:ascii="Times New Roman" w:hAnsi="Times New Roman" w:cs="Times New Roman"/>
          <w:color w:val="auto"/>
          <w:lang w:val="en-US" w:eastAsia="zh-CN"/>
        </w:rPr>
        <w:t>（样版）</w:t>
      </w:r>
      <w:r>
        <w:rPr>
          <w:color w:val="auto"/>
        </w:rPr>
        <w:tab/>
      </w:r>
      <w:r>
        <w:rPr>
          <w:color w:val="auto"/>
        </w:rPr>
        <w:fldChar w:fldCharType="begin"/>
      </w:r>
      <w:r>
        <w:rPr>
          <w:color w:val="auto"/>
        </w:rPr>
        <w:instrText xml:space="preserve"> PAGEREF _Toc24421 \h </w:instrText>
      </w:r>
      <w:r>
        <w:rPr>
          <w:color w:val="auto"/>
        </w:rPr>
        <w:fldChar w:fldCharType="separate"/>
      </w:r>
      <w:r>
        <w:rPr>
          <w:color w:val="auto"/>
        </w:rPr>
        <w:t>39</w:t>
      </w:r>
      <w:r>
        <w:rPr>
          <w:color w:val="auto"/>
        </w:rPr>
        <w:fldChar w:fldCharType="end"/>
      </w:r>
      <w:r>
        <w:rPr>
          <w:rFonts w:hint="default" w:ascii="Times New Roman" w:hAnsi="Times New Roman" w:eastAsia="宋体" w:cs="Times New Roman"/>
          <w:color w:val="auto"/>
          <w:szCs w:val="24"/>
          <w:lang w:val="en-US" w:eastAsia="zh-CN"/>
        </w:rPr>
        <w:fldChar w:fldCharType="end"/>
      </w:r>
    </w:p>
    <w:p w14:paraId="0A9B0BAF">
      <w:pPr>
        <w:pStyle w:val="15"/>
        <w:tabs>
          <w:tab w:val="right" w:leader="dot" w:pos="8306"/>
        </w:tabs>
        <w:rPr>
          <w:color w:val="auto"/>
        </w:rPr>
      </w:pPr>
      <w:r>
        <w:rPr>
          <w:rFonts w:hint="default" w:ascii="Times New Roman" w:hAnsi="Times New Roman" w:eastAsia="宋体" w:cs="Times New Roman"/>
          <w:color w:val="auto"/>
          <w:szCs w:val="24"/>
          <w:lang w:val="en-US" w:eastAsia="zh-CN"/>
        </w:rPr>
        <w:fldChar w:fldCharType="begin"/>
      </w:r>
      <w:r>
        <w:rPr>
          <w:rFonts w:hint="default" w:ascii="Times New Roman" w:hAnsi="Times New Roman" w:eastAsia="宋体" w:cs="Times New Roman"/>
          <w:color w:val="auto"/>
          <w:szCs w:val="24"/>
          <w:lang w:val="en-US" w:eastAsia="zh-CN"/>
        </w:rPr>
        <w:instrText xml:space="preserve"> HYPERLINK \l _Toc608 </w:instrText>
      </w:r>
      <w:r>
        <w:rPr>
          <w:rFonts w:hint="default" w:ascii="Times New Roman" w:hAnsi="Times New Roman" w:eastAsia="宋体" w:cs="Times New Roman"/>
          <w:color w:val="auto"/>
          <w:szCs w:val="24"/>
          <w:lang w:val="en-US" w:eastAsia="zh-CN"/>
        </w:rPr>
        <w:fldChar w:fldCharType="separate"/>
      </w:r>
      <w:r>
        <w:rPr>
          <w:rFonts w:hint="default"/>
          <w:color w:val="auto"/>
          <w:lang w:val="en-US" w:eastAsia="zh-CN"/>
        </w:rPr>
        <w:t>附录</w:t>
      </w:r>
      <w:r>
        <w:rPr>
          <w:rFonts w:hint="default" w:ascii="Times New Roman" w:hAnsi="Times New Roman" w:cs="Times New Roman"/>
          <w:color w:val="auto"/>
          <w:lang w:val="en-US" w:eastAsia="zh-CN"/>
        </w:rPr>
        <w:t xml:space="preserve">D </w:t>
      </w:r>
      <w:r>
        <w:rPr>
          <w:rFonts w:hint="eastAsia" w:ascii="Times New Roman" w:hAnsi="Times New Roman" w:cs="Times New Roman"/>
          <w:color w:val="auto"/>
          <w:lang w:val="en-US" w:eastAsia="zh-CN"/>
        </w:rPr>
        <w:t xml:space="preserve"> </w:t>
      </w:r>
      <w:r>
        <w:rPr>
          <w:rFonts w:hint="default"/>
          <w:color w:val="auto"/>
          <w:lang w:val="en-US" w:eastAsia="zh-CN"/>
        </w:rPr>
        <w:t>工业</w:t>
      </w:r>
      <w:r>
        <w:rPr>
          <w:rFonts w:hint="eastAsia"/>
          <w:color w:val="auto"/>
          <w:lang w:val="en-US" w:eastAsia="zh-CN"/>
        </w:rPr>
        <w:t>建筑</w:t>
      </w:r>
      <w:r>
        <w:rPr>
          <w:rFonts w:hint="default"/>
          <w:color w:val="auto"/>
          <w:lang w:val="en-US" w:eastAsia="zh-CN"/>
        </w:rPr>
        <w:t>可靠性鉴定及抗震鉴定报告</w:t>
      </w:r>
      <w:r>
        <w:rPr>
          <w:rFonts w:hint="eastAsia"/>
          <w:color w:val="auto"/>
          <w:lang w:val="en-US" w:eastAsia="zh-CN"/>
        </w:rPr>
        <w:t>（样板）</w:t>
      </w:r>
      <w:r>
        <w:rPr>
          <w:color w:val="auto"/>
        </w:rPr>
        <w:tab/>
      </w:r>
      <w:r>
        <w:rPr>
          <w:color w:val="auto"/>
        </w:rPr>
        <w:fldChar w:fldCharType="begin"/>
      </w:r>
      <w:r>
        <w:rPr>
          <w:color w:val="auto"/>
        </w:rPr>
        <w:instrText xml:space="preserve"> PAGEREF _Toc608 \h </w:instrText>
      </w:r>
      <w:r>
        <w:rPr>
          <w:color w:val="auto"/>
        </w:rPr>
        <w:fldChar w:fldCharType="separate"/>
      </w:r>
      <w:r>
        <w:rPr>
          <w:color w:val="auto"/>
        </w:rPr>
        <w:t>49</w:t>
      </w:r>
      <w:r>
        <w:rPr>
          <w:color w:val="auto"/>
        </w:rPr>
        <w:fldChar w:fldCharType="end"/>
      </w:r>
      <w:r>
        <w:rPr>
          <w:rFonts w:hint="default" w:ascii="Times New Roman" w:hAnsi="Times New Roman" w:eastAsia="宋体" w:cs="Times New Roman"/>
          <w:color w:val="auto"/>
          <w:szCs w:val="24"/>
          <w:lang w:val="en-US" w:eastAsia="zh-CN"/>
        </w:rPr>
        <w:fldChar w:fldCharType="end"/>
      </w:r>
    </w:p>
    <w:p w14:paraId="776DF6B7">
      <w:pPr>
        <w:pStyle w:val="15"/>
        <w:tabs>
          <w:tab w:val="right" w:leader="dot" w:pos="8306"/>
        </w:tabs>
        <w:rPr>
          <w:color w:val="auto"/>
        </w:rPr>
      </w:pPr>
      <w:r>
        <w:rPr>
          <w:rFonts w:hint="default" w:ascii="Times New Roman" w:hAnsi="Times New Roman" w:eastAsia="宋体" w:cs="Times New Roman"/>
          <w:color w:val="auto"/>
          <w:szCs w:val="24"/>
          <w:lang w:val="en-US" w:eastAsia="zh-CN"/>
        </w:rPr>
        <w:fldChar w:fldCharType="begin"/>
      </w:r>
      <w:r>
        <w:rPr>
          <w:rFonts w:hint="default" w:ascii="Times New Roman" w:hAnsi="Times New Roman" w:eastAsia="宋体" w:cs="Times New Roman"/>
          <w:color w:val="auto"/>
          <w:szCs w:val="24"/>
          <w:lang w:val="en-US" w:eastAsia="zh-CN"/>
        </w:rPr>
        <w:instrText xml:space="preserve"> HYPERLINK \l _Toc26782 </w:instrText>
      </w:r>
      <w:r>
        <w:rPr>
          <w:rFonts w:hint="default" w:ascii="Times New Roman" w:hAnsi="Times New Roman" w:eastAsia="宋体" w:cs="Times New Roman"/>
          <w:color w:val="auto"/>
          <w:szCs w:val="24"/>
          <w:lang w:val="en-US" w:eastAsia="zh-CN"/>
        </w:rPr>
        <w:fldChar w:fldCharType="separate"/>
      </w:r>
      <w:r>
        <w:rPr>
          <w:rFonts w:hint="default" w:ascii="Times New Roman" w:hAnsi="Times New Roman" w:cs="Times New Roman"/>
          <w:color w:val="auto"/>
          <w:lang w:val="en-US" w:eastAsia="zh-CN"/>
        </w:rPr>
        <w:t xml:space="preserve">附录E </w:t>
      </w:r>
      <w:r>
        <w:rPr>
          <w:rFonts w:hint="eastAsia" w:ascii="Times New Roman" w:hAnsi="Times New Roman" w:cs="Times New Roman"/>
          <w:color w:val="auto"/>
          <w:lang w:val="en-US" w:eastAsia="zh-CN"/>
        </w:rPr>
        <w:t xml:space="preserve"> 单层工业厂房抗震构造措施核查表（部分）</w:t>
      </w:r>
      <w:r>
        <w:rPr>
          <w:color w:val="auto"/>
        </w:rPr>
        <w:tab/>
      </w:r>
      <w:r>
        <w:rPr>
          <w:color w:val="auto"/>
        </w:rPr>
        <w:fldChar w:fldCharType="begin"/>
      </w:r>
      <w:r>
        <w:rPr>
          <w:color w:val="auto"/>
        </w:rPr>
        <w:instrText xml:space="preserve"> PAGEREF _Toc26782 \h </w:instrText>
      </w:r>
      <w:r>
        <w:rPr>
          <w:color w:val="auto"/>
        </w:rPr>
        <w:fldChar w:fldCharType="separate"/>
      </w:r>
      <w:r>
        <w:rPr>
          <w:color w:val="auto"/>
        </w:rPr>
        <w:t>77</w:t>
      </w:r>
      <w:r>
        <w:rPr>
          <w:color w:val="auto"/>
        </w:rPr>
        <w:fldChar w:fldCharType="end"/>
      </w:r>
      <w:r>
        <w:rPr>
          <w:rFonts w:hint="default" w:ascii="Times New Roman" w:hAnsi="Times New Roman" w:eastAsia="宋体" w:cs="Times New Roman"/>
          <w:color w:val="auto"/>
          <w:szCs w:val="24"/>
          <w:lang w:val="en-US" w:eastAsia="zh-CN"/>
        </w:rPr>
        <w:fldChar w:fldCharType="end"/>
      </w:r>
    </w:p>
    <w:p w14:paraId="51E3491A">
      <w:pPr>
        <w:pStyle w:val="2"/>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1"/>
        <w:rPr>
          <w:rFonts w:hint="default" w:ascii="Times New Roman" w:hAnsi="Times New Roman" w:eastAsia="宋体" w:cs="Times New Roman"/>
          <w:color w:val="auto"/>
          <w:sz w:val="24"/>
          <w:szCs w:val="24"/>
          <w:lang w:val="en-US" w:eastAsia="zh-CN"/>
        </w:rPr>
        <w:sectPr>
          <w:footerReference r:id="rId5" w:type="default"/>
          <w:pgSz w:w="11906" w:h="16838"/>
          <w:pgMar w:top="1440" w:right="1800" w:bottom="1440" w:left="1800" w:header="851" w:footer="992" w:gutter="0"/>
          <w:pgNumType w:fmt="decimal" w:start="1"/>
          <w:cols w:space="425" w:num="1"/>
          <w:docGrid w:type="lines" w:linePitch="312" w:charSpace="0"/>
        </w:sectPr>
      </w:pPr>
      <w:r>
        <w:rPr>
          <w:rFonts w:hint="default" w:ascii="Times New Roman" w:hAnsi="Times New Roman" w:eastAsia="宋体" w:cs="Times New Roman"/>
          <w:color w:val="auto"/>
          <w:szCs w:val="24"/>
          <w:lang w:val="en-US" w:eastAsia="zh-CN"/>
        </w:rPr>
        <w:fldChar w:fldCharType="end"/>
      </w:r>
    </w:p>
    <w:p w14:paraId="408A00C6">
      <w:pPr>
        <w:pStyle w:val="3"/>
        <w:keepNext/>
        <w:keepLines/>
        <w:pageBreakBefore w:val="0"/>
        <w:widowControl w:val="0"/>
        <w:kinsoku/>
        <w:wordWrap/>
        <w:overflowPunct/>
        <w:topLinePunct w:val="0"/>
        <w:autoSpaceDE/>
        <w:autoSpaceDN/>
        <w:bidi w:val="0"/>
        <w:adjustRightInd/>
        <w:snapToGrid/>
        <w:spacing w:before="120" w:after="120" w:line="360" w:lineRule="auto"/>
        <w:jc w:val="center"/>
        <w:textAlignment w:val="auto"/>
        <w:rPr>
          <w:rFonts w:hint="default" w:ascii="Times New Roman" w:hAnsi="Times New Roman" w:eastAsia="宋体" w:cs="Times New Roman"/>
          <w:color w:val="auto"/>
          <w:lang w:val="en-US" w:eastAsia="zh-CN"/>
        </w:rPr>
      </w:pPr>
      <w:bookmarkStart w:id="5" w:name="_Toc7129"/>
      <w:bookmarkStart w:id="6" w:name="_Toc23326"/>
      <w:r>
        <w:rPr>
          <w:rFonts w:hint="default" w:ascii="Times New Roman" w:hAnsi="Times New Roman" w:eastAsia="宋体" w:cs="Times New Roman"/>
          <w:color w:val="auto"/>
          <w:lang w:val="en-US" w:eastAsia="zh-CN"/>
        </w:rPr>
        <w:t xml:space="preserve">1 </w:t>
      </w:r>
      <w:r>
        <w:rPr>
          <w:rFonts w:hint="eastAsia"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lang w:val="en-US" w:eastAsia="zh-CN"/>
        </w:rPr>
        <w:t>总则</w:t>
      </w:r>
      <w:bookmarkEnd w:id="5"/>
      <w:bookmarkEnd w:id="6"/>
    </w:p>
    <w:p w14:paraId="727C996C">
      <w:pPr>
        <w:rPr>
          <w:rFonts w:hint="default" w:ascii="Times New Roman" w:hAnsi="Times New Roman" w:cs="Times New Roman"/>
          <w:color w:val="auto"/>
          <w:lang w:val="en-US" w:eastAsia="zh-CN"/>
        </w:rPr>
      </w:pPr>
    </w:p>
    <w:p w14:paraId="47C84DC1">
      <w:pPr>
        <w:keepNext w:val="0"/>
        <w:keepLines w:val="0"/>
        <w:pageBreakBefore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val="0"/>
          <w:bCs w:val="0"/>
          <w:color w:val="auto"/>
          <w:sz w:val="24"/>
          <w:szCs w:val="24"/>
          <w:lang w:val="en-US" w:eastAsia="zh-CN"/>
        </w:rPr>
        <w:t>1.0.1</w:t>
      </w:r>
      <w:r>
        <w:rPr>
          <w:rFonts w:hint="default" w:ascii="Times New Roman" w:hAnsi="Times New Roman" w:eastAsia="宋体" w:cs="Times New Roman"/>
          <w:b/>
          <w:bCs/>
          <w:color w:val="auto"/>
          <w:sz w:val="24"/>
          <w:szCs w:val="24"/>
          <w:lang w:val="en-US" w:eastAsia="zh-CN"/>
        </w:rPr>
        <w:t xml:space="preserve"> </w:t>
      </w:r>
      <w:r>
        <w:rPr>
          <w:rFonts w:hint="eastAsia"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为</w:t>
      </w:r>
      <w:r>
        <w:rPr>
          <w:rFonts w:hint="default" w:ascii="Times New Roman" w:hAnsi="Times New Roman" w:eastAsia="宋体" w:cs="Times New Roman"/>
          <w:bCs/>
          <w:color w:val="auto"/>
          <w:sz w:val="24"/>
        </w:rPr>
        <w:t>规范宜昌市既有</w:t>
      </w:r>
      <w:r>
        <w:rPr>
          <w:rFonts w:hint="default" w:ascii="Times New Roman" w:hAnsi="Times New Roman" w:eastAsia="宋体" w:cs="Times New Roman"/>
          <w:bCs/>
          <w:color w:val="auto"/>
          <w:sz w:val="24"/>
          <w:lang w:val="en-US" w:eastAsia="zh-CN"/>
        </w:rPr>
        <w:t>工业</w:t>
      </w:r>
      <w:r>
        <w:rPr>
          <w:rFonts w:hint="default" w:ascii="Times New Roman" w:hAnsi="Times New Roman" w:eastAsia="宋体" w:cs="Times New Roman"/>
          <w:bCs/>
          <w:color w:val="auto"/>
          <w:sz w:val="24"/>
        </w:rPr>
        <w:t>建筑</w:t>
      </w:r>
      <w:r>
        <w:rPr>
          <w:rFonts w:hint="default" w:ascii="Times New Roman" w:hAnsi="Times New Roman" w:eastAsia="宋体" w:cs="Times New Roman"/>
          <w:bCs/>
          <w:color w:val="auto"/>
          <w:sz w:val="24"/>
          <w:lang w:val="en-US" w:eastAsia="zh-CN"/>
        </w:rPr>
        <w:t>鉴定</w:t>
      </w:r>
      <w:r>
        <w:rPr>
          <w:rFonts w:hint="default" w:ascii="Times New Roman" w:hAnsi="Times New Roman" w:eastAsia="宋体" w:cs="Times New Roman"/>
          <w:bCs/>
          <w:color w:val="auto"/>
          <w:sz w:val="24"/>
        </w:rPr>
        <w:t>工作标准，提高</w:t>
      </w:r>
      <w:r>
        <w:rPr>
          <w:rFonts w:hint="default" w:ascii="Times New Roman" w:hAnsi="Times New Roman" w:eastAsia="宋体" w:cs="Times New Roman"/>
          <w:bCs/>
          <w:color w:val="auto"/>
          <w:sz w:val="24"/>
          <w:lang w:val="en-US" w:eastAsia="zh-CN"/>
        </w:rPr>
        <w:t>鉴定</w:t>
      </w:r>
      <w:r>
        <w:rPr>
          <w:rFonts w:hint="default" w:ascii="Times New Roman" w:hAnsi="Times New Roman" w:eastAsia="宋体" w:cs="Times New Roman"/>
          <w:bCs/>
          <w:color w:val="auto"/>
          <w:sz w:val="24"/>
        </w:rPr>
        <w:t>工作质量</w:t>
      </w:r>
      <w:r>
        <w:rPr>
          <w:rFonts w:hint="default" w:ascii="Times New Roman" w:hAnsi="Times New Roman" w:eastAsia="宋体" w:cs="Times New Roman"/>
          <w:color w:val="auto"/>
          <w:sz w:val="24"/>
          <w:szCs w:val="24"/>
          <w:lang w:val="en-US" w:eastAsia="zh-CN"/>
        </w:rPr>
        <w:t>，加强对既有工业建筑的安全与合理使用的技术管理，根据《既有建筑鉴定与加固通用规范》</w:t>
      </w:r>
      <w:r>
        <w:rPr>
          <w:rFonts w:hint="eastAsia" w:ascii="Times New Roman" w:hAnsi="Times New Roman" w:eastAsia="宋体" w:cs="Times New Roman"/>
          <w:color w:val="auto"/>
          <w:sz w:val="24"/>
          <w:szCs w:val="24"/>
          <w:lang w:val="en-US" w:eastAsia="zh-CN"/>
        </w:rPr>
        <w:t>GB 55021、</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工业</w:t>
      </w:r>
      <w:r>
        <w:rPr>
          <w:rFonts w:hint="default" w:ascii="Times New Roman" w:hAnsi="Times New Roman" w:eastAsia="宋体" w:cs="Times New Roman"/>
          <w:color w:val="auto"/>
          <w:sz w:val="24"/>
          <w:szCs w:val="24"/>
          <w:lang w:val="en-US" w:eastAsia="zh-CN"/>
        </w:rPr>
        <w:t>建筑可靠性鉴定标准》GB 50</w:t>
      </w:r>
      <w:r>
        <w:rPr>
          <w:rFonts w:hint="eastAsia" w:ascii="Times New Roman" w:hAnsi="Times New Roman" w:eastAsia="宋体" w:cs="Times New Roman"/>
          <w:color w:val="auto"/>
          <w:sz w:val="24"/>
          <w:szCs w:val="24"/>
          <w:lang w:val="en-US" w:eastAsia="zh-CN"/>
        </w:rPr>
        <w:t>144、《建筑抗震鉴定标准》GB5 0023</w:t>
      </w:r>
      <w:r>
        <w:rPr>
          <w:rFonts w:hint="default" w:ascii="Times New Roman" w:hAnsi="Times New Roman" w:eastAsia="宋体" w:cs="Times New Roman"/>
          <w:color w:val="auto"/>
          <w:sz w:val="24"/>
          <w:szCs w:val="24"/>
          <w:lang w:val="en-US" w:eastAsia="zh-CN"/>
        </w:rPr>
        <w:t>等相关标准、规范，制定本导则</w:t>
      </w:r>
      <w:r>
        <w:rPr>
          <w:rFonts w:hint="default" w:ascii="Times New Roman" w:hAnsi="Times New Roman" w:eastAsia="宋体" w:cs="Times New Roman"/>
          <w:color w:val="auto"/>
          <w:sz w:val="24"/>
          <w:szCs w:val="24"/>
        </w:rPr>
        <w:t>。</w:t>
      </w:r>
    </w:p>
    <w:p w14:paraId="172F8093">
      <w:pPr>
        <w:keepNext w:val="0"/>
        <w:keepLines w:val="0"/>
        <w:pageBreakBefore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1.0.2</w:t>
      </w:r>
      <w:r>
        <w:rPr>
          <w:rFonts w:hint="default" w:ascii="Times New Roman" w:hAnsi="Times New Roman" w:eastAsia="宋体" w:cs="Times New Roman"/>
          <w:b/>
          <w:bCs/>
          <w:color w:val="auto"/>
          <w:sz w:val="24"/>
          <w:szCs w:val="24"/>
          <w:lang w:val="en-US" w:eastAsia="zh-CN"/>
        </w:rPr>
        <w:t xml:space="preserve"> </w:t>
      </w:r>
      <w:r>
        <w:rPr>
          <w:rFonts w:hint="eastAsia"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本导则适用于宜昌市行政区域内</w:t>
      </w:r>
      <w:r>
        <w:rPr>
          <w:rFonts w:hint="eastAsia" w:ascii="Times New Roman" w:hAnsi="Times New Roman" w:eastAsia="宋体" w:cs="Times New Roman"/>
          <w:color w:val="auto"/>
          <w:sz w:val="24"/>
          <w:szCs w:val="24"/>
          <w:lang w:val="en-US" w:eastAsia="zh-CN"/>
        </w:rPr>
        <w:t>常用门式刚架、排架结构、混凝土框架</w:t>
      </w:r>
      <w:r>
        <w:rPr>
          <w:rFonts w:hint="default" w:ascii="Times New Roman" w:hAnsi="Times New Roman" w:eastAsia="宋体" w:cs="Times New Roman"/>
          <w:color w:val="auto"/>
          <w:sz w:val="24"/>
          <w:szCs w:val="24"/>
          <w:lang w:val="en-US" w:eastAsia="zh-CN"/>
        </w:rPr>
        <w:t>的可靠性</w:t>
      </w:r>
      <w:r>
        <w:rPr>
          <w:rFonts w:hint="eastAsia" w:ascii="Times New Roman" w:hAnsi="Times New Roman" w:eastAsia="宋体" w:cs="Times New Roman"/>
          <w:color w:val="auto"/>
          <w:sz w:val="24"/>
          <w:szCs w:val="24"/>
          <w:lang w:val="en-US" w:eastAsia="zh-CN"/>
        </w:rPr>
        <w:t>和抗震</w:t>
      </w:r>
      <w:r>
        <w:rPr>
          <w:rFonts w:hint="default" w:ascii="Times New Roman" w:hAnsi="Times New Roman" w:eastAsia="宋体" w:cs="Times New Roman"/>
          <w:color w:val="auto"/>
          <w:sz w:val="24"/>
          <w:szCs w:val="24"/>
          <w:lang w:val="en-US" w:eastAsia="zh-CN"/>
        </w:rPr>
        <w:t>鉴定</w:t>
      </w:r>
      <w:r>
        <w:rPr>
          <w:rFonts w:hint="default" w:ascii="Times New Roman" w:hAnsi="Times New Roman" w:eastAsia="宋体" w:cs="Times New Roman"/>
          <w:color w:val="auto"/>
          <w:sz w:val="24"/>
          <w:szCs w:val="24"/>
          <w:lang w:eastAsia="zh-CN"/>
        </w:rPr>
        <w:t>。</w:t>
      </w:r>
    </w:p>
    <w:p w14:paraId="7EC92B2F">
      <w:pPr>
        <w:keepNext w:val="0"/>
        <w:keepLines w:val="0"/>
        <w:pageBreakBefore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color w:val="auto"/>
          <w:lang w:val="en-US" w:eastAsia="zh-CN"/>
        </w:rPr>
        <w:sectPr>
          <w:footerReference r:id="rId6" w:type="default"/>
          <w:pgSz w:w="11906" w:h="16838"/>
          <w:pgMar w:top="1440" w:right="1800" w:bottom="1440" w:left="1800" w:header="851" w:footer="992" w:gutter="0"/>
          <w:pgNumType w:fmt="decimal"/>
          <w:cols w:space="425" w:num="1"/>
          <w:docGrid w:type="lines" w:linePitch="312" w:charSpace="0"/>
        </w:sectPr>
      </w:pPr>
      <w:r>
        <w:rPr>
          <w:rFonts w:hint="default" w:ascii="Times New Roman" w:hAnsi="Times New Roman" w:eastAsia="宋体" w:cs="Times New Roman"/>
          <w:b w:val="0"/>
          <w:bCs w:val="0"/>
          <w:color w:val="auto"/>
          <w:sz w:val="24"/>
          <w:szCs w:val="24"/>
          <w:lang w:val="en-US" w:eastAsia="zh-CN"/>
        </w:rPr>
        <w:t>1.0.</w:t>
      </w:r>
      <w:r>
        <w:rPr>
          <w:rFonts w:hint="eastAsia" w:ascii="Times New Roman" w:hAnsi="Times New Roman" w:eastAsia="宋体" w:cs="Times New Roman"/>
          <w:b w:val="0"/>
          <w:bCs w:val="0"/>
          <w:color w:val="auto"/>
          <w:sz w:val="24"/>
          <w:szCs w:val="24"/>
          <w:lang w:val="en-US" w:eastAsia="zh-CN"/>
        </w:rPr>
        <w:t>3</w:t>
      </w:r>
      <w:r>
        <w:rPr>
          <w:rFonts w:hint="default" w:ascii="Times New Roman" w:hAnsi="Times New Roman" w:eastAsia="宋体" w:cs="Times New Roman"/>
          <w:b/>
          <w:bCs/>
          <w:color w:val="auto"/>
          <w:sz w:val="24"/>
          <w:szCs w:val="24"/>
          <w:lang w:val="en-US" w:eastAsia="zh-CN"/>
        </w:rPr>
        <w:t xml:space="preserve"> </w:t>
      </w:r>
      <w:r>
        <w:rPr>
          <w:rFonts w:hint="eastAsia"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宜昌市行政区域内</w:t>
      </w:r>
      <w:r>
        <w:rPr>
          <w:rFonts w:hint="eastAsia" w:ascii="Times New Roman" w:hAnsi="Times New Roman" w:eastAsia="宋体" w:cs="Times New Roman"/>
          <w:color w:val="auto"/>
          <w:sz w:val="24"/>
          <w:szCs w:val="24"/>
          <w:lang w:val="en-US" w:eastAsia="zh-CN"/>
        </w:rPr>
        <w:t>既有工业</w:t>
      </w:r>
      <w:r>
        <w:rPr>
          <w:rFonts w:hint="default" w:ascii="Times New Roman" w:hAnsi="Times New Roman" w:eastAsia="宋体" w:cs="Times New Roman"/>
          <w:color w:val="auto"/>
          <w:sz w:val="24"/>
          <w:szCs w:val="24"/>
          <w:lang w:val="en-US" w:eastAsia="zh-CN"/>
        </w:rPr>
        <w:t>建筑可靠性</w:t>
      </w:r>
      <w:r>
        <w:rPr>
          <w:rFonts w:hint="eastAsia" w:ascii="Times New Roman" w:hAnsi="Times New Roman" w:eastAsia="宋体" w:cs="Times New Roman"/>
          <w:color w:val="auto"/>
          <w:sz w:val="24"/>
          <w:szCs w:val="24"/>
          <w:lang w:val="en-US" w:eastAsia="zh-CN"/>
        </w:rPr>
        <w:t>和抗震</w:t>
      </w:r>
      <w:r>
        <w:rPr>
          <w:rFonts w:hint="default" w:ascii="Times New Roman" w:hAnsi="Times New Roman" w:eastAsia="宋体" w:cs="Times New Roman"/>
          <w:color w:val="auto"/>
          <w:sz w:val="24"/>
          <w:szCs w:val="24"/>
          <w:lang w:val="en-US" w:eastAsia="zh-CN"/>
        </w:rPr>
        <w:t>鉴定，除应符合本标准的要求外，尚应符合国家、行业及湖北省现行有关标准的规定。</w:t>
      </w:r>
    </w:p>
    <w:p w14:paraId="32DC1236">
      <w:pPr>
        <w:pStyle w:val="3"/>
        <w:bidi w:val="0"/>
        <w:jc w:val="center"/>
        <w:rPr>
          <w:rFonts w:hint="default" w:ascii="Times New Roman" w:hAnsi="Times New Roman" w:eastAsia="宋体" w:cs="Times New Roman"/>
          <w:b/>
          <w:bCs/>
          <w:color w:val="auto"/>
          <w:sz w:val="44"/>
          <w:szCs w:val="44"/>
          <w:lang w:val="en-US" w:eastAsia="zh-CN"/>
        </w:rPr>
      </w:pPr>
      <w:bookmarkStart w:id="7" w:name="_Toc17804"/>
      <w:bookmarkStart w:id="8" w:name="_Toc21573"/>
      <w:r>
        <w:rPr>
          <w:rFonts w:hint="default" w:ascii="Times New Roman" w:hAnsi="Times New Roman" w:eastAsia="宋体" w:cs="Times New Roman"/>
          <w:color w:val="auto"/>
          <w:lang w:val="en-US" w:eastAsia="zh-CN"/>
        </w:rPr>
        <w:t xml:space="preserve">2 </w:t>
      </w:r>
      <w:r>
        <w:rPr>
          <w:rFonts w:hint="eastAsia"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lang w:val="en-US" w:eastAsia="zh-CN"/>
        </w:rPr>
        <w:t>术语</w:t>
      </w:r>
      <w:bookmarkEnd w:id="7"/>
      <w:bookmarkEnd w:id="8"/>
    </w:p>
    <w:p w14:paraId="1180A17A">
      <w:pPr>
        <w:keepNext w:val="0"/>
        <w:keepLines w:val="0"/>
        <w:pageBreakBefore w:val="0"/>
        <w:kinsoku/>
        <w:wordWrap/>
        <w:overflowPunct/>
        <w:topLinePunct w:val="0"/>
        <w:autoSpaceDE/>
        <w:autoSpaceDN/>
        <w:bidi w:val="0"/>
        <w:spacing w:line="360" w:lineRule="auto"/>
        <w:jc w:val="both"/>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 xml:space="preserve">2.0.1 </w:t>
      </w:r>
      <w:r>
        <w:rPr>
          <w:rFonts w:hint="eastAsia" w:ascii="Times New Roman" w:hAnsi="Times New Roman" w:eastAsia="宋体" w:cs="Times New Roman"/>
          <w:b w:val="0"/>
          <w:bCs w:val="0"/>
          <w:color w:val="auto"/>
          <w:sz w:val="24"/>
          <w:szCs w:val="24"/>
          <w:lang w:val="en-US" w:eastAsia="zh-CN"/>
        </w:rPr>
        <w:t xml:space="preserve"> </w:t>
      </w:r>
      <w:r>
        <w:rPr>
          <w:rFonts w:hint="default" w:ascii="Times New Roman" w:hAnsi="Times New Roman" w:eastAsia="宋体" w:cs="Times New Roman"/>
          <w:b w:val="0"/>
          <w:bCs w:val="0"/>
          <w:color w:val="auto"/>
          <w:sz w:val="24"/>
          <w:szCs w:val="24"/>
          <w:lang w:val="en-US" w:eastAsia="zh-CN"/>
        </w:rPr>
        <w:t>既有工业建筑</w:t>
      </w:r>
    </w:p>
    <w:p w14:paraId="7960A37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已建成投入使用的，为工业生产服务的建筑物或构筑物</w:t>
      </w:r>
      <w:r>
        <w:rPr>
          <w:rFonts w:hint="default" w:ascii="Times New Roman" w:hAnsi="Times New Roman" w:eastAsia="宋体" w:cs="Times New Roman"/>
          <w:b w:val="0"/>
          <w:bCs w:val="0"/>
          <w:color w:val="auto"/>
          <w:sz w:val="24"/>
          <w:szCs w:val="24"/>
          <w:lang w:val="en-US" w:eastAsia="zh-CN"/>
        </w:rPr>
        <w:t>。</w:t>
      </w:r>
    </w:p>
    <w:p w14:paraId="4DFD7406">
      <w:pPr>
        <w:keepNext w:val="0"/>
        <w:keepLines w:val="0"/>
        <w:pageBreakBefore w:val="0"/>
        <w:kinsoku/>
        <w:wordWrap/>
        <w:overflowPunct/>
        <w:topLinePunct w:val="0"/>
        <w:autoSpaceDE/>
        <w:autoSpaceDN/>
        <w:bidi w:val="0"/>
        <w:spacing w:line="360" w:lineRule="auto"/>
        <w:jc w:val="both"/>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 xml:space="preserve">2.0.2 </w:t>
      </w:r>
      <w:r>
        <w:rPr>
          <w:rFonts w:hint="eastAsia" w:ascii="Times New Roman" w:hAnsi="Times New Roman" w:eastAsia="宋体" w:cs="Times New Roman"/>
          <w:b w:val="0"/>
          <w:bCs w:val="0"/>
          <w:color w:val="auto"/>
          <w:sz w:val="24"/>
          <w:szCs w:val="24"/>
          <w:lang w:val="en-US" w:eastAsia="zh-CN"/>
        </w:rPr>
        <w:t xml:space="preserve"> 可靠性鉴定</w:t>
      </w:r>
    </w:p>
    <w:p w14:paraId="208026A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对既有工业建筑的安全性、正常使用性（包括适用性和耐久性）所进行的调查、检测、分析验算和评定等一系列活动</w:t>
      </w:r>
      <w:r>
        <w:rPr>
          <w:rFonts w:hint="default" w:ascii="Times New Roman" w:hAnsi="Times New Roman" w:eastAsia="宋体" w:cs="Times New Roman"/>
          <w:b w:val="0"/>
          <w:bCs w:val="0"/>
          <w:color w:val="auto"/>
          <w:sz w:val="24"/>
          <w:szCs w:val="24"/>
          <w:lang w:val="en-US" w:eastAsia="zh-CN"/>
        </w:rPr>
        <w:t>。</w:t>
      </w:r>
    </w:p>
    <w:p w14:paraId="72290748">
      <w:pPr>
        <w:keepNext w:val="0"/>
        <w:keepLines w:val="0"/>
        <w:pageBreakBefore w:val="0"/>
        <w:kinsoku/>
        <w:wordWrap/>
        <w:overflowPunct/>
        <w:topLinePunct w:val="0"/>
        <w:autoSpaceDE/>
        <w:autoSpaceDN/>
        <w:bidi w:val="0"/>
        <w:spacing w:line="360" w:lineRule="auto"/>
        <w:jc w:val="both"/>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 xml:space="preserve">2.0.3 </w:t>
      </w:r>
      <w:r>
        <w:rPr>
          <w:rFonts w:hint="eastAsia" w:ascii="Times New Roman" w:hAnsi="Times New Roman" w:eastAsia="宋体" w:cs="Times New Roman"/>
          <w:b w:val="0"/>
          <w:bCs w:val="0"/>
          <w:color w:val="auto"/>
          <w:sz w:val="24"/>
          <w:szCs w:val="24"/>
          <w:lang w:val="en-US" w:eastAsia="zh-CN"/>
        </w:rPr>
        <w:t xml:space="preserve"> 抗震鉴定</w:t>
      </w:r>
    </w:p>
    <w:p w14:paraId="3C72399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通过检查既有房屋的设计、施工质量和现状，按规定的抗震设防要求，对其在地震作用下的安全性进行评估。</w:t>
      </w:r>
    </w:p>
    <w:p w14:paraId="7B6D4A10">
      <w:pPr>
        <w:keepNext w:val="0"/>
        <w:keepLines w:val="0"/>
        <w:pageBreakBefore w:val="0"/>
        <w:kinsoku/>
        <w:wordWrap/>
        <w:overflowPunct/>
        <w:topLinePunct w:val="0"/>
        <w:autoSpaceDE/>
        <w:autoSpaceDN/>
        <w:bidi w:val="0"/>
        <w:spacing w:line="360" w:lineRule="auto"/>
        <w:jc w:val="both"/>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2.0.</w:t>
      </w:r>
      <w:r>
        <w:rPr>
          <w:rFonts w:hint="eastAsia" w:ascii="Times New Roman" w:hAnsi="Times New Roman" w:eastAsia="宋体" w:cs="Times New Roman"/>
          <w:b w:val="0"/>
          <w:bCs w:val="0"/>
          <w:color w:val="auto"/>
          <w:sz w:val="24"/>
          <w:szCs w:val="24"/>
          <w:lang w:val="en-US" w:eastAsia="zh-CN"/>
        </w:rPr>
        <w:t>4</w:t>
      </w:r>
      <w:r>
        <w:rPr>
          <w:rFonts w:hint="default" w:ascii="Times New Roman" w:hAnsi="Times New Roman" w:eastAsia="宋体" w:cs="Times New Roman"/>
          <w:b w:val="0"/>
          <w:bCs w:val="0"/>
          <w:color w:val="auto"/>
          <w:sz w:val="24"/>
          <w:szCs w:val="24"/>
          <w:lang w:val="en-US" w:eastAsia="zh-CN"/>
        </w:rPr>
        <w:t xml:space="preserve"> </w:t>
      </w:r>
      <w:r>
        <w:rPr>
          <w:rFonts w:hint="eastAsia" w:ascii="Times New Roman" w:hAnsi="Times New Roman" w:eastAsia="宋体" w:cs="Times New Roman"/>
          <w:b w:val="0"/>
          <w:bCs w:val="0"/>
          <w:color w:val="auto"/>
          <w:sz w:val="24"/>
          <w:szCs w:val="24"/>
          <w:lang w:val="en-US" w:eastAsia="zh-CN"/>
        </w:rPr>
        <w:t xml:space="preserve"> </w:t>
      </w:r>
      <w:r>
        <w:rPr>
          <w:rFonts w:hint="default" w:ascii="Times New Roman" w:hAnsi="Times New Roman" w:eastAsia="宋体" w:cs="Times New Roman"/>
          <w:b w:val="0"/>
          <w:bCs w:val="0"/>
          <w:color w:val="auto"/>
          <w:sz w:val="24"/>
          <w:szCs w:val="24"/>
          <w:lang w:val="en-US" w:eastAsia="zh-CN"/>
        </w:rPr>
        <w:t>抗震构造措施</w:t>
      </w:r>
    </w:p>
    <w:p w14:paraId="2FC890E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根据抗震概念设计原则，一般不需计算而对结构和非结构各部分必须采取的各种细部要求。</w:t>
      </w:r>
    </w:p>
    <w:p w14:paraId="350DE3CC">
      <w:pPr>
        <w:keepNext w:val="0"/>
        <w:keepLines w:val="0"/>
        <w:pageBreakBefore w:val="0"/>
        <w:kinsoku/>
        <w:wordWrap/>
        <w:overflowPunct/>
        <w:topLinePunct w:val="0"/>
        <w:autoSpaceDE/>
        <w:autoSpaceDN/>
        <w:bidi w:val="0"/>
        <w:spacing w:line="360" w:lineRule="auto"/>
        <w:jc w:val="both"/>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2.0.</w:t>
      </w:r>
      <w:r>
        <w:rPr>
          <w:rFonts w:hint="eastAsia" w:ascii="Times New Roman" w:hAnsi="Times New Roman" w:eastAsia="宋体" w:cs="Times New Roman"/>
          <w:b w:val="0"/>
          <w:bCs w:val="0"/>
          <w:color w:val="auto"/>
          <w:sz w:val="24"/>
          <w:szCs w:val="24"/>
          <w:lang w:val="en-US" w:eastAsia="zh-CN"/>
        </w:rPr>
        <w:t>5</w:t>
      </w:r>
      <w:r>
        <w:rPr>
          <w:rFonts w:hint="default" w:ascii="Times New Roman" w:hAnsi="Times New Roman" w:eastAsia="宋体" w:cs="Times New Roman"/>
          <w:b w:val="0"/>
          <w:bCs w:val="0"/>
          <w:color w:val="auto"/>
          <w:sz w:val="24"/>
          <w:szCs w:val="24"/>
          <w:lang w:val="en-US" w:eastAsia="zh-CN"/>
        </w:rPr>
        <w:t xml:space="preserve"> </w:t>
      </w:r>
      <w:r>
        <w:rPr>
          <w:rFonts w:hint="eastAsia" w:ascii="Times New Roman" w:hAnsi="Times New Roman" w:eastAsia="宋体" w:cs="Times New Roman"/>
          <w:b w:val="0"/>
          <w:bCs w:val="0"/>
          <w:color w:val="auto"/>
          <w:sz w:val="24"/>
          <w:szCs w:val="24"/>
          <w:lang w:val="en-US" w:eastAsia="zh-CN"/>
        </w:rPr>
        <w:t xml:space="preserve"> </w:t>
      </w:r>
      <w:r>
        <w:rPr>
          <w:rFonts w:hint="default" w:ascii="Times New Roman" w:hAnsi="Times New Roman" w:eastAsia="宋体" w:cs="Times New Roman"/>
          <w:b w:val="0"/>
          <w:bCs w:val="0"/>
          <w:color w:val="auto"/>
          <w:sz w:val="24"/>
          <w:szCs w:val="24"/>
          <w:lang w:val="en-US" w:eastAsia="zh-CN"/>
        </w:rPr>
        <w:t>构件的承载能力</w:t>
      </w:r>
      <w:r>
        <w:rPr>
          <w:rFonts w:hint="default" w:ascii="Times New Roman" w:hAnsi="Times New Roman" w:eastAsia="宋体" w:cs="Times New Roman"/>
          <w:b w:val="0"/>
          <w:bCs w:val="0"/>
          <w:color w:val="auto"/>
          <w:sz w:val="24"/>
          <w:szCs w:val="24"/>
          <w:lang w:val="en-US" w:eastAsia="zh-CN"/>
        </w:rPr>
        <w:tab/>
      </w:r>
    </w:p>
    <w:p w14:paraId="65A62EC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构件满足强度、刚度和稳定性要求的能力。</w:t>
      </w:r>
    </w:p>
    <w:p w14:paraId="29159819">
      <w:pPr>
        <w:keepNext w:val="0"/>
        <w:keepLines w:val="0"/>
        <w:pageBreakBefore w:val="0"/>
        <w:kinsoku/>
        <w:wordWrap/>
        <w:overflowPunct/>
        <w:topLinePunct w:val="0"/>
        <w:autoSpaceDE/>
        <w:autoSpaceDN/>
        <w:bidi w:val="0"/>
        <w:spacing w:line="360" w:lineRule="auto"/>
        <w:jc w:val="both"/>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2.0.6</w:t>
      </w:r>
      <w:r>
        <w:rPr>
          <w:rFonts w:hint="default" w:ascii="Times New Roman" w:hAnsi="Times New Roman" w:eastAsia="宋体" w:cs="Times New Roman"/>
          <w:b w:val="0"/>
          <w:bCs w:val="0"/>
          <w:color w:val="auto"/>
          <w:sz w:val="24"/>
          <w:szCs w:val="24"/>
          <w:lang w:val="en-US" w:eastAsia="zh-CN"/>
        </w:rPr>
        <w:t xml:space="preserve"> </w:t>
      </w:r>
      <w:r>
        <w:rPr>
          <w:rFonts w:hint="eastAsia" w:ascii="Times New Roman" w:hAnsi="Times New Roman" w:eastAsia="宋体" w:cs="Times New Roman"/>
          <w:b w:val="0"/>
          <w:bCs w:val="0"/>
          <w:color w:val="auto"/>
          <w:sz w:val="24"/>
          <w:szCs w:val="24"/>
          <w:lang w:val="en-US" w:eastAsia="zh-CN"/>
        </w:rPr>
        <w:t xml:space="preserve"> </w:t>
      </w:r>
      <w:r>
        <w:rPr>
          <w:rFonts w:hint="default" w:ascii="Times New Roman" w:hAnsi="Times New Roman" w:eastAsia="宋体" w:cs="Times New Roman"/>
          <w:b w:val="0"/>
          <w:bCs w:val="0"/>
          <w:color w:val="auto"/>
          <w:sz w:val="24"/>
          <w:szCs w:val="24"/>
          <w:lang w:val="en-US" w:eastAsia="zh-CN"/>
        </w:rPr>
        <w:t>目标使用年限</w:t>
      </w:r>
    </w:p>
    <w:p w14:paraId="657B4A1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既有工业建筑鉴定时</w:t>
      </w:r>
      <w:r>
        <w:rPr>
          <w:rFonts w:hint="default" w:ascii="Times New Roman" w:hAnsi="Times New Roman" w:eastAsia="宋体" w:cs="Times New Roman"/>
          <w:color w:val="auto"/>
          <w:sz w:val="24"/>
          <w:szCs w:val="24"/>
        </w:rPr>
        <w:t>所期望的</w:t>
      </w:r>
      <w:r>
        <w:rPr>
          <w:rFonts w:hint="eastAsia" w:ascii="Times New Roman" w:hAnsi="Times New Roman" w:eastAsia="宋体" w:cs="Times New Roman"/>
          <w:color w:val="auto"/>
          <w:sz w:val="24"/>
          <w:szCs w:val="24"/>
          <w:lang w:val="en-US" w:eastAsia="zh-CN"/>
        </w:rPr>
        <w:t>工作</w:t>
      </w:r>
      <w:r>
        <w:rPr>
          <w:rFonts w:hint="default" w:ascii="Times New Roman" w:hAnsi="Times New Roman" w:eastAsia="宋体" w:cs="Times New Roman"/>
          <w:color w:val="auto"/>
          <w:sz w:val="24"/>
          <w:szCs w:val="24"/>
        </w:rPr>
        <w:t>年限。</w:t>
      </w:r>
    </w:p>
    <w:p w14:paraId="1FDA657A">
      <w:pPr>
        <w:keepNext w:val="0"/>
        <w:keepLines w:val="0"/>
        <w:pageBreakBefore w:val="0"/>
        <w:kinsoku/>
        <w:wordWrap/>
        <w:overflowPunct/>
        <w:topLinePunct w:val="0"/>
        <w:autoSpaceDE/>
        <w:autoSpaceDN/>
        <w:bidi w:val="0"/>
        <w:spacing w:line="360" w:lineRule="auto"/>
        <w:jc w:val="both"/>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2.0.7  剩余设计工作年限</w:t>
      </w:r>
    </w:p>
    <w:p w14:paraId="51DED00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设计工作年限期满时间和鉴定报告生效时间之间的差值。</w:t>
      </w:r>
    </w:p>
    <w:p w14:paraId="74B9F784">
      <w:pPr>
        <w:keepNext w:val="0"/>
        <w:keepLines w:val="0"/>
        <w:pageBreakBefore w:val="0"/>
        <w:kinsoku/>
        <w:wordWrap/>
        <w:overflowPunct/>
        <w:topLinePunct w:val="0"/>
        <w:autoSpaceDE/>
        <w:autoSpaceDN/>
        <w:bidi w:val="0"/>
        <w:spacing w:line="360" w:lineRule="auto"/>
        <w:jc w:val="both"/>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2.0.8  后续工作年限</w:t>
      </w:r>
    </w:p>
    <w:p w14:paraId="0FC06F36">
      <w:pPr>
        <w:keepNext w:val="0"/>
        <w:keepLines w:val="0"/>
        <w:pageBreakBefore w:val="0"/>
        <w:kinsoku/>
        <w:wordWrap/>
        <w:overflowPunct/>
        <w:topLinePunct w:val="0"/>
        <w:autoSpaceDE/>
        <w:autoSpaceDN/>
        <w:bidi w:val="0"/>
        <w:spacing w:line="360" w:lineRule="auto"/>
        <w:ind w:firstLine="480" w:firstLineChars="200"/>
        <w:jc w:val="both"/>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既有工业建筑按鉴定标准进行抗震鉴定后继续使用所约定的一个时期，在这个时期内，建筑不需要重新鉴定和相应加固就能按预期目的使用、完成预定的功能。</w:t>
      </w:r>
    </w:p>
    <w:p w14:paraId="4D531301">
      <w:pPr>
        <w:keepNext w:val="0"/>
        <w:keepLines w:val="0"/>
        <w:pageBreakBefore w:val="0"/>
        <w:kinsoku/>
        <w:wordWrap/>
        <w:overflowPunct/>
        <w:topLinePunct w:val="0"/>
        <w:autoSpaceDE/>
        <w:autoSpaceDN/>
        <w:bidi w:val="0"/>
        <w:spacing w:line="360" w:lineRule="auto"/>
        <w:jc w:val="both"/>
        <w:rPr>
          <w:rFonts w:hint="default" w:ascii="Times New Roman" w:hAnsi="Times New Roman" w:eastAsia="宋体" w:cs="Times New Roman"/>
          <w:color w:val="auto"/>
          <w:lang w:val="en-US" w:eastAsia="zh-CN"/>
        </w:rPr>
        <w:sectPr>
          <w:pgSz w:w="11906" w:h="16838"/>
          <w:pgMar w:top="1440" w:right="1800" w:bottom="1440" w:left="1800" w:header="851" w:footer="992" w:gutter="0"/>
          <w:pgNumType w:fmt="decimal"/>
          <w:cols w:space="425" w:num="1"/>
          <w:docGrid w:type="lines" w:linePitch="312" w:charSpace="0"/>
        </w:sectPr>
      </w:pPr>
    </w:p>
    <w:p w14:paraId="70C74405">
      <w:pPr>
        <w:pStyle w:val="3"/>
        <w:keepNext/>
        <w:keepLines/>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color w:val="auto"/>
          <w:sz w:val="24"/>
          <w:szCs w:val="24"/>
          <w:lang w:val="en-US" w:eastAsia="zh-CN"/>
        </w:rPr>
      </w:pPr>
      <w:bookmarkStart w:id="9" w:name="_Toc11873"/>
      <w:bookmarkStart w:id="10" w:name="_Toc9514"/>
      <w:r>
        <w:rPr>
          <w:rFonts w:hint="default" w:ascii="Times New Roman" w:hAnsi="Times New Roman" w:eastAsia="宋体" w:cs="Times New Roman"/>
          <w:color w:val="auto"/>
          <w:lang w:val="en-US" w:eastAsia="zh-CN"/>
        </w:rPr>
        <w:t xml:space="preserve">3 </w:t>
      </w:r>
      <w:r>
        <w:rPr>
          <w:rFonts w:hint="eastAsia"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lang w:val="en-US" w:eastAsia="zh-CN"/>
        </w:rPr>
        <w:t>基本规定</w:t>
      </w:r>
      <w:bookmarkEnd w:id="9"/>
      <w:bookmarkEnd w:id="10"/>
    </w:p>
    <w:p w14:paraId="1D65D0F1">
      <w:pPr>
        <w:pStyle w:val="4"/>
        <w:keepNext/>
        <w:keepLines/>
        <w:pageBreakBefore w:val="0"/>
        <w:widowControl w:val="0"/>
        <w:kinsoku/>
        <w:wordWrap/>
        <w:overflowPunct/>
        <w:topLinePunct w:val="0"/>
        <w:autoSpaceDE/>
        <w:autoSpaceDN/>
        <w:bidi w:val="0"/>
        <w:adjustRightInd/>
        <w:snapToGrid/>
        <w:spacing w:before="120" w:after="120" w:line="360" w:lineRule="auto"/>
        <w:jc w:val="center"/>
        <w:textAlignment w:val="auto"/>
        <w:rPr>
          <w:rFonts w:hint="default" w:ascii="Times New Roman" w:hAnsi="Times New Roman" w:eastAsia="宋体" w:cs="Times New Roman"/>
          <w:color w:val="auto"/>
          <w:sz w:val="28"/>
          <w:szCs w:val="28"/>
          <w:lang w:val="en-US" w:eastAsia="zh-CN"/>
        </w:rPr>
      </w:pPr>
      <w:bookmarkStart w:id="11" w:name="_Toc22621"/>
      <w:r>
        <w:rPr>
          <w:rFonts w:hint="default" w:ascii="Times New Roman" w:hAnsi="Times New Roman" w:eastAsia="宋体" w:cs="Times New Roman"/>
          <w:color w:val="auto"/>
          <w:sz w:val="28"/>
          <w:szCs w:val="28"/>
          <w:lang w:val="en-US" w:eastAsia="zh-CN"/>
        </w:rPr>
        <w:t xml:space="preserve">3.1 </w:t>
      </w:r>
      <w:r>
        <w:rPr>
          <w:rFonts w:hint="eastAsia" w:ascii="Times New Roman" w:hAnsi="Times New Roman" w:eastAsia="宋体" w:cs="Times New Roman"/>
          <w:color w:val="auto"/>
          <w:sz w:val="28"/>
          <w:szCs w:val="28"/>
          <w:lang w:val="en-US" w:eastAsia="zh-CN"/>
        </w:rPr>
        <w:t xml:space="preserve"> </w:t>
      </w:r>
      <w:r>
        <w:rPr>
          <w:rFonts w:hint="default" w:ascii="Times New Roman" w:hAnsi="Times New Roman" w:eastAsia="宋体" w:cs="Times New Roman"/>
          <w:color w:val="auto"/>
          <w:sz w:val="28"/>
          <w:szCs w:val="28"/>
          <w:lang w:val="en-US" w:eastAsia="zh-CN"/>
        </w:rPr>
        <w:t>一般规定</w:t>
      </w:r>
      <w:bookmarkEnd w:id="11"/>
    </w:p>
    <w:p w14:paraId="1E4CD2FE">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3.1.</w:t>
      </w:r>
      <w:r>
        <w:rPr>
          <w:rFonts w:hint="default" w:ascii="Times New Roman" w:hAnsi="Times New Roman" w:eastAsia="宋体" w:cs="Times New Roman"/>
          <w:color w:val="auto"/>
          <w:sz w:val="24"/>
          <w:szCs w:val="24"/>
          <w:lang w:val="en-US" w:eastAsia="zh-CN"/>
        </w:rPr>
        <w:t xml:space="preserve">1  </w:t>
      </w:r>
      <w:r>
        <w:rPr>
          <w:rFonts w:hint="eastAsia" w:ascii="Times New Roman" w:hAnsi="Times New Roman" w:eastAsia="宋体" w:cs="Times New Roman"/>
          <w:color w:val="auto"/>
          <w:sz w:val="24"/>
          <w:szCs w:val="24"/>
          <w:lang w:val="en-US" w:eastAsia="zh-CN"/>
        </w:rPr>
        <w:t>既有工业</w:t>
      </w:r>
      <w:r>
        <w:rPr>
          <w:rFonts w:hint="default" w:ascii="Times New Roman" w:hAnsi="Times New Roman" w:eastAsia="宋体" w:cs="Times New Roman"/>
          <w:color w:val="auto"/>
          <w:sz w:val="24"/>
          <w:szCs w:val="24"/>
          <w:lang w:val="en-US" w:eastAsia="zh-CN"/>
        </w:rPr>
        <w:t>建筑</w:t>
      </w:r>
      <w:r>
        <w:rPr>
          <w:rFonts w:hint="eastAsia" w:ascii="Times New Roman" w:hAnsi="Times New Roman" w:eastAsia="宋体" w:cs="Times New Roman"/>
          <w:color w:val="auto"/>
          <w:sz w:val="24"/>
          <w:szCs w:val="24"/>
          <w:lang w:val="en-US" w:eastAsia="zh-CN"/>
        </w:rPr>
        <w:t>可靠性鉴定应符合</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工业</w:t>
      </w:r>
      <w:r>
        <w:rPr>
          <w:rFonts w:hint="default" w:ascii="Times New Roman" w:hAnsi="Times New Roman" w:eastAsia="宋体" w:cs="Times New Roman"/>
          <w:color w:val="auto"/>
          <w:sz w:val="24"/>
          <w:szCs w:val="24"/>
          <w:lang w:val="en-US" w:eastAsia="zh-CN"/>
        </w:rPr>
        <w:t>建筑可靠性鉴定标准》</w:t>
      </w:r>
      <w:r>
        <w:rPr>
          <w:rFonts w:hint="eastAsia" w:ascii="Times New Roman" w:hAnsi="Times New Roman" w:eastAsia="宋体" w:cs="Times New Roman"/>
          <w:color w:val="auto"/>
          <w:sz w:val="24"/>
          <w:szCs w:val="24"/>
          <w:lang w:val="en-US" w:eastAsia="zh-CN"/>
        </w:rPr>
        <w:t>第3.1节规定。有</w:t>
      </w:r>
      <w:r>
        <w:rPr>
          <w:rFonts w:hint="default" w:ascii="Times New Roman" w:hAnsi="Times New Roman" w:eastAsia="宋体" w:cs="Times New Roman"/>
          <w:color w:val="auto"/>
          <w:sz w:val="24"/>
          <w:szCs w:val="24"/>
        </w:rPr>
        <w:t>下列情形之一的，</w:t>
      </w:r>
      <w:r>
        <w:rPr>
          <w:rFonts w:hint="default" w:ascii="Times New Roman" w:hAnsi="Times New Roman" w:eastAsia="宋体" w:cs="Times New Roman"/>
          <w:color w:val="auto"/>
          <w:sz w:val="24"/>
          <w:szCs w:val="24"/>
          <w:lang w:val="en-US" w:eastAsia="zh-CN"/>
        </w:rPr>
        <w:t>可依据本导则进行</w:t>
      </w:r>
      <w:r>
        <w:rPr>
          <w:rFonts w:hint="default" w:ascii="Times New Roman" w:hAnsi="Times New Roman" w:eastAsia="宋体" w:cs="Times New Roman"/>
          <w:color w:val="auto"/>
          <w:sz w:val="24"/>
          <w:szCs w:val="24"/>
        </w:rPr>
        <w:t>可靠性鉴定：</w:t>
      </w:r>
    </w:p>
    <w:p w14:paraId="5A7F21EA">
      <w:pPr>
        <w:keepNext w:val="0"/>
        <w:keepLines w:val="0"/>
        <w:pageBreakBefore w:val="0"/>
        <w:widowControl w:val="0"/>
        <w:numPr>
          <w:ilvl w:val="0"/>
          <w:numId w:val="0"/>
        </w:numPr>
        <w:kinsoku/>
        <w:wordWrap/>
        <w:overflowPunct/>
        <w:topLinePunct w:val="0"/>
        <w:autoSpaceDE/>
        <w:autoSpaceDN/>
        <w:bidi w:val="0"/>
        <w:spacing w:line="360" w:lineRule="auto"/>
        <w:ind w:left="0" w:leftChars="0" w:firstLine="420" w:firstLineChars="175"/>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 xml:space="preserve">1  </w:t>
      </w:r>
      <w:r>
        <w:rPr>
          <w:rFonts w:hint="default" w:ascii="Times New Roman" w:hAnsi="Times New Roman" w:eastAsia="宋体" w:cs="Times New Roman"/>
          <w:color w:val="auto"/>
          <w:sz w:val="24"/>
          <w:szCs w:val="24"/>
          <w:lang w:val="en-US" w:eastAsia="zh-CN"/>
        </w:rPr>
        <w:t>在</w:t>
      </w:r>
      <w:r>
        <w:rPr>
          <w:rFonts w:hint="eastAsia" w:ascii="Times New Roman" w:hAnsi="Times New Roman" w:eastAsia="宋体" w:cs="Times New Roman"/>
          <w:color w:val="auto"/>
          <w:sz w:val="24"/>
          <w:szCs w:val="24"/>
          <w:lang w:val="en-US" w:eastAsia="zh-CN"/>
        </w:rPr>
        <w:t>主体结构</w:t>
      </w:r>
      <w:r>
        <w:rPr>
          <w:rFonts w:hint="default" w:ascii="Times New Roman" w:hAnsi="Times New Roman" w:eastAsia="宋体" w:cs="Times New Roman"/>
          <w:color w:val="auto"/>
          <w:sz w:val="24"/>
          <w:szCs w:val="24"/>
          <w:lang w:val="en-US" w:eastAsia="zh-CN"/>
        </w:rPr>
        <w:t>上增设大型广告牌、</w:t>
      </w:r>
      <w:r>
        <w:rPr>
          <w:rFonts w:hint="eastAsia" w:ascii="Times New Roman" w:hAnsi="Times New Roman" w:eastAsia="宋体" w:cs="Times New Roman"/>
          <w:color w:val="auto"/>
          <w:sz w:val="24"/>
          <w:szCs w:val="24"/>
          <w:lang w:val="en-US" w:eastAsia="zh-CN"/>
        </w:rPr>
        <w:t>太阳能采光板、</w:t>
      </w:r>
      <w:r>
        <w:rPr>
          <w:rFonts w:hint="default" w:ascii="Times New Roman" w:hAnsi="Times New Roman" w:eastAsia="宋体" w:cs="Times New Roman"/>
          <w:color w:val="auto"/>
          <w:sz w:val="24"/>
          <w:szCs w:val="24"/>
          <w:lang w:val="en-US" w:eastAsia="zh-CN"/>
        </w:rPr>
        <w:t>水箱等设施设备的</w:t>
      </w:r>
      <w:r>
        <w:rPr>
          <w:rFonts w:hint="eastAsia" w:ascii="Times New Roman" w:hAnsi="Times New Roman" w:eastAsia="宋体" w:cs="Times New Roman"/>
          <w:color w:val="auto"/>
          <w:sz w:val="24"/>
          <w:szCs w:val="24"/>
          <w:lang w:val="en-US" w:eastAsia="zh-CN"/>
        </w:rPr>
        <w:t>，增加荷载超过原设计的；</w:t>
      </w:r>
    </w:p>
    <w:p w14:paraId="3CE6C2FB">
      <w:pPr>
        <w:keepNext w:val="0"/>
        <w:keepLines w:val="0"/>
        <w:pageBreakBefore w:val="0"/>
        <w:widowControl w:val="0"/>
        <w:numPr>
          <w:ilvl w:val="0"/>
          <w:numId w:val="0"/>
        </w:numPr>
        <w:kinsoku/>
        <w:wordWrap/>
        <w:overflowPunct/>
        <w:topLinePunct w:val="0"/>
        <w:autoSpaceDE/>
        <w:autoSpaceDN/>
        <w:bidi w:val="0"/>
        <w:spacing w:line="360" w:lineRule="auto"/>
        <w:ind w:left="0" w:leftChars="0" w:firstLine="420" w:firstLineChars="175"/>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 xml:space="preserve">2  </w:t>
      </w:r>
      <w:r>
        <w:rPr>
          <w:rFonts w:hint="default" w:ascii="Times New Roman" w:hAnsi="Times New Roman" w:eastAsia="宋体" w:cs="Times New Roman"/>
          <w:color w:val="auto"/>
          <w:sz w:val="24"/>
          <w:szCs w:val="24"/>
          <w:lang w:val="en-US" w:eastAsia="zh-CN"/>
        </w:rPr>
        <w:t>因施工影响、堆物、撞击等行为，导致</w:t>
      </w:r>
      <w:r>
        <w:rPr>
          <w:rFonts w:hint="eastAsia" w:ascii="Times New Roman" w:hAnsi="Times New Roman" w:eastAsia="宋体" w:cs="Times New Roman"/>
          <w:color w:val="auto"/>
          <w:sz w:val="24"/>
          <w:szCs w:val="24"/>
          <w:lang w:val="en-US" w:eastAsia="zh-CN"/>
        </w:rPr>
        <w:t>主体结构</w:t>
      </w:r>
      <w:r>
        <w:rPr>
          <w:rFonts w:hint="default" w:ascii="Times New Roman" w:hAnsi="Times New Roman" w:eastAsia="宋体" w:cs="Times New Roman"/>
          <w:color w:val="auto"/>
          <w:sz w:val="24"/>
          <w:szCs w:val="24"/>
          <w:lang w:val="en-US" w:eastAsia="zh-CN"/>
        </w:rPr>
        <w:t>出现裂缝、变形、不均匀沉降等现象，需要继续使用的</w:t>
      </w:r>
      <w:r>
        <w:rPr>
          <w:rFonts w:hint="eastAsia" w:ascii="Times New Roman" w:hAnsi="Times New Roman" w:eastAsia="宋体" w:cs="Times New Roman"/>
          <w:color w:val="auto"/>
          <w:sz w:val="24"/>
          <w:szCs w:val="24"/>
          <w:lang w:val="en-US" w:eastAsia="zh-CN"/>
        </w:rPr>
        <w:t>。</w:t>
      </w:r>
    </w:p>
    <w:p w14:paraId="171A7385">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color w:val="auto"/>
          <w:sz w:val="24"/>
          <w:szCs w:val="24"/>
          <w:lang w:val="en-US" w:eastAsia="zh-CN"/>
        </w:rPr>
        <w:t>3.1.2  既有工业</w:t>
      </w:r>
      <w:r>
        <w:rPr>
          <w:rFonts w:hint="default" w:ascii="Times New Roman" w:hAnsi="Times New Roman" w:eastAsia="宋体" w:cs="Times New Roman"/>
          <w:color w:val="auto"/>
          <w:sz w:val="24"/>
          <w:szCs w:val="24"/>
          <w:lang w:val="en-US" w:eastAsia="zh-CN"/>
        </w:rPr>
        <w:t>建筑</w:t>
      </w:r>
      <w:r>
        <w:rPr>
          <w:rFonts w:hint="eastAsia" w:ascii="Times New Roman" w:hAnsi="Times New Roman" w:eastAsia="宋体" w:cs="Times New Roman"/>
          <w:color w:val="auto"/>
          <w:sz w:val="24"/>
          <w:szCs w:val="24"/>
          <w:lang w:val="en-US" w:eastAsia="zh-CN"/>
        </w:rPr>
        <w:t>抗震鉴定应符合</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建筑抗震</w:t>
      </w:r>
      <w:r>
        <w:rPr>
          <w:rFonts w:hint="default" w:ascii="Times New Roman" w:hAnsi="Times New Roman" w:eastAsia="宋体" w:cs="Times New Roman"/>
          <w:color w:val="auto"/>
          <w:sz w:val="24"/>
          <w:szCs w:val="24"/>
          <w:lang w:val="en-US" w:eastAsia="zh-CN"/>
        </w:rPr>
        <w:t>鉴定标准》</w:t>
      </w:r>
      <w:r>
        <w:rPr>
          <w:rFonts w:hint="eastAsia" w:ascii="Times New Roman" w:hAnsi="Times New Roman" w:eastAsia="宋体" w:cs="Times New Roman"/>
          <w:color w:val="auto"/>
          <w:sz w:val="24"/>
          <w:szCs w:val="24"/>
          <w:lang w:val="en-US" w:eastAsia="zh-CN"/>
        </w:rPr>
        <w:t>第1.0.6条规定。当存在《抗震减灾法》(2018年3月1日施行)、《建设工程抗震管理条例》(2021年9月1日施行)等相关文件中要求进行抗震鉴定情形的</w:t>
      </w:r>
      <w:r>
        <w:rPr>
          <w:rFonts w:hint="default" w:ascii="Times New Roman" w:hAnsi="Times New Roman" w:eastAsia="宋体" w:cs="Times New Roman"/>
          <w:color w:val="auto"/>
          <w:sz w:val="24"/>
          <w:szCs w:val="24"/>
          <w:lang w:val="en-US" w:eastAsia="zh-CN"/>
        </w:rPr>
        <w:t>，可依据本导则进行</w:t>
      </w:r>
      <w:r>
        <w:rPr>
          <w:rFonts w:hint="eastAsia" w:ascii="Times New Roman" w:hAnsi="Times New Roman" w:eastAsia="宋体" w:cs="Times New Roman"/>
          <w:color w:val="auto"/>
          <w:sz w:val="24"/>
          <w:szCs w:val="24"/>
          <w:lang w:val="en-US" w:eastAsia="zh-CN"/>
        </w:rPr>
        <w:t>抗震</w:t>
      </w:r>
      <w:r>
        <w:rPr>
          <w:rFonts w:hint="default" w:ascii="Times New Roman" w:hAnsi="Times New Roman" w:eastAsia="宋体" w:cs="Times New Roman"/>
          <w:color w:val="auto"/>
          <w:sz w:val="24"/>
          <w:szCs w:val="24"/>
          <w:lang w:val="en-US" w:eastAsia="zh-CN"/>
        </w:rPr>
        <w:t>性鉴定</w:t>
      </w:r>
      <w:r>
        <w:rPr>
          <w:rFonts w:hint="eastAsia" w:ascii="Times New Roman" w:hAnsi="Times New Roman" w:eastAsia="宋体" w:cs="Times New Roman"/>
          <w:color w:val="auto"/>
          <w:sz w:val="24"/>
          <w:szCs w:val="24"/>
          <w:lang w:val="en-US" w:eastAsia="zh-CN"/>
        </w:rPr>
        <w:t>。</w:t>
      </w:r>
    </w:p>
    <w:p w14:paraId="57E5D98D">
      <w:pPr>
        <w:pStyle w:val="4"/>
        <w:keepNext/>
        <w:keepLines/>
        <w:pageBreakBefore w:val="0"/>
        <w:widowControl w:val="0"/>
        <w:kinsoku/>
        <w:wordWrap/>
        <w:overflowPunct/>
        <w:topLinePunct w:val="0"/>
        <w:autoSpaceDE/>
        <w:autoSpaceDN/>
        <w:bidi w:val="0"/>
        <w:adjustRightInd/>
        <w:snapToGrid/>
        <w:spacing w:before="120" w:after="120" w:line="360" w:lineRule="auto"/>
        <w:jc w:val="center"/>
        <w:textAlignment w:val="auto"/>
        <w:rPr>
          <w:rFonts w:hint="eastAsia" w:ascii="Times New Roman" w:hAnsi="Times New Roman" w:eastAsia="宋体" w:cs="Times New Roman"/>
          <w:color w:val="auto"/>
          <w:sz w:val="28"/>
          <w:szCs w:val="28"/>
          <w:lang w:val="en-US" w:eastAsia="zh-CN"/>
        </w:rPr>
      </w:pPr>
      <w:bookmarkStart w:id="12" w:name="_Toc31823"/>
      <w:r>
        <w:rPr>
          <w:rFonts w:hint="eastAsia" w:ascii="Times New Roman" w:hAnsi="Times New Roman" w:eastAsia="宋体" w:cs="Times New Roman"/>
          <w:color w:val="auto"/>
          <w:sz w:val="28"/>
          <w:szCs w:val="28"/>
          <w:lang w:val="en-US" w:eastAsia="zh-CN"/>
        </w:rPr>
        <w:t>3.2  鉴定机构和从业人员要求</w:t>
      </w:r>
      <w:bookmarkEnd w:id="12"/>
    </w:p>
    <w:p w14:paraId="03DF43C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imes New Roman" w:hAnsi="Times New Roman" w:cs="Times New Roman" w:eastAsiaTheme="minorEastAsia"/>
          <w:color w:val="auto"/>
          <w:sz w:val="24"/>
          <w:szCs w:val="24"/>
          <w:lang w:eastAsia="zh-CN"/>
        </w:rPr>
      </w:pPr>
      <w:r>
        <w:rPr>
          <w:rFonts w:hint="eastAsia" w:ascii="Times New Roman" w:hAnsi="Times New Roman" w:cs="Times New Roman"/>
          <w:color w:val="auto"/>
          <w:sz w:val="24"/>
          <w:szCs w:val="24"/>
          <w:lang w:val="en-US" w:eastAsia="zh-CN"/>
        </w:rPr>
        <w:t xml:space="preserve">3.2.1  </w:t>
      </w:r>
      <w:r>
        <w:rPr>
          <w:rFonts w:hint="default" w:ascii="Times New Roman" w:hAnsi="Times New Roman" w:cs="Times New Roman"/>
          <w:color w:val="auto"/>
          <w:sz w:val="24"/>
          <w:szCs w:val="24"/>
        </w:rPr>
        <w:t>鉴定机构的基本要求</w:t>
      </w:r>
      <w:r>
        <w:rPr>
          <w:rFonts w:hint="eastAsia" w:ascii="Times New Roman" w:hAnsi="Times New Roman" w:cs="Times New Roman"/>
          <w:color w:val="auto"/>
          <w:sz w:val="24"/>
          <w:szCs w:val="24"/>
          <w:lang w:eastAsia="zh-CN"/>
        </w:rPr>
        <w:t>：</w:t>
      </w:r>
    </w:p>
    <w:p w14:paraId="644C0146">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175"/>
        <w:jc w:val="left"/>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 xml:space="preserve">1  </w:t>
      </w:r>
      <w:r>
        <w:rPr>
          <w:rFonts w:hint="eastAsia" w:ascii="Times New Roman" w:hAnsi="Times New Roman" w:cs="Times New Roman"/>
          <w:color w:val="auto"/>
          <w:sz w:val="24"/>
          <w:szCs w:val="24"/>
          <w:highlight w:val="none"/>
          <w:lang w:val="en-US" w:eastAsia="zh-CN"/>
        </w:rPr>
        <w:t>鉴定机构应</w:t>
      </w:r>
      <w:r>
        <w:rPr>
          <w:rFonts w:hint="eastAsia" w:ascii="Times New Roman" w:hAnsi="Times New Roman" w:cs="Times New Roman"/>
          <w:color w:val="auto"/>
          <w:sz w:val="24"/>
          <w:szCs w:val="24"/>
          <w:lang w:val="en-US" w:eastAsia="zh-CN"/>
        </w:rPr>
        <w:t>当具备现场调查、检测、分析、验算和评定能力。</w:t>
      </w:r>
    </w:p>
    <w:p w14:paraId="1C5ECA9A">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175"/>
        <w:jc w:val="left"/>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2  可由具有建筑工程结构实体检测专项资质的建设工程质量检测机构承担，应同时具备</w:t>
      </w:r>
      <w:r>
        <w:rPr>
          <w:rFonts w:hint="default" w:ascii="Times New Roman" w:hAnsi="Times New Roman" w:cs="Times New Roman"/>
          <w:color w:val="auto"/>
          <w:sz w:val="24"/>
          <w:szCs w:val="24"/>
          <w:lang w:val="en-US" w:eastAsia="zh-CN"/>
        </w:rPr>
        <w:t>地基基础工程、主体结构工程</w:t>
      </w:r>
      <w:r>
        <w:rPr>
          <w:rFonts w:hint="eastAsia" w:ascii="Times New Roman" w:hAnsi="Times New Roman" w:cs="Times New Roman"/>
          <w:color w:val="auto"/>
          <w:sz w:val="24"/>
          <w:szCs w:val="24"/>
          <w:lang w:val="en-US" w:eastAsia="zh-CN"/>
        </w:rPr>
        <w:t>专项检测</w:t>
      </w:r>
      <w:r>
        <w:rPr>
          <w:rFonts w:hint="default" w:ascii="Times New Roman" w:hAnsi="Times New Roman" w:cs="Times New Roman"/>
          <w:color w:val="auto"/>
          <w:sz w:val="24"/>
          <w:szCs w:val="24"/>
          <w:lang w:val="en-US" w:eastAsia="zh-CN"/>
        </w:rPr>
        <w:t>资质</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涉及钢结构工程</w:t>
      </w:r>
      <w:r>
        <w:rPr>
          <w:rFonts w:hint="eastAsia" w:ascii="Times New Roman" w:hAnsi="Times New Roman" w:cs="Times New Roman"/>
          <w:color w:val="auto"/>
          <w:sz w:val="24"/>
          <w:szCs w:val="24"/>
          <w:lang w:val="en-US" w:eastAsia="zh-CN"/>
        </w:rPr>
        <w:t>的，还应具备钢结构工程专项检测资质；开展</w:t>
      </w:r>
      <w:r>
        <w:rPr>
          <w:rFonts w:hint="default" w:ascii="Times New Roman" w:hAnsi="Times New Roman" w:cs="Times New Roman"/>
          <w:color w:val="auto"/>
          <w:sz w:val="24"/>
          <w:szCs w:val="24"/>
          <w:lang w:val="en-US" w:eastAsia="zh-CN"/>
        </w:rPr>
        <w:t>建筑幕墙</w:t>
      </w:r>
      <w:r>
        <w:rPr>
          <w:rFonts w:hint="eastAsia" w:ascii="Times New Roman" w:hAnsi="Times New Roman" w:cs="Times New Roman"/>
          <w:color w:val="auto"/>
          <w:sz w:val="24"/>
          <w:szCs w:val="24"/>
          <w:lang w:val="en-US" w:eastAsia="zh-CN"/>
        </w:rPr>
        <w:t>专项鉴定的</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可仅</w:t>
      </w:r>
      <w:r>
        <w:rPr>
          <w:rFonts w:hint="default" w:ascii="Times New Roman" w:hAnsi="Times New Roman" w:cs="Times New Roman"/>
          <w:color w:val="auto"/>
          <w:sz w:val="24"/>
          <w:szCs w:val="24"/>
          <w:lang w:val="en-US" w:eastAsia="zh-CN"/>
        </w:rPr>
        <w:t>具备建筑幕墙</w:t>
      </w:r>
      <w:r>
        <w:rPr>
          <w:rFonts w:hint="eastAsia" w:ascii="Times New Roman" w:hAnsi="Times New Roman" w:cs="Times New Roman"/>
          <w:color w:val="auto"/>
          <w:sz w:val="24"/>
          <w:szCs w:val="24"/>
          <w:lang w:val="en-US" w:eastAsia="zh-CN"/>
        </w:rPr>
        <w:t>专项</w:t>
      </w:r>
      <w:r>
        <w:rPr>
          <w:rFonts w:hint="default" w:ascii="Times New Roman" w:hAnsi="Times New Roman" w:cs="Times New Roman"/>
          <w:color w:val="auto"/>
          <w:sz w:val="24"/>
          <w:szCs w:val="24"/>
          <w:lang w:val="en-US" w:eastAsia="zh-CN"/>
        </w:rPr>
        <w:t>检测资质。</w:t>
      </w:r>
    </w:p>
    <w:p w14:paraId="167ABA1A">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175"/>
        <w:jc w:val="left"/>
        <w:textAlignment w:val="auto"/>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val="en-US" w:eastAsia="zh-CN"/>
        </w:rPr>
        <w:t>3  当检测机构的</w:t>
      </w:r>
      <w:r>
        <w:rPr>
          <w:rFonts w:hint="default" w:ascii="Times New Roman" w:hAnsi="Times New Roman" w:cs="Times New Roman"/>
          <w:color w:val="auto"/>
          <w:sz w:val="24"/>
          <w:szCs w:val="24"/>
        </w:rPr>
        <w:t>岩土工程勘察</w:t>
      </w:r>
      <w:r>
        <w:rPr>
          <w:rFonts w:hint="eastAsia" w:ascii="Times New Roman" w:hAnsi="Times New Roman" w:cs="Times New Roman"/>
          <w:color w:val="auto"/>
          <w:sz w:val="24"/>
          <w:szCs w:val="24"/>
          <w:lang w:eastAsia="zh-CN"/>
        </w:rPr>
        <w:t>或设计验算能力不足时，可委托</w:t>
      </w:r>
      <w:r>
        <w:rPr>
          <w:rFonts w:hint="default" w:ascii="Times New Roman" w:hAnsi="Times New Roman" w:cs="Times New Roman"/>
          <w:color w:val="auto"/>
          <w:sz w:val="24"/>
          <w:szCs w:val="24"/>
        </w:rPr>
        <w:t>岩土工程勘察</w:t>
      </w:r>
      <w:r>
        <w:rPr>
          <w:rFonts w:hint="eastAsia" w:ascii="Times New Roman" w:hAnsi="Times New Roman" w:cs="Times New Roman"/>
          <w:color w:val="auto"/>
          <w:sz w:val="24"/>
          <w:szCs w:val="24"/>
          <w:lang w:eastAsia="zh-CN"/>
        </w:rPr>
        <w:t>或结构设计单位实施相应工作。</w:t>
      </w:r>
    </w:p>
    <w:p w14:paraId="51DA6274">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175"/>
        <w:jc w:val="left"/>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4  检测机构应按照湖北省住建厅的《关于加强建设工程质量检测机构和人员管理的通知》（鄂建办﹝2016﹞299号）的规定，进行信息登记</w:t>
      </w:r>
      <w:r>
        <w:rPr>
          <w:rFonts w:hint="default" w:ascii="Times New Roman" w:hAnsi="Times New Roman" w:cs="Times New Roman"/>
          <w:color w:val="auto"/>
          <w:sz w:val="24"/>
          <w:szCs w:val="24"/>
          <w:lang w:val="en-US" w:eastAsia="zh-CN"/>
        </w:rPr>
        <w:t>。</w:t>
      </w:r>
    </w:p>
    <w:p w14:paraId="6FB798D1">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175"/>
        <w:jc w:val="left"/>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lang w:val="en-US" w:eastAsia="zh-CN"/>
        </w:rPr>
        <w:t>5  鼓励建筑工程设计单位和具有相应专项资质的建设工程质量检测机构组成联合体，开展鉴定</w:t>
      </w:r>
      <w:r>
        <w:rPr>
          <w:rFonts w:hint="eastAsia" w:ascii="Times New Roman" w:hAnsi="Times New Roman" w:cs="Times New Roman"/>
          <w:color w:val="auto"/>
          <w:sz w:val="24"/>
          <w:szCs w:val="24"/>
          <w:highlight w:val="none"/>
          <w:lang w:val="en-US" w:eastAsia="zh-CN"/>
        </w:rPr>
        <w:t>业务。</w:t>
      </w:r>
    </w:p>
    <w:p w14:paraId="2BB7F369">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175"/>
        <w:jc w:val="left"/>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 xml:space="preserve">6  </w:t>
      </w:r>
      <w:r>
        <w:rPr>
          <w:rFonts w:hint="default" w:ascii="Times New Roman" w:hAnsi="Times New Roman" w:cs="Times New Roman"/>
          <w:color w:val="auto"/>
          <w:sz w:val="24"/>
          <w:szCs w:val="24"/>
          <w:highlight w:val="none"/>
        </w:rPr>
        <w:t>鉴定机构不得转包</w:t>
      </w:r>
      <w:r>
        <w:rPr>
          <w:rFonts w:hint="eastAsia" w:ascii="Times New Roman" w:hAnsi="Times New Roman" w:cs="Times New Roman"/>
          <w:color w:val="auto"/>
          <w:sz w:val="24"/>
          <w:szCs w:val="24"/>
          <w:highlight w:val="none"/>
          <w:lang w:val="en-US" w:eastAsia="zh-CN"/>
        </w:rPr>
        <w:t>鉴定</w:t>
      </w:r>
      <w:r>
        <w:rPr>
          <w:rFonts w:hint="default" w:ascii="Times New Roman" w:hAnsi="Times New Roman" w:cs="Times New Roman"/>
          <w:color w:val="auto"/>
          <w:sz w:val="24"/>
          <w:szCs w:val="24"/>
          <w:highlight w:val="none"/>
        </w:rPr>
        <w:t>业务</w:t>
      </w:r>
      <w:r>
        <w:rPr>
          <w:rFonts w:hint="eastAsia" w:ascii="Times New Roman" w:hAnsi="Times New Roman" w:cs="Times New Roman"/>
          <w:color w:val="auto"/>
          <w:sz w:val="24"/>
          <w:szCs w:val="24"/>
          <w:highlight w:val="none"/>
          <w:lang w:eastAsia="zh-CN"/>
        </w:rPr>
        <w:t>。</w:t>
      </w:r>
    </w:p>
    <w:p w14:paraId="6EC174B5">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imes New Roman" w:hAnsi="Times New Roman" w:cs="Times New Roman" w:eastAsiaTheme="minorEastAsia"/>
          <w:color w:val="auto"/>
          <w:sz w:val="24"/>
          <w:szCs w:val="24"/>
          <w:lang w:eastAsia="zh-CN"/>
        </w:rPr>
      </w:pPr>
      <w:r>
        <w:rPr>
          <w:rFonts w:hint="default" w:ascii="Times New Roman" w:hAnsi="Times New Roman" w:cs="Times New Roman"/>
          <w:color w:val="auto"/>
          <w:sz w:val="24"/>
          <w:szCs w:val="24"/>
        </w:rPr>
        <w:t>3.2.</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 xml:space="preserve">  鉴定</w:t>
      </w:r>
      <w:r>
        <w:rPr>
          <w:rFonts w:hint="eastAsia" w:ascii="Times New Roman" w:hAnsi="Times New Roman" w:cs="Times New Roman"/>
          <w:color w:val="auto"/>
          <w:sz w:val="24"/>
          <w:szCs w:val="24"/>
          <w:lang w:eastAsia="zh-CN"/>
        </w:rPr>
        <w:t>从业人员</w:t>
      </w:r>
      <w:r>
        <w:rPr>
          <w:rFonts w:hint="default" w:ascii="Times New Roman" w:hAnsi="Times New Roman" w:cs="Times New Roman"/>
          <w:color w:val="auto"/>
          <w:sz w:val="24"/>
          <w:szCs w:val="24"/>
        </w:rPr>
        <w:t>的基本要求</w:t>
      </w:r>
      <w:r>
        <w:rPr>
          <w:rFonts w:hint="eastAsia" w:ascii="Times New Roman" w:hAnsi="Times New Roman" w:cs="Times New Roman"/>
          <w:color w:val="auto"/>
          <w:sz w:val="24"/>
          <w:szCs w:val="24"/>
          <w:lang w:eastAsia="zh-CN"/>
        </w:rPr>
        <w:t>：</w:t>
      </w:r>
    </w:p>
    <w:p w14:paraId="1C80E57D">
      <w:pPr>
        <w:spacing w:line="360" w:lineRule="auto"/>
        <w:ind w:left="0" w:leftChars="0" w:firstLine="638" w:firstLineChars="266"/>
        <w:jc w:val="left"/>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eastAsia="zh-CN"/>
        </w:rPr>
        <w:t xml:space="preserve">1  </w:t>
      </w:r>
      <w:r>
        <w:rPr>
          <w:rFonts w:hint="default" w:ascii="Times New Roman" w:hAnsi="Times New Roman" w:cs="Times New Roman"/>
          <w:color w:val="auto"/>
          <w:sz w:val="24"/>
          <w:szCs w:val="24"/>
          <w:highlight w:val="none"/>
        </w:rPr>
        <w:t>房屋安全鉴定</w:t>
      </w:r>
      <w:r>
        <w:rPr>
          <w:rFonts w:hint="eastAsia" w:ascii="Times New Roman" w:hAnsi="Times New Roman" w:cs="Times New Roman"/>
          <w:color w:val="auto"/>
          <w:sz w:val="24"/>
          <w:szCs w:val="24"/>
          <w:highlight w:val="none"/>
          <w:lang w:val="en-US" w:eastAsia="zh-CN"/>
        </w:rPr>
        <w:t>机构中</w:t>
      </w:r>
      <w:r>
        <w:rPr>
          <w:rFonts w:hint="default" w:ascii="Times New Roman" w:hAnsi="Times New Roman" w:cs="Times New Roman"/>
          <w:color w:val="auto"/>
          <w:sz w:val="24"/>
          <w:szCs w:val="24"/>
          <w:highlight w:val="none"/>
        </w:rPr>
        <w:t>具备建筑工程及相关专业大专及以上学历</w:t>
      </w:r>
      <w:r>
        <w:rPr>
          <w:rFonts w:hint="eastAsia" w:ascii="Times New Roman" w:hAnsi="Times New Roman" w:cs="Times New Roman"/>
          <w:color w:val="auto"/>
          <w:sz w:val="24"/>
          <w:szCs w:val="24"/>
          <w:highlight w:val="none"/>
          <w:lang w:eastAsia="zh-CN"/>
        </w:rPr>
        <w:t>的</w:t>
      </w:r>
      <w:r>
        <w:rPr>
          <w:rFonts w:hint="eastAsia" w:ascii="Times New Roman" w:hAnsi="Times New Roman" w:cs="Times New Roman"/>
          <w:color w:val="auto"/>
          <w:sz w:val="24"/>
          <w:szCs w:val="24"/>
          <w:highlight w:val="none"/>
          <w:lang w:val="en-US" w:eastAsia="zh-CN"/>
        </w:rPr>
        <w:t>鉴定人员不少于15人，其中中级及以上职称人员不少于5人</w:t>
      </w:r>
      <w:r>
        <w:rPr>
          <w:rFonts w:hint="default"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且均</w:t>
      </w:r>
      <w:r>
        <w:rPr>
          <w:rFonts w:hint="default" w:ascii="Times New Roman" w:hAnsi="Times New Roman" w:cs="Times New Roman"/>
          <w:color w:val="auto"/>
          <w:sz w:val="24"/>
          <w:szCs w:val="24"/>
          <w:highlight w:val="none"/>
        </w:rPr>
        <w:t>与鉴定机构签订聘用合同，依法缴纳社会保险。</w:t>
      </w:r>
    </w:p>
    <w:p w14:paraId="0D0841F7">
      <w:pPr>
        <w:spacing w:line="360" w:lineRule="auto"/>
        <w:ind w:left="0" w:leftChars="0" w:firstLine="638" w:firstLineChars="266"/>
        <w:jc w:val="left"/>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2  鉴定</w:t>
      </w:r>
      <w:r>
        <w:rPr>
          <w:rFonts w:hint="default" w:ascii="Times New Roman" w:hAnsi="Times New Roman" w:cs="Times New Roman"/>
          <w:color w:val="auto"/>
          <w:sz w:val="24"/>
          <w:szCs w:val="24"/>
          <w:highlight w:val="none"/>
        </w:rPr>
        <w:t>项目负责人应具备</w:t>
      </w:r>
      <w:r>
        <w:rPr>
          <w:rFonts w:hint="eastAsia" w:ascii="Times New Roman" w:hAnsi="Times New Roman" w:cs="Times New Roman"/>
          <w:color w:val="auto"/>
          <w:sz w:val="24"/>
          <w:szCs w:val="24"/>
          <w:highlight w:val="none"/>
          <w:lang w:eastAsia="zh-CN"/>
        </w:rPr>
        <w:t>建筑工程</w:t>
      </w:r>
      <w:r>
        <w:rPr>
          <w:rFonts w:hint="default" w:ascii="Times New Roman" w:hAnsi="Times New Roman" w:cs="Times New Roman"/>
          <w:color w:val="auto"/>
          <w:sz w:val="24"/>
          <w:szCs w:val="24"/>
          <w:highlight w:val="none"/>
        </w:rPr>
        <w:t>中级</w:t>
      </w:r>
      <w:r>
        <w:rPr>
          <w:rFonts w:hint="eastAsia" w:ascii="Times New Roman" w:hAnsi="Times New Roman" w:cs="Times New Roman"/>
          <w:color w:val="auto"/>
          <w:sz w:val="24"/>
          <w:szCs w:val="24"/>
          <w:highlight w:val="none"/>
          <w:lang w:eastAsia="zh-CN"/>
        </w:rPr>
        <w:t>及</w:t>
      </w:r>
      <w:r>
        <w:rPr>
          <w:rFonts w:hint="default" w:ascii="Times New Roman" w:hAnsi="Times New Roman" w:cs="Times New Roman"/>
          <w:color w:val="auto"/>
          <w:sz w:val="24"/>
          <w:szCs w:val="24"/>
          <w:highlight w:val="none"/>
        </w:rPr>
        <w:t>以上技术职称。</w:t>
      </w:r>
    </w:p>
    <w:p w14:paraId="6A4BC1C2">
      <w:pPr>
        <w:spacing w:line="360" w:lineRule="auto"/>
        <w:ind w:left="0" w:leftChars="0" w:firstLine="638" w:firstLineChars="266"/>
        <w:jc w:val="left"/>
        <w:rPr>
          <w:rFonts w:hint="eastAsia" w:ascii="Times New Roman" w:hAnsi="Times New Roman" w:cs="Times New Roman"/>
          <w:color w:val="auto"/>
          <w:sz w:val="24"/>
          <w:szCs w:val="24"/>
          <w:highlight w:val="none"/>
          <w:lang w:eastAsia="zh-CN"/>
        </w:rPr>
      </w:pPr>
      <w:r>
        <w:rPr>
          <w:rFonts w:hint="eastAsia" w:ascii="Times New Roman" w:hAnsi="Times New Roman" w:cs="Times New Roman"/>
          <w:color w:val="auto"/>
          <w:sz w:val="24"/>
          <w:szCs w:val="24"/>
          <w:highlight w:val="none"/>
          <w:lang w:val="en-US" w:eastAsia="zh-CN"/>
        </w:rPr>
        <w:t>3  报告</w:t>
      </w:r>
      <w:r>
        <w:rPr>
          <w:rFonts w:hint="eastAsia" w:ascii="Times New Roman" w:hAnsi="Times New Roman" w:cs="Times New Roman"/>
          <w:color w:val="auto"/>
          <w:sz w:val="24"/>
          <w:szCs w:val="24"/>
          <w:highlight w:val="none"/>
          <w:lang w:eastAsia="zh-CN"/>
        </w:rPr>
        <w:t>审核人（</w:t>
      </w:r>
      <w:r>
        <w:rPr>
          <w:rFonts w:hint="default" w:ascii="Times New Roman" w:hAnsi="Times New Roman" w:cs="Times New Roman"/>
          <w:color w:val="auto"/>
          <w:sz w:val="24"/>
          <w:szCs w:val="24"/>
          <w:highlight w:val="none"/>
        </w:rPr>
        <w:t>鉴定技术负责人</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应当为注册结构工程师或具备相应结构分析能力的高级工程师</w:t>
      </w:r>
      <w:r>
        <w:rPr>
          <w:rFonts w:hint="eastAsia" w:ascii="Times New Roman" w:hAnsi="Times New Roman" w:cs="Times New Roman"/>
          <w:color w:val="auto"/>
          <w:sz w:val="24"/>
          <w:szCs w:val="24"/>
          <w:highlight w:val="none"/>
          <w:lang w:eastAsia="zh-CN"/>
        </w:rPr>
        <w:t>。</w:t>
      </w:r>
    </w:p>
    <w:p w14:paraId="69CBF945">
      <w:pPr>
        <w:spacing w:line="360" w:lineRule="auto"/>
        <w:ind w:left="0" w:leftChars="0" w:firstLine="638" w:firstLineChars="266"/>
        <w:jc w:val="left"/>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4  报告批准人应为机构法定代表人或授权签字人。</w:t>
      </w:r>
    </w:p>
    <w:p w14:paraId="4A97920C">
      <w:pPr>
        <w:spacing w:line="360" w:lineRule="auto"/>
        <w:ind w:left="0" w:leftChars="0" w:firstLine="638" w:firstLineChars="266"/>
        <w:jc w:val="left"/>
        <w:rPr>
          <w:rFonts w:hint="default" w:ascii="Times New Roman" w:hAnsi="Times New Roman" w:cs="Times New Roman"/>
          <w:color w:val="auto"/>
          <w:sz w:val="24"/>
          <w:szCs w:val="24"/>
          <w:highlight w:val="none"/>
          <w:lang w:eastAsia="zh-CN"/>
        </w:rPr>
      </w:pPr>
      <w:r>
        <w:rPr>
          <w:rFonts w:hint="eastAsia"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lang w:eastAsia="zh-CN"/>
        </w:rPr>
        <w:t xml:space="preserve"> </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lang w:eastAsia="zh-CN"/>
        </w:rPr>
        <w:t>鉴定从业人员</w:t>
      </w:r>
      <w:r>
        <w:rPr>
          <w:rFonts w:hint="eastAsia" w:ascii="Times New Roman" w:hAnsi="Times New Roman" w:cs="Times New Roman"/>
          <w:color w:val="auto"/>
          <w:sz w:val="24"/>
          <w:szCs w:val="24"/>
          <w:highlight w:val="none"/>
          <w:lang w:eastAsia="zh-CN"/>
        </w:rPr>
        <w:t>应接受</w:t>
      </w:r>
      <w:r>
        <w:rPr>
          <w:rFonts w:hint="default" w:ascii="Times New Roman" w:hAnsi="Times New Roman" w:cs="Times New Roman"/>
          <w:color w:val="auto"/>
          <w:sz w:val="24"/>
          <w:szCs w:val="24"/>
          <w:highlight w:val="none"/>
          <w:lang w:eastAsia="zh-CN"/>
        </w:rPr>
        <w:t>继续教育培训，学时应满足</w:t>
      </w:r>
      <w:r>
        <w:rPr>
          <w:rFonts w:hint="eastAsia" w:ascii="Times New Roman" w:hAnsi="Times New Roman" w:cs="Times New Roman"/>
          <w:color w:val="auto"/>
          <w:sz w:val="24"/>
          <w:szCs w:val="24"/>
          <w:highlight w:val="none"/>
          <w:lang w:eastAsia="zh-CN"/>
        </w:rPr>
        <w:t>鉴定</w:t>
      </w:r>
      <w:r>
        <w:rPr>
          <w:rFonts w:hint="default" w:ascii="Times New Roman" w:hAnsi="Times New Roman" w:cs="Times New Roman"/>
          <w:color w:val="auto"/>
          <w:sz w:val="24"/>
          <w:szCs w:val="24"/>
          <w:highlight w:val="none"/>
          <w:lang w:eastAsia="zh-CN"/>
        </w:rPr>
        <w:t>机构内部规定和行业管理要求。</w:t>
      </w:r>
    </w:p>
    <w:p w14:paraId="5E207EE7">
      <w:pPr>
        <w:spacing w:line="360" w:lineRule="auto"/>
        <w:jc w:val="left"/>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val="en-US" w:eastAsia="zh-CN"/>
        </w:rPr>
        <w:t>3.2</w:t>
      </w:r>
      <w:r>
        <w:rPr>
          <w:rFonts w:hint="default" w:ascii="Times New Roman" w:hAnsi="Times New Roman" w:cs="Times New Roman"/>
          <w:color w:val="auto"/>
          <w:sz w:val="24"/>
          <w:szCs w:val="24"/>
        </w:rPr>
        <w:t>.3</w:t>
      </w:r>
      <w:r>
        <w:rPr>
          <w:rFonts w:hint="eastAsia" w:ascii="Times New Roman" w:hAnsi="Times New Roman" w:cs="Times New Roman"/>
          <w:color w:val="auto"/>
          <w:sz w:val="24"/>
          <w:szCs w:val="24"/>
          <w:lang w:val="en-US" w:eastAsia="zh-CN"/>
        </w:rPr>
        <w:t xml:space="preserve">  </w:t>
      </w:r>
      <w:r>
        <w:rPr>
          <w:rFonts w:hint="eastAsia" w:ascii="Times New Roman" w:hAnsi="Times New Roman" w:cs="Times New Roman"/>
          <w:color w:val="auto"/>
          <w:sz w:val="24"/>
          <w:szCs w:val="24"/>
          <w:lang w:eastAsia="zh-CN"/>
        </w:rPr>
        <w:t>鉴定</w:t>
      </w:r>
      <w:r>
        <w:rPr>
          <w:rFonts w:hint="eastAsia" w:ascii="Times New Roman" w:hAnsi="Times New Roman" w:cs="Times New Roman"/>
          <w:color w:val="auto"/>
          <w:sz w:val="24"/>
          <w:szCs w:val="24"/>
          <w:lang w:val="en-US" w:eastAsia="zh-CN"/>
        </w:rPr>
        <w:t>机构应</w:t>
      </w:r>
      <w:r>
        <w:rPr>
          <w:rFonts w:hint="default" w:ascii="Times New Roman" w:hAnsi="Times New Roman" w:cs="Times New Roman"/>
          <w:color w:val="auto"/>
          <w:sz w:val="24"/>
          <w:szCs w:val="24"/>
        </w:rPr>
        <w:t>配备开展鉴定工作必要的专业检测、鉴定仪器设备和结构分析软件</w:t>
      </w:r>
      <w:r>
        <w:rPr>
          <w:rFonts w:hint="eastAsia" w:ascii="Times New Roman" w:hAnsi="Times New Roman" w:cs="Times New Roman"/>
          <w:color w:val="auto"/>
          <w:sz w:val="24"/>
          <w:szCs w:val="24"/>
          <w:lang w:val="en-US" w:eastAsia="zh-CN"/>
        </w:rPr>
        <w:t xml:space="preserve"> </w:t>
      </w:r>
      <w:r>
        <w:rPr>
          <w:rFonts w:hint="default" w:ascii="Times New Roman" w:hAnsi="Times New Roman" w:cs="Times New Roman"/>
          <w:color w:val="auto"/>
          <w:sz w:val="24"/>
          <w:szCs w:val="24"/>
        </w:rPr>
        <w:t>鉴定机构应对鉴定检测</w:t>
      </w:r>
      <w:r>
        <w:rPr>
          <w:rFonts w:hint="eastAsia" w:ascii="Times New Roman" w:hAnsi="Times New Roman" w:cs="Times New Roman"/>
          <w:color w:val="auto"/>
          <w:sz w:val="24"/>
          <w:szCs w:val="24"/>
          <w:lang w:val="en-US" w:eastAsia="zh-CN"/>
        </w:rPr>
        <w:t>所</w:t>
      </w:r>
      <w:r>
        <w:rPr>
          <w:rFonts w:hint="default" w:ascii="Times New Roman" w:hAnsi="Times New Roman" w:cs="Times New Roman"/>
          <w:color w:val="auto"/>
          <w:sz w:val="24"/>
          <w:szCs w:val="24"/>
        </w:rPr>
        <w:t>用设备登记造册，专人管理，检测设备需经法定计量部门校准或检定，确保检测设备的有效使用。</w:t>
      </w:r>
    </w:p>
    <w:p w14:paraId="130F16B0">
      <w:pPr>
        <w:pStyle w:val="4"/>
        <w:keepNext/>
        <w:keepLines/>
        <w:pageBreakBefore w:val="0"/>
        <w:widowControl w:val="0"/>
        <w:kinsoku/>
        <w:wordWrap/>
        <w:overflowPunct/>
        <w:topLinePunct w:val="0"/>
        <w:autoSpaceDE/>
        <w:autoSpaceDN/>
        <w:bidi w:val="0"/>
        <w:adjustRightInd/>
        <w:snapToGrid/>
        <w:spacing w:before="120" w:after="120" w:line="360" w:lineRule="auto"/>
        <w:jc w:val="center"/>
        <w:textAlignment w:val="auto"/>
        <w:rPr>
          <w:rFonts w:hint="default" w:ascii="Times New Roman" w:hAnsi="Times New Roman" w:eastAsia="宋体" w:cs="Times New Roman"/>
          <w:color w:val="auto"/>
          <w:sz w:val="28"/>
          <w:szCs w:val="28"/>
          <w:lang w:val="en-US" w:eastAsia="zh-CN"/>
        </w:rPr>
      </w:pPr>
      <w:bookmarkStart w:id="13" w:name="_Toc2636"/>
      <w:r>
        <w:rPr>
          <w:rFonts w:hint="eastAsia" w:ascii="Times New Roman" w:hAnsi="Times New Roman" w:eastAsia="宋体" w:cs="Times New Roman"/>
          <w:color w:val="auto"/>
          <w:sz w:val="28"/>
          <w:szCs w:val="28"/>
          <w:lang w:val="en-US" w:eastAsia="zh-CN"/>
        </w:rPr>
        <w:t>3.3  鉴定工作管理体系</w:t>
      </w:r>
      <w:bookmarkEnd w:id="13"/>
    </w:p>
    <w:p w14:paraId="08C9CE40">
      <w:pPr>
        <w:spacing w:line="360" w:lineRule="auto"/>
        <w:jc w:val="left"/>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3.3</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 xml:space="preserve">1  </w:t>
      </w:r>
      <w:r>
        <w:rPr>
          <w:rFonts w:hint="default" w:ascii="Times New Roman" w:hAnsi="Times New Roman" w:cs="Times New Roman"/>
          <w:color w:val="auto"/>
          <w:sz w:val="24"/>
          <w:szCs w:val="24"/>
        </w:rPr>
        <w:t>鉴定机构应具有健全的鉴定管理制度、责任制度、档案管理制度、完备的技术管理和</w:t>
      </w:r>
      <w:r>
        <w:rPr>
          <w:rFonts w:hint="default" w:ascii="Times New Roman" w:hAnsi="Times New Roman" w:cs="Times New Roman"/>
          <w:color w:val="auto"/>
          <w:sz w:val="24"/>
          <w:szCs w:val="24"/>
          <w:highlight w:val="none"/>
          <w:lang w:eastAsia="zh-CN"/>
        </w:rPr>
        <w:t>质量管理体系。</w:t>
      </w:r>
    </w:p>
    <w:p w14:paraId="21879475">
      <w:pPr>
        <w:spacing w:line="360" w:lineRule="auto"/>
        <w:jc w:val="left"/>
        <w:rPr>
          <w:rFonts w:hint="default" w:ascii="Times New Roman" w:hAnsi="Times New Roman" w:cs="Times New Roman"/>
          <w:color w:val="auto"/>
          <w:sz w:val="24"/>
          <w:szCs w:val="24"/>
          <w:highlight w:val="none"/>
          <w:lang w:eastAsia="zh-CN"/>
        </w:rPr>
      </w:pPr>
      <w:r>
        <w:rPr>
          <w:rFonts w:hint="eastAsia" w:ascii="Times New Roman" w:hAnsi="Times New Roman" w:cs="Times New Roman"/>
          <w:color w:val="auto"/>
          <w:sz w:val="24"/>
          <w:szCs w:val="24"/>
          <w:lang w:val="en-US" w:eastAsia="zh-CN"/>
        </w:rPr>
        <w:t xml:space="preserve">3.3.2  </w:t>
      </w:r>
      <w:r>
        <w:rPr>
          <w:rFonts w:hint="default" w:ascii="Times New Roman" w:hAnsi="Times New Roman" w:cs="Times New Roman"/>
          <w:color w:val="auto"/>
          <w:sz w:val="24"/>
          <w:szCs w:val="24"/>
        </w:rPr>
        <w:t>鉴定机构应遵循客观公正、科学准确、统一规范的原则，根据政府和行业管理规定及相关专业规范、标准和规程开展鉴定活动，对其出具的鉴定报告的真实性和准确性负责，承担法律等责任。</w:t>
      </w:r>
    </w:p>
    <w:p w14:paraId="5D9FA1F9">
      <w:pPr>
        <w:spacing w:line="360" w:lineRule="auto"/>
        <w:jc w:val="left"/>
        <w:rPr>
          <w:rFonts w:hint="default" w:ascii="Times New Roman" w:hAnsi="Times New Roman" w:cs="Times New Roman"/>
          <w:color w:val="auto"/>
          <w:sz w:val="24"/>
          <w:szCs w:val="24"/>
          <w:highlight w:val="none"/>
          <w:lang w:eastAsia="zh-CN"/>
        </w:rPr>
      </w:pPr>
      <w:r>
        <w:rPr>
          <w:rFonts w:hint="eastAsia" w:ascii="Times New Roman" w:hAnsi="Times New Roman" w:cs="Times New Roman"/>
          <w:color w:val="auto"/>
          <w:sz w:val="24"/>
          <w:szCs w:val="24"/>
          <w:highlight w:val="none"/>
          <w:lang w:val="en-US" w:eastAsia="zh-CN"/>
        </w:rPr>
        <w:t xml:space="preserve">3.3.3  </w:t>
      </w:r>
      <w:r>
        <w:rPr>
          <w:rFonts w:hint="default" w:ascii="Times New Roman" w:hAnsi="Times New Roman" w:cs="Times New Roman"/>
          <w:color w:val="auto"/>
          <w:sz w:val="24"/>
          <w:szCs w:val="24"/>
          <w:highlight w:val="none"/>
          <w:lang w:eastAsia="zh-CN"/>
        </w:rPr>
        <w:t>鉴定机构应实行鉴定</w:t>
      </w:r>
      <w:r>
        <w:rPr>
          <w:rFonts w:hint="eastAsia" w:ascii="Times New Roman" w:hAnsi="Times New Roman" w:cs="Times New Roman"/>
          <w:color w:val="auto"/>
          <w:sz w:val="24"/>
          <w:szCs w:val="24"/>
          <w:highlight w:val="none"/>
          <w:lang w:eastAsia="zh-CN"/>
        </w:rPr>
        <w:t>项目负责人</w:t>
      </w:r>
      <w:r>
        <w:rPr>
          <w:rFonts w:hint="default"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报告</w:t>
      </w:r>
      <w:r>
        <w:rPr>
          <w:rFonts w:hint="default" w:ascii="Times New Roman" w:hAnsi="Times New Roman" w:cs="Times New Roman"/>
          <w:color w:val="auto"/>
          <w:sz w:val="24"/>
          <w:szCs w:val="24"/>
          <w:highlight w:val="none"/>
          <w:lang w:eastAsia="zh-CN"/>
        </w:rPr>
        <w:t>审核人、</w:t>
      </w:r>
      <w:r>
        <w:rPr>
          <w:rFonts w:hint="eastAsia" w:ascii="Times New Roman" w:hAnsi="Times New Roman" w:cs="Times New Roman"/>
          <w:color w:val="auto"/>
          <w:sz w:val="24"/>
          <w:szCs w:val="24"/>
          <w:highlight w:val="none"/>
          <w:lang w:val="en-US" w:eastAsia="zh-CN"/>
        </w:rPr>
        <w:t>报告批准人</w:t>
      </w:r>
      <w:r>
        <w:rPr>
          <w:rFonts w:hint="default" w:ascii="Times New Roman" w:hAnsi="Times New Roman" w:cs="Times New Roman"/>
          <w:color w:val="auto"/>
          <w:sz w:val="24"/>
          <w:szCs w:val="24"/>
          <w:highlight w:val="none"/>
          <w:lang w:eastAsia="zh-CN"/>
        </w:rPr>
        <w:t>三级审核责任制度，并加强鉴定项目全过程管控。</w:t>
      </w:r>
    </w:p>
    <w:p w14:paraId="1AEBD5EC">
      <w:pPr>
        <w:spacing w:line="360" w:lineRule="auto"/>
        <w:jc w:val="left"/>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3.3.4  鉴定检测应参照执行建设工程质量检测标准规范，单独出具检测报告并签章，作为鉴定报告附件。</w:t>
      </w:r>
    </w:p>
    <w:p w14:paraId="7416C763">
      <w:pPr>
        <w:spacing w:line="360" w:lineRule="auto"/>
        <w:jc w:val="left"/>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3.3.5  结构计算书应当由注册结构工程师签章；涉及结构实体检测的，应由经过相应资质认定的机构出具实体检测报告；涉及地基基础（检测等）的，应当同时由注册岩土工程师签章。</w:t>
      </w:r>
    </w:p>
    <w:p w14:paraId="75EA5056">
      <w:pPr>
        <w:spacing w:line="360" w:lineRule="auto"/>
        <w:jc w:val="left"/>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 xml:space="preserve">3.3.6  </w:t>
      </w:r>
      <w:r>
        <w:rPr>
          <w:rFonts w:hint="default" w:ascii="Times New Roman" w:hAnsi="Times New Roman" w:cs="Times New Roman"/>
          <w:color w:val="auto"/>
          <w:sz w:val="24"/>
          <w:szCs w:val="24"/>
          <w:lang w:eastAsia="zh-CN"/>
        </w:rPr>
        <w:t>鉴定</w:t>
      </w:r>
      <w:r>
        <w:rPr>
          <w:rFonts w:hint="eastAsia" w:ascii="Times New Roman" w:hAnsi="Times New Roman" w:cs="Times New Roman"/>
          <w:color w:val="auto"/>
          <w:sz w:val="24"/>
          <w:szCs w:val="24"/>
          <w:lang w:val="en-US" w:eastAsia="zh-CN"/>
        </w:rPr>
        <w:t>报告应经</w:t>
      </w:r>
      <w:r>
        <w:rPr>
          <w:rFonts w:hint="eastAsia" w:ascii="Times New Roman" w:hAnsi="Times New Roman" w:cs="Times New Roman"/>
          <w:color w:val="auto"/>
          <w:sz w:val="24"/>
          <w:szCs w:val="24"/>
          <w:lang w:eastAsia="zh-CN"/>
        </w:rPr>
        <w:t>项目负责人</w:t>
      </w:r>
      <w:r>
        <w:rPr>
          <w:rFonts w:hint="default"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报告</w:t>
      </w:r>
      <w:r>
        <w:rPr>
          <w:rFonts w:hint="default" w:ascii="Times New Roman" w:hAnsi="Times New Roman" w:cs="Times New Roman"/>
          <w:color w:val="auto"/>
          <w:sz w:val="24"/>
          <w:szCs w:val="24"/>
          <w:lang w:eastAsia="zh-CN"/>
        </w:rPr>
        <w:t>审核人、</w:t>
      </w:r>
      <w:r>
        <w:rPr>
          <w:rFonts w:hint="eastAsia" w:ascii="Times New Roman" w:hAnsi="Times New Roman" w:cs="Times New Roman"/>
          <w:color w:val="auto"/>
          <w:sz w:val="24"/>
          <w:szCs w:val="24"/>
          <w:lang w:val="en-US" w:eastAsia="zh-CN"/>
        </w:rPr>
        <w:t>报告批准人签字，加盖鉴定机构公章或鉴定专用章。</w:t>
      </w:r>
    </w:p>
    <w:p w14:paraId="280568FB">
      <w:pPr>
        <w:spacing w:line="360" w:lineRule="auto"/>
        <w:jc w:val="left"/>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 xml:space="preserve">3.3.7  </w:t>
      </w:r>
      <w:r>
        <w:rPr>
          <w:rFonts w:hint="default" w:ascii="Times New Roman" w:hAnsi="Times New Roman" w:cs="Times New Roman"/>
          <w:color w:val="auto"/>
          <w:sz w:val="24"/>
          <w:szCs w:val="24"/>
        </w:rPr>
        <w:t>鉴定机构应按主管部门要求</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将鉴定</w:t>
      </w:r>
      <w:r>
        <w:rPr>
          <w:rFonts w:hint="eastAsia" w:ascii="Times New Roman" w:hAnsi="Times New Roman" w:cs="Times New Roman"/>
          <w:color w:val="auto"/>
          <w:sz w:val="24"/>
          <w:szCs w:val="24"/>
          <w:lang w:eastAsia="zh-CN"/>
        </w:rPr>
        <w:t>报告</w:t>
      </w:r>
      <w:r>
        <w:rPr>
          <w:rFonts w:hint="default" w:ascii="Times New Roman" w:hAnsi="Times New Roman" w:cs="Times New Roman"/>
          <w:color w:val="auto"/>
          <w:sz w:val="24"/>
          <w:szCs w:val="24"/>
        </w:rPr>
        <w:t>相关信息录入房屋管理信息系统。</w:t>
      </w:r>
    </w:p>
    <w:p w14:paraId="4C456F39">
      <w:pPr>
        <w:spacing w:line="360" w:lineRule="auto"/>
        <w:jc w:val="left"/>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 xml:space="preserve">3.3.8  </w:t>
      </w:r>
      <w:r>
        <w:rPr>
          <w:rFonts w:hint="default" w:ascii="Times New Roman" w:hAnsi="Times New Roman" w:cs="Times New Roman"/>
          <w:color w:val="auto"/>
          <w:sz w:val="24"/>
          <w:szCs w:val="24"/>
        </w:rPr>
        <w:t>鉴定机构应对鉴定相关工作建立符合国家相关规定的档案管理制度，专人负责长期管理，保证检测数据、原始资料的可追溯性。</w:t>
      </w:r>
    </w:p>
    <w:p w14:paraId="5497901B">
      <w:pPr>
        <w:pStyle w:val="4"/>
        <w:keepNext/>
        <w:keepLines/>
        <w:pageBreakBefore w:val="0"/>
        <w:widowControl w:val="0"/>
        <w:kinsoku/>
        <w:wordWrap/>
        <w:overflowPunct/>
        <w:topLinePunct w:val="0"/>
        <w:autoSpaceDE/>
        <w:autoSpaceDN/>
        <w:bidi w:val="0"/>
        <w:adjustRightInd/>
        <w:snapToGrid/>
        <w:spacing w:before="120" w:after="120" w:line="360" w:lineRule="auto"/>
        <w:jc w:val="center"/>
        <w:textAlignment w:val="auto"/>
        <w:rPr>
          <w:rFonts w:hint="default" w:ascii="Times New Roman" w:hAnsi="Times New Roman" w:eastAsia="宋体" w:cs="Times New Roman"/>
          <w:color w:val="auto"/>
          <w:sz w:val="28"/>
          <w:szCs w:val="28"/>
          <w:lang w:val="en-US" w:eastAsia="zh-CN"/>
        </w:rPr>
      </w:pPr>
      <w:bookmarkStart w:id="14" w:name="_Toc7052"/>
      <w:bookmarkStart w:id="15" w:name="_Toc6610"/>
      <w:r>
        <w:rPr>
          <w:rFonts w:hint="eastAsia" w:ascii="Times New Roman" w:hAnsi="Times New Roman" w:eastAsia="宋体" w:cs="Times New Roman"/>
          <w:color w:val="auto"/>
          <w:sz w:val="28"/>
          <w:szCs w:val="28"/>
          <w:lang w:val="en-US" w:eastAsia="zh-CN"/>
        </w:rPr>
        <w:t xml:space="preserve">3.4  </w:t>
      </w:r>
      <w:r>
        <w:rPr>
          <w:rFonts w:hint="default" w:ascii="Times New Roman" w:hAnsi="Times New Roman" w:eastAsia="宋体" w:cs="Times New Roman"/>
          <w:color w:val="auto"/>
          <w:sz w:val="28"/>
          <w:szCs w:val="28"/>
          <w:lang w:val="en-US" w:eastAsia="zh-CN"/>
        </w:rPr>
        <w:t>鉴定程序及</w:t>
      </w:r>
      <w:r>
        <w:rPr>
          <w:rFonts w:hint="eastAsia" w:ascii="Times New Roman" w:hAnsi="Times New Roman" w:eastAsia="宋体" w:cs="Times New Roman"/>
          <w:color w:val="auto"/>
          <w:sz w:val="28"/>
          <w:szCs w:val="28"/>
          <w:lang w:val="en-US" w:eastAsia="zh-CN"/>
        </w:rPr>
        <w:t>主要</w:t>
      </w:r>
      <w:r>
        <w:rPr>
          <w:rFonts w:hint="default" w:ascii="Times New Roman" w:hAnsi="Times New Roman" w:eastAsia="宋体" w:cs="Times New Roman"/>
          <w:color w:val="auto"/>
          <w:sz w:val="28"/>
          <w:szCs w:val="28"/>
          <w:lang w:val="en-US" w:eastAsia="zh-CN"/>
        </w:rPr>
        <w:t>内容</w:t>
      </w:r>
      <w:bookmarkEnd w:id="14"/>
      <w:bookmarkEnd w:id="15"/>
    </w:p>
    <w:p w14:paraId="4A6BDAC0">
      <w:pPr>
        <w:spacing w:line="360" w:lineRule="auto"/>
        <w:ind w:left="0" w:leftChars="0" w:firstLine="0" w:firstLineChars="0"/>
        <w:jc w:val="left"/>
        <w:rPr>
          <w:rFonts w:hint="default" w:ascii="Times New Roman" w:hAnsi="Times New Roman" w:cs="Times New Roman"/>
          <w:color w:val="auto"/>
          <w:sz w:val="24"/>
          <w:szCs w:val="24"/>
          <w:lang w:val="en-US" w:eastAsia="zh-CN"/>
        </w:rPr>
      </w:pPr>
      <w:bookmarkStart w:id="16" w:name="_Toc18094"/>
      <w:r>
        <w:rPr>
          <w:rFonts w:hint="eastAsia" w:ascii="Times New Roman" w:hAnsi="Times New Roman" w:cs="Times New Roman"/>
          <w:color w:val="auto"/>
          <w:sz w:val="24"/>
          <w:szCs w:val="24"/>
          <w:lang w:val="en-US" w:eastAsia="zh-CN"/>
        </w:rPr>
        <w:t xml:space="preserve">3.4.1  </w:t>
      </w:r>
      <w:bookmarkEnd w:id="16"/>
      <w:r>
        <w:rPr>
          <w:rFonts w:hint="eastAsia" w:ascii="Times New Roman" w:hAnsi="Times New Roman" w:cs="Times New Roman"/>
          <w:color w:val="auto"/>
          <w:sz w:val="24"/>
          <w:szCs w:val="24"/>
          <w:lang w:val="en-US" w:eastAsia="zh-CN"/>
        </w:rPr>
        <w:t>工业</w:t>
      </w:r>
      <w:r>
        <w:rPr>
          <w:rFonts w:hint="default" w:ascii="Times New Roman" w:hAnsi="Times New Roman" w:cs="Times New Roman"/>
          <w:color w:val="auto"/>
          <w:sz w:val="24"/>
          <w:szCs w:val="24"/>
        </w:rPr>
        <w:t>建筑可靠性</w:t>
      </w:r>
      <w:r>
        <w:rPr>
          <w:rFonts w:hint="eastAsia" w:ascii="Times New Roman" w:hAnsi="Times New Roman" w:cs="Times New Roman"/>
          <w:color w:val="auto"/>
          <w:sz w:val="24"/>
          <w:szCs w:val="24"/>
          <w:lang w:val="en-US" w:eastAsia="zh-CN"/>
        </w:rPr>
        <w:t>和抗震</w:t>
      </w:r>
      <w:r>
        <w:rPr>
          <w:rFonts w:hint="default" w:ascii="Times New Roman" w:hAnsi="Times New Roman" w:cs="Times New Roman"/>
          <w:color w:val="auto"/>
          <w:sz w:val="24"/>
          <w:szCs w:val="24"/>
        </w:rPr>
        <w:t>鉴定</w:t>
      </w:r>
      <w:r>
        <w:rPr>
          <w:rFonts w:hint="eastAsia" w:ascii="Times New Roman" w:hAnsi="Times New Roman" w:cs="Times New Roman"/>
          <w:color w:val="auto"/>
          <w:sz w:val="24"/>
          <w:szCs w:val="24"/>
          <w:lang w:val="en-US" w:eastAsia="zh-CN"/>
        </w:rPr>
        <w:t>可按以下</w:t>
      </w:r>
      <w:r>
        <w:rPr>
          <w:rFonts w:hint="default" w:ascii="Times New Roman" w:hAnsi="Times New Roman" w:cs="Times New Roman"/>
          <w:color w:val="auto"/>
          <w:sz w:val="24"/>
          <w:szCs w:val="24"/>
        </w:rPr>
        <w:t>程序</w:t>
      </w:r>
      <w:r>
        <w:rPr>
          <w:rFonts w:hint="eastAsia" w:ascii="Times New Roman" w:hAnsi="Times New Roman" w:cs="Times New Roman"/>
          <w:color w:val="auto"/>
          <w:sz w:val="24"/>
          <w:szCs w:val="24"/>
          <w:lang w:val="en-US" w:eastAsia="zh-CN"/>
        </w:rPr>
        <w:t>进行：</w:t>
      </w:r>
    </w:p>
    <w:p w14:paraId="27FC1CB6">
      <w:pPr>
        <w:spacing w:line="360" w:lineRule="auto"/>
        <w:ind w:left="0" w:leftChars="0" w:right="210" w:rightChars="100" w:firstLine="2640" w:firstLineChars="1200"/>
        <w:jc w:val="left"/>
        <w:rPr>
          <w:rFonts w:hint="eastAsia" w:ascii="Times New Roman" w:hAnsi="Times New Roman" w:eastAsia="宋体" w:cs="Times New Roman"/>
          <w:color w:val="auto"/>
          <w:sz w:val="22"/>
          <w:szCs w:val="28"/>
          <w:lang w:eastAsia="zh-CN"/>
        </w:rPr>
      </w:pPr>
      <w:r>
        <w:rPr>
          <w:rFonts w:hint="eastAsia" w:ascii="Times New Roman" w:hAnsi="Times New Roman" w:eastAsia="宋体" w:cs="Times New Roman"/>
          <w:color w:val="auto"/>
          <w:sz w:val="22"/>
          <w:szCs w:val="28"/>
          <w:lang w:eastAsia="zh-CN"/>
        </w:rPr>
        <w:drawing>
          <wp:inline distT="0" distB="0" distL="114300" distR="114300">
            <wp:extent cx="2514600" cy="3297555"/>
            <wp:effectExtent l="0" t="0" r="0" b="17145"/>
            <wp:docPr id="1" name="图片 1" descr="鉴定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鉴定流程"/>
                    <pic:cNvPicPr>
                      <a:picLocks noChangeAspect="1"/>
                    </pic:cNvPicPr>
                  </pic:nvPicPr>
                  <pic:blipFill>
                    <a:blip r:embed="rId14"/>
                    <a:stretch>
                      <a:fillRect/>
                    </a:stretch>
                  </pic:blipFill>
                  <pic:spPr>
                    <a:xfrm>
                      <a:off x="0" y="0"/>
                      <a:ext cx="2514600" cy="3297555"/>
                    </a:xfrm>
                    <a:prstGeom prst="rect">
                      <a:avLst/>
                    </a:prstGeom>
                    <a:noFill/>
                    <a:ln>
                      <a:noFill/>
                    </a:ln>
                  </pic:spPr>
                </pic:pic>
              </a:graphicData>
            </a:graphic>
          </wp:inline>
        </w:drawing>
      </w:r>
    </w:p>
    <w:p w14:paraId="5AA9F0F1">
      <w:pPr>
        <w:spacing w:line="360" w:lineRule="auto"/>
        <w:ind w:left="0" w:leftChars="0" w:firstLine="0" w:firstLineChars="0"/>
        <w:jc w:val="left"/>
        <w:rPr>
          <w:rFonts w:hint="default" w:ascii="Times New Roman" w:hAnsi="Times New Roman" w:cs="Times New Roman"/>
          <w:color w:val="auto"/>
          <w:sz w:val="24"/>
          <w:szCs w:val="24"/>
          <w:highlight w:val="none"/>
        </w:rPr>
      </w:pPr>
      <w:bookmarkStart w:id="17" w:name="_Toc19762"/>
      <w:r>
        <w:rPr>
          <w:rFonts w:hint="eastAsia" w:ascii="Times New Roman" w:hAnsi="Times New Roman" w:cs="Times New Roman"/>
          <w:color w:val="auto"/>
          <w:sz w:val="24"/>
          <w:szCs w:val="24"/>
          <w:lang w:val="en-US" w:eastAsia="zh-CN"/>
        </w:rPr>
        <w:t xml:space="preserve">3.4.2  </w:t>
      </w:r>
      <w:bookmarkEnd w:id="17"/>
      <w:r>
        <w:rPr>
          <w:rFonts w:hint="default" w:ascii="Times New Roman" w:hAnsi="Times New Roman" w:cs="Times New Roman"/>
          <w:color w:val="auto"/>
          <w:sz w:val="24"/>
          <w:szCs w:val="24"/>
        </w:rPr>
        <w:t>鉴定工作的主要内容包括：接受委托、初步调查、制定鉴定方案、详细调查、检测、</w:t>
      </w:r>
      <w:r>
        <w:rPr>
          <w:rFonts w:hint="eastAsia" w:ascii="Times New Roman" w:hAnsi="Times New Roman" w:cs="Times New Roman"/>
          <w:color w:val="auto"/>
          <w:sz w:val="24"/>
          <w:szCs w:val="24"/>
          <w:lang w:eastAsia="zh-CN"/>
        </w:rPr>
        <w:t>分析验算</w:t>
      </w:r>
      <w:r>
        <w:rPr>
          <w:rFonts w:hint="default" w:ascii="Times New Roman" w:hAnsi="Times New Roman" w:cs="Times New Roman"/>
          <w:color w:val="auto"/>
          <w:sz w:val="24"/>
          <w:szCs w:val="24"/>
          <w:highlight w:val="none"/>
        </w:rPr>
        <w:t>、鉴定</w:t>
      </w:r>
      <w:r>
        <w:rPr>
          <w:rFonts w:hint="eastAsia" w:ascii="Times New Roman" w:hAnsi="Times New Roman" w:cs="Times New Roman"/>
          <w:color w:val="auto"/>
          <w:sz w:val="24"/>
          <w:szCs w:val="24"/>
          <w:highlight w:val="none"/>
          <w:lang w:val="en-US" w:eastAsia="zh-CN"/>
        </w:rPr>
        <w:t>评定</w:t>
      </w:r>
      <w:r>
        <w:rPr>
          <w:rFonts w:hint="default" w:ascii="Times New Roman" w:hAnsi="Times New Roman" w:cs="Times New Roman"/>
          <w:color w:val="auto"/>
          <w:sz w:val="24"/>
          <w:szCs w:val="24"/>
          <w:highlight w:val="none"/>
        </w:rPr>
        <w:t>、鉴定报告编制等。</w:t>
      </w:r>
    </w:p>
    <w:p w14:paraId="06747BF1">
      <w:pPr>
        <w:spacing w:line="360" w:lineRule="auto"/>
        <w:ind w:firstLine="480" w:firstLineChars="200"/>
        <w:jc w:val="left"/>
        <w:rPr>
          <w:rFonts w:hint="default" w:ascii="Times New Roman" w:hAnsi="Times New Roman" w:cs="Times New Roman"/>
          <w:color w:val="auto"/>
          <w:sz w:val="24"/>
          <w:szCs w:val="24"/>
          <w:highlight w:val="none"/>
          <w:lang w:val="en-US" w:eastAsia="zh-CN"/>
        </w:rPr>
      </w:pPr>
      <w:bookmarkStart w:id="18" w:name="_Toc526"/>
      <w:r>
        <w:rPr>
          <w:rFonts w:hint="default" w:ascii="Times New Roman" w:hAnsi="Times New Roman" w:cs="Times New Roman"/>
          <w:color w:val="auto"/>
          <w:sz w:val="24"/>
          <w:szCs w:val="24"/>
          <w:highlight w:val="none"/>
        </w:rPr>
        <w:t>1</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rPr>
        <w:t>接受委托</w:t>
      </w:r>
      <w:bookmarkEnd w:id="18"/>
      <w:r>
        <w:rPr>
          <w:rFonts w:hint="eastAsia" w:ascii="Times New Roman" w:hAnsi="Times New Roman" w:cs="Times New Roman"/>
          <w:color w:val="auto"/>
          <w:sz w:val="24"/>
          <w:szCs w:val="24"/>
          <w:highlight w:val="none"/>
          <w:lang w:eastAsia="zh-CN"/>
        </w:rPr>
        <w:t>。</w:t>
      </w:r>
    </w:p>
    <w:p w14:paraId="1FA8B4FD">
      <w:pPr>
        <w:spacing w:line="360" w:lineRule="auto"/>
        <w:ind w:firstLine="480" w:firstLineChars="200"/>
        <w:jc w:val="left"/>
        <w:rPr>
          <w:rFonts w:hint="default" w:ascii="Times New Roman" w:hAnsi="Times New Roman" w:cs="Times New Roman"/>
          <w:color w:val="auto"/>
          <w:sz w:val="24"/>
          <w:szCs w:val="24"/>
          <w:lang w:eastAsia="zh-CN"/>
        </w:rPr>
      </w:pPr>
      <w:bookmarkStart w:id="19" w:name="_Toc31538"/>
      <w:r>
        <w:rPr>
          <w:rFonts w:hint="default" w:ascii="Times New Roman" w:hAnsi="Times New Roman" w:cs="Times New Roman"/>
          <w:color w:val="auto"/>
          <w:sz w:val="24"/>
          <w:szCs w:val="24"/>
          <w:highlight w:val="none"/>
          <w:lang w:eastAsia="zh-CN"/>
        </w:rPr>
        <w:t>2</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lang w:eastAsia="zh-CN"/>
        </w:rPr>
        <w:t>初步调查</w:t>
      </w:r>
      <w:bookmarkEnd w:id="19"/>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eastAsia="zh-CN"/>
        </w:rPr>
        <w:t>初步调查</w:t>
      </w:r>
      <w:r>
        <w:rPr>
          <w:rFonts w:hint="eastAsia" w:ascii="Times New Roman" w:hAnsi="Times New Roman" w:cs="Times New Roman"/>
          <w:color w:val="auto"/>
          <w:sz w:val="24"/>
          <w:szCs w:val="24"/>
          <w:highlight w:val="none"/>
          <w:lang w:val="en-US" w:eastAsia="zh-CN"/>
        </w:rPr>
        <w:t>可</w:t>
      </w:r>
      <w:r>
        <w:rPr>
          <w:rFonts w:hint="default" w:ascii="Times New Roman" w:hAnsi="Times New Roman" w:cs="Times New Roman"/>
          <w:color w:val="auto"/>
          <w:sz w:val="24"/>
          <w:szCs w:val="24"/>
          <w:lang w:eastAsia="zh-CN"/>
        </w:rPr>
        <w:t>通过问询、查阅资料和简单查勘等方式进行。初步调查时应考虑使用条件在目标使用年限内可能发生的变化。</w:t>
      </w:r>
    </w:p>
    <w:p w14:paraId="5180145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lang w:eastAsia="zh-CN"/>
        </w:rPr>
      </w:pPr>
      <w:bookmarkStart w:id="20" w:name="_Toc16493"/>
      <w:r>
        <w:rPr>
          <w:rFonts w:hint="default" w:ascii="Times New Roman" w:hAnsi="Times New Roman" w:cs="Times New Roman"/>
          <w:color w:val="auto"/>
          <w:sz w:val="24"/>
          <w:szCs w:val="24"/>
          <w:lang w:eastAsia="zh-CN"/>
        </w:rPr>
        <w:t>3</w:t>
      </w:r>
      <w:r>
        <w:rPr>
          <w:rFonts w:hint="eastAsia" w:ascii="Times New Roman" w:hAnsi="Times New Roman" w:cs="Times New Roman"/>
          <w:color w:val="auto"/>
          <w:sz w:val="24"/>
          <w:szCs w:val="24"/>
          <w:lang w:val="en-US" w:eastAsia="zh-CN"/>
        </w:rPr>
        <w:t xml:space="preserve">  </w:t>
      </w:r>
      <w:r>
        <w:rPr>
          <w:rFonts w:hint="default" w:ascii="Times New Roman" w:hAnsi="Times New Roman" w:cs="Times New Roman"/>
          <w:color w:val="auto"/>
          <w:sz w:val="24"/>
          <w:szCs w:val="24"/>
          <w:lang w:eastAsia="zh-CN"/>
        </w:rPr>
        <w:t>制定</w:t>
      </w:r>
      <w:r>
        <w:rPr>
          <w:rFonts w:hint="eastAsia" w:ascii="Times New Roman" w:hAnsi="Times New Roman" w:cs="Times New Roman"/>
          <w:color w:val="auto"/>
          <w:sz w:val="24"/>
          <w:szCs w:val="24"/>
          <w:lang w:eastAsia="zh-CN"/>
        </w:rPr>
        <w:t>鉴定</w:t>
      </w:r>
      <w:r>
        <w:rPr>
          <w:rFonts w:hint="default" w:ascii="Times New Roman" w:hAnsi="Times New Roman" w:cs="Times New Roman"/>
          <w:color w:val="auto"/>
          <w:sz w:val="24"/>
          <w:szCs w:val="24"/>
          <w:lang w:eastAsia="zh-CN"/>
        </w:rPr>
        <w:t>方案</w:t>
      </w:r>
      <w:bookmarkEnd w:id="20"/>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lang w:eastAsia="zh-CN"/>
        </w:rPr>
        <w:t>鉴定方案</w:t>
      </w:r>
      <w:r>
        <w:rPr>
          <w:rFonts w:hint="eastAsia" w:ascii="Times New Roman" w:hAnsi="Times New Roman" w:cs="Times New Roman"/>
          <w:color w:val="auto"/>
          <w:sz w:val="24"/>
          <w:szCs w:val="24"/>
          <w:lang w:val="en-US" w:eastAsia="zh-CN"/>
        </w:rPr>
        <w:t>应</w:t>
      </w:r>
      <w:r>
        <w:rPr>
          <w:rFonts w:hint="default" w:ascii="Times New Roman" w:hAnsi="Times New Roman" w:cs="Times New Roman"/>
          <w:color w:val="auto"/>
          <w:sz w:val="24"/>
          <w:szCs w:val="24"/>
          <w:lang w:eastAsia="zh-CN"/>
        </w:rPr>
        <w:t>与委托人（单位）充分沟通，根据委托方提出的鉴定原因、范围、目的和相关检测鉴定技术标准、规范等，结合合同约定，经初步调查后综合确定。</w:t>
      </w:r>
      <w:r>
        <w:rPr>
          <w:rFonts w:hint="eastAsia" w:ascii="Times New Roman" w:hAnsi="Times New Roman" w:cs="Times New Roman"/>
          <w:color w:val="auto"/>
          <w:sz w:val="24"/>
          <w:szCs w:val="24"/>
          <w:lang w:val="en-US" w:eastAsia="zh-CN"/>
        </w:rPr>
        <w:t>鉴定</w:t>
      </w:r>
      <w:r>
        <w:rPr>
          <w:rFonts w:hint="default" w:ascii="Times New Roman" w:hAnsi="Times New Roman" w:cs="Times New Roman"/>
          <w:color w:val="auto"/>
          <w:sz w:val="24"/>
          <w:szCs w:val="24"/>
          <w:lang w:eastAsia="zh-CN"/>
        </w:rPr>
        <w:t>方案</w:t>
      </w:r>
      <w:r>
        <w:rPr>
          <w:rFonts w:hint="eastAsia" w:ascii="Times New Roman" w:hAnsi="Times New Roman" w:cs="Times New Roman"/>
          <w:color w:val="auto"/>
          <w:sz w:val="24"/>
          <w:szCs w:val="24"/>
          <w:lang w:val="en-US" w:eastAsia="zh-CN"/>
        </w:rPr>
        <w:t>应由项目负责人编制、</w:t>
      </w:r>
      <w:r>
        <w:rPr>
          <w:rFonts w:hint="default" w:ascii="Times New Roman" w:hAnsi="Times New Roman" w:cs="Times New Roman"/>
          <w:color w:val="auto"/>
          <w:sz w:val="24"/>
          <w:szCs w:val="24"/>
          <w:lang w:eastAsia="zh-CN"/>
        </w:rPr>
        <w:t>鉴定技术负责人</w:t>
      </w:r>
      <w:r>
        <w:rPr>
          <w:rFonts w:hint="eastAsia" w:ascii="Times New Roman" w:hAnsi="Times New Roman" w:cs="Times New Roman"/>
          <w:color w:val="auto"/>
          <w:sz w:val="24"/>
          <w:szCs w:val="24"/>
          <w:lang w:val="en-US" w:eastAsia="zh-CN"/>
        </w:rPr>
        <w:t>审核</w:t>
      </w:r>
      <w:r>
        <w:rPr>
          <w:rFonts w:hint="default" w:ascii="Times New Roman" w:hAnsi="Times New Roman" w:cs="Times New Roman"/>
          <w:color w:val="auto"/>
          <w:sz w:val="24"/>
          <w:szCs w:val="24"/>
          <w:lang w:eastAsia="zh-CN"/>
        </w:rPr>
        <w:t>，并请委托方采用书面方式确认。</w:t>
      </w:r>
    </w:p>
    <w:p w14:paraId="0CA2D668">
      <w:pPr>
        <w:spacing w:line="360" w:lineRule="auto"/>
        <w:ind w:firstLine="480" w:firstLineChars="200"/>
        <w:jc w:val="left"/>
        <w:rPr>
          <w:rFonts w:hint="default" w:ascii="Times New Roman" w:hAnsi="Times New Roman" w:cs="Times New Roman"/>
          <w:color w:val="auto"/>
          <w:sz w:val="24"/>
          <w:szCs w:val="24"/>
          <w:lang w:eastAsia="zh-CN"/>
        </w:rPr>
      </w:pPr>
      <w:bookmarkStart w:id="21" w:name="_Toc13931"/>
      <w:r>
        <w:rPr>
          <w:rFonts w:hint="default" w:ascii="Times New Roman" w:hAnsi="Times New Roman" w:cs="Times New Roman"/>
          <w:color w:val="auto"/>
          <w:sz w:val="24"/>
          <w:szCs w:val="24"/>
          <w:lang w:eastAsia="zh-CN"/>
        </w:rPr>
        <w:t>4</w:t>
      </w:r>
      <w:r>
        <w:rPr>
          <w:rFonts w:hint="eastAsia" w:ascii="Times New Roman" w:hAnsi="Times New Roman" w:cs="Times New Roman"/>
          <w:color w:val="auto"/>
          <w:sz w:val="24"/>
          <w:szCs w:val="24"/>
          <w:lang w:val="en-US" w:eastAsia="zh-CN"/>
        </w:rPr>
        <w:t xml:space="preserve">  </w:t>
      </w:r>
      <w:r>
        <w:rPr>
          <w:rFonts w:hint="default" w:ascii="Times New Roman" w:hAnsi="Times New Roman" w:cs="Times New Roman"/>
          <w:color w:val="auto"/>
          <w:sz w:val="24"/>
          <w:szCs w:val="24"/>
          <w:lang w:eastAsia="zh-CN"/>
        </w:rPr>
        <w:t>详细调查与检测</w:t>
      </w:r>
      <w:bookmarkEnd w:id="21"/>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lang w:eastAsia="zh-CN"/>
        </w:rPr>
        <w:t>调查与检测应符合国家或行业相关检测技术标准、规程的要求，当怀疑检测数据有异常值时，其判断和处理应符合国家有关标准的规定，不得随意舍弃数据</w:t>
      </w:r>
      <w:r>
        <w:rPr>
          <w:rFonts w:hint="eastAsia" w:ascii="Times New Roman" w:hAnsi="Times New Roman" w:cs="Times New Roman"/>
          <w:color w:val="auto"/>
          <w:sz w:val="24"/>
          <w:szCs w:val="24"/>
          <w:lang w:eastAsia="zh-CN"/>
        </w:rPr>
        <w:t>。</w:t>
      </w:r>
    </w:p>
    <w:p w14:paraId="0A86E1C0">
      <w:pPr>
        <w:spacing w:line="360" w:lineRule="auto"/>
        <w:ind w:firstLine="480" w:firstLineChars="200"/>
        <w:jc w:val="left"/>
        <w:rPr>
          <w:rFonts w:hint="default" w:ascii="Times New Roman" w:hAnsi="Times New Roman" w:cs="Times New Roman"/>
          <w:color w:val="auto"/>
          <w:sz w:val="24"/>
          <w:szCs w:val="24"/>
          <w:lang w:eastAsia="zh-CN"/>
        </w:rPr>
      </w:pPr>
      <w:bookmarkStart w:id="22" w:name="_Toc16917"/>
      <w:r>
        <w:rPr>
          <w:rFonts w:hint="default" w:ascii="Times New Roman" w:hAnsi="Times New Roman" w:cs="Times New Roman"/>
          <w:color w:val="auto"/>
          <w:sz w:val="24"/>
          <w:szCs w:val="24"/>
          <w:lang w:eastAsia="zh-CN"/>
        </w:rPr>
        <w:t>5</w:t>
      </w:r>
      <w:r>
        <w:rPr>
          <w:rFonts w:hint="eastAsia" w:ascii="Times New Roman" w:hAnsi="Times New Roman" w:cs="Times New Roman"/>
          <w:color w:val="auto"/>
          <w:sz w:val="24"/>
          <w:szCs w:val="24"/>
          <w:lang w:val="en-US" w:eastAsia="zh-CN"/>
        </w:rPr>
        <w:t xml:space="preserve">  </w:t>
      </w:r>
      <w:bookmarkEnd w:id="22"/>
      <w:r>
        <w:rPr>
          <w:rFonts w:hint="default" w:ascii="Times New Roman" w:hAnsi="Times New Roman" w:cs="Times New Roman"/>
          <w:color w:val="auto"/>
          <w:sz w:val="24"/>
          <w:szCs w:val="24"/>
          <w:lang w:eastAsia="zh-CN"/>
        </w:rPr>
        <w:t>结构</w:t>
      </w:r>
      <w:r>
        <w:rPr>
          <w:rFonts w:hint="eastAsia" w:ascii="Times New Roman" w:hAnsi="Times New Roman" w:cs="Times New Roman"/>
          <w:color w:val="auto"/>
          <w:sz w:val="24"/>
          <w:szCs w:val="24"/>
          <w:lang w:eastAsia="zh-CN"/>
        </w:rPr>
        <w:t>分析验算。</w:t>
      </w:r>
      <w:r>
        <w:rPr>
          <w:rFonts w:hint="default" w:ascii="Times New Roman" w:hAnsi="Times New Roman" w:cs="Times New Roman"/>
          <w:color w:val="auto"/>
          <w:sz w:val="24"/>
          <w:szCs w:val="24"/>
          <w:lang w:eastAsia="zh-CN"/>
        </w:rPr>
        <w:t>结构验算应有充足的依据，并考虑结构损伤及施工偏差等因素，当发现检测数据不足或检测数据出现异常情况时，应补充检测。结构验算结果输出结果应满足鉴定标准</w:t>
      </w:r>
      <w:r>
        <w:rPr>
          <w:rFonts w:hint="eastAsia" w:ascii="Times New Roman" w:hAnsi="Times New Roman" w:cs="Times New Roman"/>
          <w:color w:val="auto"/>
          <w:sz w:val="24"/>
          <w:szCs w:val="24"/>
          <w:lang w:val="en-US" w:eastAsia="zh-CN"/>
        </w:rPr>
        <w:t>及本导则</w:t>
      </w:r>
      <w:r>
        <w:rPr>
          <w:rFonts w:hint="default" w:ascii="Times New Roman" w:hAnsi="Times New Roman" w:cs="Times New Roman"/>
          <w:color w:val="auto"/>
          <w:sz w:val="24"/>
          <w:szCs w:val="24"/>
          <w:lang w:eastAsia="zh-CN"/>
        </w:rPr>
        <w:t>的</w:t>
      </w:r>
      <w:r>
        <w:rPr>
          <w:rFonts w:hint="eastAsia" w:ascii="Times New Roman" w:hAnsi="Times New Roman" w:cs="Times New Roman"/>
          <w:color w:val="auto"/>
          <w:sz w:val="24"/>
          <w:szCs w:val="24"/>
          <w:lang w:val="en-US" w:eastAsia="zh-CN"/>
        </w:rPr>
        <w:t>需要</w:t>
      </w:r>
      <w:r>
        <w:rPr>
          <w:rFonts w:hint="default" w:ascii="Times New Roman" w:hAnsi="Times New Roman" w:cs="Times New Roman"/>
          <w:color w:val="auto"/>
          <w:sz w:val="24"/>
          <w:szCs w:val="24"/>
          <w:lang w:eastAsia="zh-CN"/>
        </w:rPr>
        <w:t>。</w:t>
      </w:r>
    </w:p>
    <w:p w14:paraId="39E58025">
      <w:pPr>
        <w:spacing w:line="360" w:lineRule="auto"/>
        <w:ind w:firstLine="480" w:firstLineChars="200"/>
        <w:jc w:val="left"/>
        <w:rPr>
          <w:rFonts w:hint="default" w:ascii="Times New Roman" w:hAnsi="Times New Roman" w:cs="Times New Roman"/>
          <w:color w:val="auto"/>
          <w:sz w:val="24"/>
          <w:szCs w:val="24"/>
          <w:lang w:eastAsia="zh-CN"/>
        </w:rPr>
      </w:pPr>
      <w:bookmarkStart w:id="23" w:name="_Toc2775"/>
      <w:r>
        <w:rPr>
          <w:rFonts w:hint="eastAsia" w:ascii="Times New Roman" w:hAnsi="Times New Roman" w:cs="Times New Roman"/>
          <w:color w:val="auto"/>
          <w:sz w:val="24"/>
          <w:szCs w:val="24"/>
          <w:lang w:val="en-US" w:eastAsia="zh-CN"/>
        </w:rPr>
        <w:t xml:space="preserve">6  </w:t>
      </w:r>
      <w:r>
        <w:rPr>
          <w:rFonts w:hint="default" w:ascii="Times New Roman" w:hAnsi="Times New Roman" w:cs="Times New Roman"/>
          <w:color w:val="auto"/>
          <w:sz w:val="24"/>
          <w:szCs w:val="24"/>
          <w:lang w:eastAsia="zh-CN"/>
        </w:rPr>
        <w:t>鉴定评</w:t>
      </w:r>
      <w:bookmarkEnd w:id="23"/>
      <w:r>
        <w:rPr>
          <w:rFonts w:hint="eastAsia" w:ascii="Times New Roman" w:hAnsi="Times New Roman" w:cs="Times New Roman"/>
          <w:color w:val="auto"/>
          <w:sz w:val="24"/>
          <w:szCs w:val="24"/>
          <w:lang w:val="en-US" w:eastAsia="zh-CN"/>
        </w:rPr>
        <w:t>定</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lang w:eastAsia="zh-CN"/>
        </w:rPr>
        <w:t>鉴定评</w:t>
      </w:r>
      <w:r>
        <w:rPr>
          <w:rFonts w:hint="eastAsia" w:ascii="Times New Roman" w:hAnsi="Times New Roman" w:cs="Times New Roman"/>
          <w:color w:val="auto"/>
          <w:sz w:val="24"/>
          <w:szCs w:val="24"/>
          <w:lang w:val="en-US" w:eastAsia="zh-CN"/>
        </w:rPr>
        <w:t>定</w:t>
      </w:r>
      <w:r>
        <w:rPr>
          <w:rFonts w:hint="default" w:ascii="Times New Roman" w:hAnsi="Times New Roman" w:cs="Times New Roman"/>
          <w:color w:val="auto"/>
          <w:sz w:val="24"/>
          <w:szCs w:val="24"/>
          <w:lang w:eastAsia="zh-CN"/>
        </w:rPr>
        <w:t>应在调查、检测、验算的基础上进行，依据应</w:t>
      </w:r>
      <w:r>
        <w:rPr>
          <w:rFonts w:hint="eastAsia" w:ascii="Times New Roman" w:hAnsi="Times New Roman" w:cs="Times New Roman"/>
          <w:color w:val="auto"/>
          <w:sz w:val="24"/>
          <w:szCs w:val="24"/>
          <w:lang w:val="en-US" w:eastAsia="zh-CN"/>
        </w:rPr>
        <w:t>充分</w:t>
      </w:r>
      <w:r>
        <w:rPr>
          <w:rFonts w:hint="default"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结论应</w:t>
      </w:r>
      <w:r>
        <w:rPr>
          <w:rFonts w:hint="default" w:ascii="Times New Roman" w:hAnsi="Times New Roman" w:cs="Times New Roman"/>
          <w:color w:val="auto"/>
          <w:sz w:val="24"/>
          <w:szCs w:val="24"/>
          <w:lang w:eastAsia="zh-CN"/>
        </w:rPr>
        <w:t>全面、准确。</w:t>
      </w:r>
    </w:p>
    <w:p w14:paraId="49DA6165">
      <w:pPr>
        <w:spacing w:line="360" w:lineRule="auto"/>
        <w:ind w:firstLine="480" w:firstLineChars="200"/>
        <w:jc w:val="left"/>
        <w:rPr>
          <w:rFonts w:hint="default" w:ascii="Times New Roman" w:hAnsi="Times New Roman" w:cs="Times New Roman"/>
          <w:color w:val="auto"/>
          <w:sz w:val="24"/>
          <w:szCs w:val="24"/>
          <w:lang w:eastAsia="zh-CN"/>
        </w:rPr>
      </w:pPr>
      <w:bookmarkStart w:id="24" w:name="_Toc3907"/>
      <w:r>
        <w:rPr>
          <w:rFonts w:hint="eastAsia" w:ascii="Times New Roman" w:hAnsi="Times New Roman" w:cs="Times New Roman"/>
          <w:color w:val="auto"/>
          <w:sz w:val="24"/>
          <w:szCs w:val="24"/>
          <w:lang w:val="en-US" w:eastAsia="zh-CN"/>
        </w:rPr>
        <w:t>7  编写检测</w:t>
      </w:r>
      <w:r>
        <w:rPr>
          <w:rFonts w:hint="default" w:ascii="Times New Roman" w:hAnsi="Times New Roman" w:cs="Times New Roman"/>
          <w:color w:val="auto"/>
          <w:sz w:val="24"/>
          <w:szCs w:val="24"/>
          <w:lang w:eastAsia="zh-CN"/>
        </w:rPr>
        <w:t>鉴定报告</w:t>
      </w:r>
      <w:bookmarkEnd w:id="24"/>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检测</w:t>
      </w:r>
      <w:r>
        <w:rPr>
          <w:rFonts w:hint="default" w:ascii="Times New Roman" w:hAnsi="Times New Roman" w:cs="Times New Roman"/>
          <w:color w:val="auto"/>
          <w:sz w:val="24"/>
          <w:szCs w:val="24"/>
          <w:lang w:eastAsia="zh-CN"/>
        </w:rPr>
        <w:t>鉴定报告内容应完整、准确</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lang w:eastAsia="zh-CN"/>
        </w:rPr>
        <w:t>编制应遵循逻辑合理原则，做到观点明确、表述准确、结构严谨、条理清楚、直述不曲、字词规范、无错漏字、标点</w:t>
      </w:r>
      <w:r>
        <w:rPr>
          <w:rFonts w:hint="eastAsia" w:ascii="Times New Roman" w:hAnsi="Times New Roman" w:cs="Times New Roman"/>
          <w:color w:val="auto"/>
          <w:sz w:val="24"/>
          <w:szCs w:val="24"/>
          <w:lang w:val="en-US" w:eastAsia="zh-CN"/>
        </w:rPr>
        <w:t>符号</w:t>
      </w:r>
      <w:r>
        <w:rPr>
          <w:rFonts w:hint="default" w:ascii="Times New Roman" w:hAnsi="Times New Roman" w:cs="Times New Roman"/>
          <w:color w:val="auto"/>
          <w:sz w:val="24"/>
          <w:szCs w:val="24"/>
          <w:lang w:eastAsia="zh-CN"/>
        </w:rPr>
        <w:t>正确。</w:t>
      </w:r>
    </w:p>
    <w:p w14:paraId="36748821">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lang w:val="en-US" w:eastAsia="zh-CN"/>
        </w:rPr>
      </w:pPr>
      <w:r>
        <w:rPr>
          <w:rFonts w:hint="eastAsia" w:ascii="Times New Roman" w:hAnsi="Times New Roman" w:cs="Times New Roman" w:eastAsiaTheme="minorEastAsia"/>
          <w:color w:val="auto"/>
          <w:kern w:val="2"/>
          <w:sz w:val="24"/>
          <w:szCs w:val="24"/>
          <w:lang w:val="en-US" w:eastAsia="zh-CN" w:bidi="ar-SA"/>
        </w:rPr>
        <w:t>8  结果报送。</w:t>
      </w:r>
      <w:r>
        <w:rPr>
          <w:rFonts w:hint="default" w:ascii="Times New Roman" w:hAnsi="Times New Roman" w:cs="Times New Roman" w:eastAsiaTheme="minorEastAsia"/>
          <w:color w:val="auto"/>
          <w:kern w:val="2"/>
          <w:sz w:val="24"/>
          <w:szCs w:val="24"/>
          <w:lang w:val="en-US" w:eastAsia="zh-CN" w:bidi="ar-SA"/>
        </w:rPr>
        <w:t>鉴定机构应当及时向鉴定委托人出具鉴定报告，并将该鉴定报告同时报</w:t>
      </w:r>
      <w:r>
        <w:rPr>
          <w:rFonts w:hint="eastAsia" w:ascii="Times New Roman" w:hAnsi="Times New Roman" w:cs="Times New Roman" w:eastAsiaTheme="minorEastAsia"/>
          <w:color w:val="auto"/>
          <w:kern w:val="2"/>
          <w:sz w:val="24"/>
          <w:szCs w:val="24"/>
          <w:lang w:val="en-US" w:eastAsia="zh-CN" w:bidi="ar-SA"/>
        </w:rPr>
        <w:t>送</w:t>
      </w:r>
      <w:r>
        <w:rPr>
          <w:rFonts w:hint="default" w:ascii="Times New Roman" w:hAnsi="Times New Roman" w:cs="Times New Roman" w:eastAsiaTheme="minorEastAsia"/>
          <w:color w:val="auto"/>
          <w:kern w:val="2"/>
          <w:sz w:val="24"/>
          <w:szCs w:val="24"/>
          <w:lang w:val="en-US" w:eastAsia="zh-CN" w:bidi="ar-SA"/>
        </w:rPr>
        <w:t>房屋所在地的县市区住建部门备案。</w:t>
      </w:r>
      <w:r>
        <w:rPr>
          <w:rFonts w:hint="default" w:ascii="Times New Roman" w:hAnsi="Times New Roman" w:eastAsia="宋体" w:cs="Times New Roman"/>
          <w:color w:val="auto"/>
          <w:lang w:val="en-US" w:eastAsia="zh-CN"/>
        </w:rPr>
        <w:br w:type="page"/>
      </w:r>
    </w:p>
    <w:p w14:paraId="2B525A8A">
      <w:pPr>
        <w:pStyle w:val="3"/>
        <w:bidi w:val="0"/>
        <w:jc w:val="center"/>
        <w:rPr>
          <w:rFonts w:hint="default" w:ascii="Times New Roman" w:hAnsi="Times New Roman" w:eastAsia="宋体" w:cs="Times New Roman"/>
          <w:color w:val="auto"/>
          <w:lang w:val="en-US" w:eastAsia="zh-CN"/>
        </w:rPr>
      </w:pPr>
      <w:bookmarkStart w:id="25" w:name="_Toc29390"/>
      <w:bookmarkStart w:id="26" w:name="_Toc31762"/>
      <w:r>
        <w:rPr>
          <w:rFonts w:hint="eastAsia" w:ascii="Times New Roman" w:hAnsi="Times New Roman" w:eastAsia="宋体" w:cs="Times New Roman"/>
          <w:color w:val="auto"/>
          <w:lang w:val="en-US" w:eastAsia="zh-CN"/>
        </w:rPr>
        <w:t>4</w:t>
      </w:r>
      <w:r>
        <w:rPr>
          <w:rFonts w:hint="default" w:ascii="Times New Roman" w:hAnsi="Times New Roman" w:eastAsia="宋体" w:cs="Times New Roman"/>
          <w:color w:val="auto"/>
          <w:lang w:val="en-US" w:eastAsia="zh-CN"/>
        </w:rPr>
        <w:t xml:space="preserve"> </w:t>
      </w:r>
      <w:r>
        <w:rPr>
          <w:rFonts w:hint="eastAsia"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lang w:val="en-US" w:eastAsia="zh-CN"/>
        </w:rPr>
        <w:t>调查与检测</w:t>
      </w:r>
      <w:bookmarkEnd w:id="25"/>
      <w:bookmarkEnd w:id="26"/>
    </w:p>
    <w:p w14:paraId="21CF10E3">
      <w:pPr>
        <w:pStyle w:val="4"/>
        <w:keepNext/>
        <w:keepLines/>
        <w:pageBreakBefore w:val="0"/>
        <w:widowControl w:val="0"/>
        <w:kinsoku/>
        <w:wordWrap/>
        <w:overflowPunct/>
        <w:topLinePunct w:val="0"/>
        <w:autoSpaceDE/>
        <w:autoSpaceDN/>
        <w:bidi w:val="0"/>
        <w:adjustRightInd/>
        <w:snapToGrid/>
        <w:spacing w:before="120" w:after="120" w:line="360" w:lineRule="auto"/>
        <w:jc w:val="center"/>
        <w:textAlignment w:val="auto"/>
        <w:rPr>
          <w:rFonts w:hint="default" w:ascii="Times New Roman" w:hAnsi="Times New Roman" w:eastAsia="宋体" w:cs="Times New Roman"/>
          <w:b/>
          <w:color w:val="auto"/>
          <w:sz w:val="28"/>
          <w:szCs w:val="28"/>
          <w:highlight w:val="none"/>
          <w:lang w:val="en-US" w:eastAsia="zh-CN"/>
        </w:rPr>
      </w:pPr>
      <w:bookmarkStart w:id="27" w:name="_Toc3038"/>
      <w:r>
        <w:rPr>
          <w:rFonts w:hint="eastAsia" w:ascii="Times New Roman" w:hAnsi="Times New Roman" w:eastAsia="宋体" w:cs="Times New Roman"/>
          <w:b/>
          <w:color w:val="auto"/>
          <w:sz w:val="28"/>
          <w:szCs w:val="28"/>
          <w:highlight w:val="none"/>
          <w:lang w:val="en-US" w:eastAsia="zh-CN"/>
        </w:rPr>
        <w:t>4.1  一般规定</w:t>
      </w:r>
      <w:bookmarkEnd w:id="27"/>
    </w:p>
    <w:p w14:paraId="27682D0A">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eastAsia="zh-CN"/>
        </w:rPr>
        <w:t>4</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rPr>
        <w:t>1.1</w:t>
      </w:r>
      <w:r>
        <w:rPr>
          <w:rFonts w:hint="eastAsia" w:ascii="Times New Roman" w:hAnsi="Times New Roman" w:cs="Times New Roman"/>
          <w:color w:val="auto"/>
          <w:sz w:val="24"/>
          <w:szCs w:val="24"/>
          <w:highlight w:val="none"/>
          <w:lang w:val="en-US" w:eastAsia="zh-CN"/>
        </w:rPr>
        <w:t xml:space="preserve">  </w:t>
      </w:r>
      <w:r>
        <w:rPr>
          <w:rFonts w:hint="eastAsia" w:ascii="Times New Roman" w:hAnsi="Times New Roman" w:cs="Times New Roman"/>
          <w:color w:val="auto"/>
          <w:sz w:val="24"/>
          <w:szCs w:val="24"/>
          <w:highlight w:val="none"/>
        </w:rPr>
        <w:t>调查与检测的</w:t>
      </w:r>
      <w:r>
        <w:rPr>
          <w:rFonts w:hint="eastAsia" w:ascii="Times New Roman" w:hAnsi="Times New Roman" w:cs="Times New Roman"/>
          <w:color w:val="auto"/>
          <w:sz w:val="24"/>
          <w:szCs w:val="24"/>
          <w:highlight w:val="none"/>
          <w:lang w:val="en-US" w:eastAsia="zh-CN"/>
        </w:rPr>
        <w:t>内容</w:t>
      </w:r>
      <w:r>
        <w:rPr>
          <w:rFonts w:hint="eastAsia" w:ascii="Times New Roman" w:hAnsi="Times New Roman" w:cs="Times New Roman"/>
          <w:color w:val="auto"/>
          <w:sz w:val="24"/>
          <w:szCs w:val="24"/>
          <w:highlight w:val="none"/>
        </w:rPr>
        <w:t>、范围和方法应根据委托方提供的资料信息</w:t>
      </w:r>
      <w:r>
        <w:rPr>
          <w:rFonts w:hint="eastAsia" w:ascii="Times New Roman" w:hAnsi="Times New Roman" w:cs="Times New Roman"/>
          <w:color w:val="auto"/>
          <w:sz w:val="24"/>
          <w:szCs w:val="24"/>
          <w:highlight w:val="none"/>
          <w:lang w:val="en-US" w:eastAsia="zh-CN"/>
        </w:rPr>
        <w:t>及鉴定目的</w:t>
      </w:r>
      <w:r>
        <w:rPr>
          <w:rFonts w:hint="eastAsia" w:ascii="Times New Roman" w:hAnsi="Times New Roman" w:cs="Times New Roman"/>
          <w:color w:val="auto"/>
          <w:sz w:val="24"/>
          <w:szCs w:val="24"/>
          <w:highlight w:val="none"/>
        </w:rPr>
        <w:t>确定</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并随</w:t>
      </w:r>
      <w:r>
        <w:rPr>
          <w:rFonts w:hint="eastAsia" w:ascii="Times New Roman" w:hAnsi="Times New Roman" w:cs="Times New Roman"/>
          <w:color w:val="auto"/>
          <w:sz w:val="24"/>
          <w:szCs w:val="24"/>
          <w:highlight w:val="none"/>
        </w:rPr>
        <w:t>调查</w:t>
      </w:r>
      <w:r>
        <w:rPr>
          <w:rFonts w:hint="eastAsia" w:ascii="Times New Roman" w:hAnsi="Times New Roman" w:cs="Times New Roman"/>
          <w:color w:val="auto"/>
          <w:sz w:val="24"/>
          <w:szCs w:val="24"/>
          <w:highlight w:val="none"/>
          <w:lang w:val="en-US" w:eastAsia="zh-CN"/>
        </w:rPr>
        <w:t>检测的开展做出相应调整。</w:t>
      </w:r>
      <w:r>
        <w:rPr>
          <w:rFonts w:hint="eastAsia" w:ascii="Times New Roman" w:hAnsi="Times New Roman" w:cs="Times New Roman"/>
          <w:color w:val="auto"/>
          <w:sz w:val="24"/>
          <w:szCs w:val="24"/>
          <w:highlight w:val="none"/>
          <w:lang w:eastAsia="zh-CN"/>
        </w:rPr>
        <w:t>调查</w:t>
      </w:r>
      <w:r>
        <w:rPr>
          <w:rFonts w:hint="eastAsia" w:ascii="Times New Roman" w:hAnsi="Times New Roman" w:cs="Times New Roman"/>
          <w:color w:val="auto"/>
          <w:sz w:val="24"/>
          <w:szCs w:val="24"/>
          <w:highlight w:val="none"/>
          <w:lang w:val="en-US" w:eastAsia="zh-CN"/>
        </w:rPr>
        <w:t>与</w:t>
      </w:r>
      <w:r>
        <w:rPr>
          <w:rFonts w:hint="eastAsia" w:ascii="Times New Roman" w:hAnsi="Times New Roman" w:cs="Times New Roman"/>
          <w:color w:val="auto"/>
          <w:sz w:val="24"/>
          <w:szCs w:val="24"/>
          <w:highlight w:val="none"/>
          <w:lang w:eastAsia="zh-CN"/>
        </w:rPr>
        <w:t>检测</w:t>
      </w:r>
      <w:r>
        <w:rPr>
          <w:rFonts w:hint="eastAsia" w:ascii="Times New Roman" w:hAnsi="Times New Roman" w:cs="Times New Roman"/>
          <w:color w:val="auto"/>
          <w:sz w:val="24"/>
          <w:szCs w:val="24"/>
          <w:highlight w:val="none"/>
          <w:lang w:val="en-US" w:eastAsia="zh-CN"/>
        </w:rPr>
        <w:t>过程中的关键</w:t>
      </w:r>
      <w:r>
        <w:rPr>
          <w:rFonts w:hint="eastAsia" w:ascii="Times New Roman" w:hAnsi="Times New Roman" w:cs="Times New Roman"/>
          <w:color w:val="auto"/>
          <w:sz w:val="24"/>
          <w:szCs w:val="24"/>
          <w:highlight w:val="none"/>
          <w:lang w:eastAsia="zh-CN"/>
        </w:rPr>
        <w:t>信息数据应采取笔记、拍照、录像等方式进行记录</w:t>
      </w:r>
      <w:r>
        <w:rPr>
          <w:rFonts w:hint="eastAsia" w:ascii="Times New Roman" w:hAnsi="Times New Roman" w:cs="Times New Roman"/>
          <w:color w:val="auto"/>
          <w:sz w:val="24"/>
          <w:szCs w:val="24"/>
          <w:highlight w:val="none"/>
        </w:rPr>
        <w:t>。</w:t>
      </w:r>
    </w:p>
    <w:p w14:paraId="7423C0A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eastAsia="zh-CN"/>
        </w:rPr>
        <w:t>4</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rPr>
        <w:t>1.</w:t>
      </w:r>
      <w:r>
        <w:rPr>
          <w:rFonts w:hint="eastAsia" w:ascii="Times New Roman" w:hAnsi="Times New Roman" w:cs="Times New Roman"/>
          <w:color w:val="auto"/>
          <w:sz w:val="24"/>
          <w:szCs w:val="24"/>
          <w:highlight w:val="none"/>
          <w:lang w:val="en-US" w:eastAsia="zh-CN"/>
        </w:rPr>
        <w:t xml:space="preserve">2  </w:t>
      </w:r>
      <w:r>
        <w:rPr>
          <w:rFonts w:hint="eastAsia" w:ascii="Times New Roman" w:hAnsi="Times New Roman" w:cs="Times New Roman"/>
          <w:color w:val="auto"/>
          <w:sz w:val="24"/>
          <w:szCs w:val="24"/>
          <w:highlight w:val="none"/>
        </w:rPr>
        <w:t>参与现场调查与检测的技术人员不应少于两名，</w:t>
      </w:r>
      <w:r>
        <w:rPr>
          <w:rFonts w:hint="eastAsia" w:ascii="Times New Roman" w:hAnsi="Times New Roman" w:cs="Times New Roman"/>
          <w:color w:val="auto"/>
          <w:sz w:val="24"/>
          <w:szCs w:val="24"/>
          <w:highlight w:val="none"/>
          <w:lang w:val="en-US" w:eastAsia="zh-CN"/>
        </w:rPr>
        <w:t>其中至少一名技术人员应具备建筑工程中级及以上职称。</w:t>
      </w:r>
      <w:r>
        <w:rPr>
          <w:rFonts w:hint="eastAsia" w:ascii="Times New Roman" w:hAnsi="Times New Roman" w:cs="Times New Roman"/>
          <w:color w:val="auto"/>
          <w:sz w:val="24"/>
          <w:szCs w:val="24"/>
          <w:highlight w:val="none"/>
        </w:rPr>
        <w:t>技术人员不得向无关人员传播项目资料和数据。</w:t>
      </w:r>
    </w:p>
    <w:p w14:paraId="2EBCF22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eastAsia="zh-CN"/>
        </w:rPr>
        <w:t>4</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rPr>
        <w:t>1.</w:t>
      </w:r>
      <w:r>
        <w:rPr>
          <w:rFonts w:hint="eastAsia" w:ascii="Times New Roman" w:hAnsi="Times New Roman" w:cs="Times New Roman"/>
          <w:color w:val="auto"/>
          <w:sz w:val="24"/>
          <w:szCs w:val="24"/>
          <w:highlight w:val="none"/>
          <w:lang w:val="en-US" w:eastAsia="zh-CN"/>
        </w:rPr>
        <w:t xml:space="preserve">3  </w:t>
      </w:r>
      <w:r>
        <w:rPr>
          <w:rFonts w:hint="eastAsia" w:ascii="Times New Roman" w:hAnsi="Times New Roman" w:cs="Times New Roman"/>
          <w:color w:val="auto"/>
          <w:sz w:val="24"/>
          <w:szCs w:val="24"/>
          <w:highlight w:val="none"/>
        </w:rPr>
        <w:t>调查与检测</w:t>
      </w:r>
      <w:r>
        <w:rPr>
          <w:rFonts w:hint="eastAsia" w:ascii="Times New Roman" w:hAnsi="Times New Roman" w:cs="Times New Roman"/>
          <w:color w:val="auto"/>
          <w:sz w:val="24"/>
          <w:szCs w:val="24"/>
          <w:highlight w:val="none"/>
          <w:lang w:val="en-US" w:eastAsia="zh-CN"/>
        </w:rPr>
        <w:t>期间仪器设备应处于正常状态且应处于检定、校准的有效期内；当仪器设备需要临时存放于项目现场时，宜规划专用场地、任命专人对设备进行现场管理。</w:t>
      </w:r>
    </w:p>
    <w:p w14:paraId="38E5E66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4</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rPr>
        <w:t>1.</w:t>
      </w:r>
      <w:r>
        <w:rPr>
          <w:rFonts w:hint="eastAsia" w:ascii="Times New Roman" w:hAnsi="Times New Roman" w:cs="Times New Roman"/>
          <w:color w:val="auto"/>
          <w:sz w:val="24"/>
          <w:szCs w:val="24"/>
          <w:highlight w:val="none"/>
          <w:lang w:val="en-US" w:eastAsia="zh-CN"/>
        </w:rPr>
        <w:t xml:space="preserve">4  </w:t>
      </w:r>
      <w:r>
        <w:rPr>
          <w:rFonts w:hint="eastAsia" w:ascii="Times New Roman" w:hAnsi="Times New Roman" w:cs="Times New Roman"/>
          <w:color w:val="auto"/>
          <w:sz w:val="24"/>
          <w:szCs w:val="24"/>
          <w:highlight w:val="none"/>
        </w:rPr>
        <w:t>调查</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rPr>
        <w:t>检测</w:t>
      </w:r>
      <w:r>
        <w:rPr>
          <w:rFonts w:hint="eastAsia" w:ascii="Times New Roman" w:hAnsi="Times New Roman" w:cs="Times New Roman"/>
          <w:color w:val="auto"/>
          <w:sz w:val="24"/>
          <w:szCs w:val="24"/>
          <w:highlight w:val="none"/>
          <w:lang w:eastAsia="zh-CN"/>
        </w:rPr>
        <w:t>的</w:t>
      </w:r>
      <w:r>
        <w:rPr>
          <w:rFonts w:hint="eastAsia" w:ascii="Times New Roman" w:hAnsi="Times New Roman" w:cs="Times New Roman"/>
          <w:color w:val="auto"/>
          <w:sz w:val="24"/>
          <w:szCs w:val="24"/>
          <w:highlight w:val="none"/>
          <w:lang w:val="en-US" w:eastAsia="zh-CN"/>
        </w:rPr>
        <w:t>实施</w:t>
      </w:r>
      <w:r>
        <w:rPr>
          <w:rFonts w:hint="eastAsia" w:ascii="Times New Roman" w:hAnsi="Times New Roman" w:cs="Times New Roman"/>
          <w:color w:val="auto"/>
          <w:sz w:val="24"/>
          <w:szCs w:val="24"/>
          <w:highlight w:val="none"/>
        </w:rPr>
        <w:t>应结合检测鉴定方案，按照GB</w:t>
      </w:r>
      <w:r>
        <w:rPr>
          <w:rFonts w:hint="eastAsia" w:ascii="Times New Roman" w:hAnsi="Times New Roman" w:cs="Times New Roman"/>
          <w:color w:val="auto"/>
          <w:sz w:val="24"/>
          <w:szCs w:val="24"/>
          <w:highlight w:val="none"/>
          <w:lang w:val="en-US" w:eastAsia="zh-CN"/>
        </w:rPr>
        <w:t>50144</w:t>
      </w:r>
      <w:r>
        <w:rPr>
          <w:rFonts w:hint="eastAsia" w:ascii="Times New Roman" w:hAnsi="Times New Roman" w:cs="Times New Roman"/>
          <w:color w:val="auto"/>
          <w:sz w:val="24"/>
          <w:szCs w:val="24"/>
          <w:highlight w:val="none"/>
        </w:rPr>
        <w:t>及本导则的要求进行</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鉴定方案编制过程中应与委托方充分沟通，说明收集检测内容的依据及必要性，必要时通过专家论证评价方案的可行性。鉴定方案应包括但不限于以下内容：</w:t>
      </w:r>
    </w:p>
    <w:p w14:paraId="7694C40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1  建筑物概况；</w:t>
      </w:r>
    </w:p>
    <w:p w14:paraId="217A9FB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2  鉴定类别、鉴定目的和范围；</w:t>
      </w:r>
    </w:p>
    <w:p w14:paraId="1D6875E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3  鉴定主要依据；</w:t>
      </w:r>
    </w:p>
    <w:p w14:paraId="5521D12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4  调查、图纸复核和检测；</w:t>
      </w:r>
    </w:p>
    <w:p w14:paraId="794A25A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5  抽样方案及鉴定程序；</w:t>
      </w:r>
    </w:p>
    <w:p w14:paraId="30B860F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6  拟参与鉴定的人员和仪器设备；</w:t>
      </w:r>
    </w:p>
    <w:p w14:paraId="13B012F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7  鉴定工作进度计划；</w:t>
      </w:r>
    </w:p>
    <w:p w14:paraId="3D4D161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8  安全文明检测措施、现场应急处置预案；</w:t>
      </w:r>
    </w:p>
    <w:p w14:paraId="237068D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9  委托方应提供的资料及需要协助的内容；</w:t>
      </w:r>
    </w:p>
    <w:p w14:paraId="7FEDF78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 xml:space="preserve">10 </w:t>
      </w:r>
      <w:r>
        <w:rPr>
          <w:rFonts w:hint="eastAsia" w:ascii="Times New Roman" w:hAnsi="Times New Roman" w:eastAsia="宋体" w:cs="Times New Roman"/>
          <w:color w:val="auto"/>
          <w:kern w:val="0"/>
          <w:sz w:val="24"/>
          <w:szCs w:val="24"/>
          <w:lang w:val="en-US" w:eastAsia="zh-CN" w:bidi="ar"/>
        </w:rPr>
        <w:t xml:space="preserve"> </w:t>
      </w:r>
      <w:r>
        <w:rPr>
          <w:rFonts w:hint="default" w:ascii="Times New Roman" w:hAnsi="Times New Roman" w:eastAsia="宋体" w:cs="Times New Roman"/>
          <w:color w:val="auto"/>
          <w:kern w:val="0"/>
          <w:sz w:val="24"/>
          <w:szCs w:val="24"/>
          <w:lang w:val="en-US" w:eastAsia="zh-CN" w:bidi="ar"/>
        </w:rPr>
        <w:t>现场修复要求及其他约定。</w:t>
      </w:r>
    </w:p>
    <w:p w14:paraId="2F8A3932">
      <w:pPr>
        <w:spacing w:line="360" w:lineRule="auto"/>
        <w:jc w:val="left"/>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4.1.5  检测应根据鉴定目的、建筑结构状况和现场条件选择适用的检验、测试、观测和监测等方法。既有结构性能的检测宜采用国家现行有关标准规定的方法。当事先告知委托方且具有相应检测操作的检测细则时，既有结构性能的检测可采用下列方法进行：</w:t>
      </w:r>
    </w:p>
    <w:p w14:paraId="0A608BD7">
      <w:pPr>
        <w:spacing w:line="360" w:lineRule="auto"/>
        <w:ind w:firstLine="480" w:firstLineChars="200"/>
        <w:jc w:val="left"/>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1  扩大国家现行有关标准规定方法的适用范围的检测方法：</w:t>
      </w:r>
    </w:p>
    <w:p w14:paraId="4EF15FB0">
      <w:pPr>
        <w:spacing w:line="360" w:lineRule="auto"/>
        <w:ind w:firstLine="480" w:firstLineChars="200"/>
        <w:jc w:val="left"/>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2  调整国家现行有关标准规定方法的操作措施的检测方法。</w:t>
      </w:r>
    </w:p>
    <w:p w14:paraId="0ACE5E66">
      <w:pPr>
        <w:spacing w:line="360" w:lineRule="auto"/>
        <w:jc w:val="left"/>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4.1.6  当既有建筑结构的工程图纸资料不全、缺失、失真或存疑时，下列内容宜进行全数调查检测：</w:t>
      </w:r>
    </w:p>
    <w:p w14:paraId="10AE9735">
      <w:pPr>
        <w:spacing w:line="360" w:lineRule="auto"/>
        <w:ind w:firstLine="480" w:firstLineChars="200"/>
        <w:jc w:val="left"/>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1  结构体系的构件布置和重要构造核查；</w:t>
      </w:r>
    </w:p>
    <w:p w14:paraId="20666EFF">
      <w:pPr>
        <w:spacing w:line="360" w:lineRule="auto"/>
        <w:ind w:firstLine="480" w:firstLineChars="200"/>
        <w:jc w:val="left"/>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2  支座节点和连接形式的核查；</w:t>
      </w:r>
    </w:p>
    <w:p w14:paraId="025985FD">
      <w:pPr>
        <w:spacing w:line="360" w:lineRule="auto"/>
        <w:ind w:firstLine="480" w:firstLineChars="200"/>
        <w:jc w:val="left"/>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3  可见缺陷和可见损伤现场检查；</w:t>
      </w:r>
    </w:p>
    <w:p w14:paraId="6FF63180">
      <w:pPr>
        <w:spacing w:line="360" w:lineRule="auto"/>
        <w:ind w:firstLine="480" w:firstLineChars="200"/>
        <w:jc w:val="left"/>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4  结构构件明显位移、变形和偏差的检查。</w:t>
      </w:r>
    </w:p>
    <w:p w14:paraId="393E3E7C">
      <w:pPr>
        <w:spacing w:line="360" w:lineRule="auto"/>
        <w:jc w:val="left"/>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4.1.7  当为鉴定原结构、构件在剩余设计工作年限内的安全性时‌，应按不低于原建造时的荷载规范和设计规范进行验算。如果原结构、构件出现过与永久荷载和可变荷载相关的较大变形或损伤，则相关性能指标应按现行规范与标准的规定进行检测及验算，当存在争议时，可进一步通过荷载试验确定。</w:t>
      </w:r>
    </w:p>
    <w:p w14:paraId="6BA30BAC">
      <w:pPr>
        <w:spacing w:line="360" w:lineRule="auto"/>
        <w:jc w:val="left"/>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4.1.8  当档案资料完整且盖章签字齐全时，可按《建筑结构检测技术标准》GB/T50344表3.3.10建筑结构抽样检测的最小样本容量类别A进行校核性检测，符合原设计要求时，可采用原设计资料给出结果；当缺少资料或有怀疑时，按类别B进行详细检测；如检测过程中，发现多处不符合原设计要求的，至少按类别C进行检测</w:t>
      </w:r>
      <w:r>
        <w:rPr>
          <w:rFonts w:hint="eastAsia" w:ascii="Times New Roman" w:hAnsi="Times New Roman" w:cs="Times New Roman"/>
          <w:color w:val="auto"/>
          <w:sz w:val="24"/>
          <w:szCs w:val="24"/>
          <w:highlight w:val="none"/>
          <w:lang w:eastAsia="zh-CN"/>
        </w:rPr>
        <w:t>。</w:t>
      </w:r>
    </w:p>
    <w:p w14:paraId="2E721474">
      <w:pPr>
        <w:spacing w:line="360" w:lineRule="auto"/>
        <w:jc w:val="left"/>
        <w:rPr>
          <w:rFonts w:hint="eastAsia"/>
          <w:color w:val="auto"/>
          <w:sz w:val="24"/>
          <w:szCs w:val="24"/>
          <w:lang w:val="en-US" w:eastAsia="zh-CN"/>
        </w:rPr>
      </w:pPr>
      <w:r>
        <w:rPr>
          <w:rFonts w:hint="eastAsia" w:ascii="Times New Roman" w:hAnsi="Times New Roman" w:cs="Times New Roman"/>
          <w:color w:val="auto"/>
          <w:sz w:val="24"/>
          <w:szCs w:val="24"/>
          <w:highlight w:val="none"/>
          <w:lang w:val="en-US" w:eastAsia="zh-CN"/>
        </w:rPr>
        <w:t>4.1</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 xml:space="preserve">9  </w:t>
      </w:r>
      <w:r>
        <w:rPr>
          <w:rFonts w:hint="eastAsia" w:ascii="Times New Roman" w:hAnsi="Times New Roman" w:cs="Times New Roman"/>
          <w:color w:val="auto"/>
          <w:sz w:val="24"/>
          <w:szCs w:val="24"/>
          <w:highlight w:val="none"/>
          <w:lang w:eastAsia="zh-CN"/>
        </w:rPr>
        <w:t>既有结构检测应为结构的评定提供真实、可靠、有效的数据和检测结果，检测结果</w:t>
      </w:r>
      <w:r>
        <w:rPr>
          <w:rFonts w:hint="eastAsia" w:ascii="Times New Roman" w:hAnsi="Times New Roman" w:cs="Times New Roman"/>
          <w:color w:val="auto"/>
          <w:sz w:val="24"/>
          <w:szCs w:val="24"/>
          <w:highlight w:val="none"/>
          <w:lang w:val="en-US" w:eastAsia="zh-CN"/>
        </w:rPr>
        <w:t>可</w:t>
      </w:r>
      <w:r>
        <w:rPr>
          <w:rFonts w:hint="eastAsia" w:ascii="Times New Roman" w:hAnsi="Times New Roman" w:cs="Times New Roman"/>
          <w:color w:val="auto"/>
          <w:sz w:val="24"/>
          <w:szCs w:val="24"/>
          <w:highlight w:val="none"/>
          <w:lang w:eastAsia="zh-CN"/>
        </w:rPr>
        <w:t>不进行符合性判定。</w:t>
      </w:r>
    </w:p>
    <w:p w14:paraId="7C9EC28E">
      <w:pPr>
        <w:pStyle w:val="4"/>
        <w:keepNext/>
        <w:keepLines/>
        <w:pageBreakBefore w:val="0"/>
        <w:widowControl w:val="0"/>
        <w:kinsoku/>
        <w:wordWrap/>
        <w:overflowPunct/>
        <w:topLinePunct w:val="0"/>
        <w:autoSpaceDE/>
        <w:autoSpaceDN/>
        <w:bidi w:val="0"/>
        <w:adjustRightInd/>
        <w:snapToGrid/>
        <w:spacing w:before="120" w:after="120" w:line="360" w:lineRule="auto"/>
        <w:jc w:val="center"/>
        <w:textAlignment w:val="auto"/>
        <w:rPr>
          <w:rFonts w:hint="default" w:ascii="Times New Roman" w:hAnsi="Times New Roman" w:eastAsia="宋体" w:cs="Times New Roman"/>
          <w:color w:val="auto"/>
          <w:sz w:val="28"/>
          <w:szCs w:val="28"/>
          <w:lang w:val="en-US" w:eastAsia="zh-CN"/>
        </w:rPr>
      </w:pPr>
      <w:bookmarkStart w:id="28" w:name="_Toc15822"/>
      <w:r>
        <w:rPr>
          <w:rFonts w:hint="eastAsia" w:ascii="Times New Roman" w:hAnsi="Times New Roman" w:eastAsia="宋体" w:cs="Times New Roman"/>
          <w:color w:val="auto"/>
          <w:sz w:val="28"/>
          <w:szCs w:val="28"/>
          <w:lang w:val="en-US" w:eastAsia="zh-CN"/>
        </w:rPr>
        <w:t>4</w:t>
      </w:r>
      <w:r>
        <w:rPr>
          <w:rFonts w:hint="default" w:ascii="Times New Roman" w:hAnsi="Times New Roman" w:eastAsia="宋体" w:cs="Times New Roman"/>
          <w:color w:val="auto"/>
          <w:sz w:val="28"/>
          <w:szCs w:val="28"/>
          <w:lang w:val="en-US" w:eastAsia="zh-CN"/>
        </w:rPr>
        <w:t>.</w:t>
      </w:r>
      <w:r>
        <w:rPr>
          <w:rFonts w:hint="eastAsia" w:ascii="Times New Roman" w:hAnsi="Times New Roman" w:eastAsia="宋体" w:cs="Times New Roman"/>
          <w:color w:val="auto"/>
          <w:sz w:val="28"/>
          <w:szCs w:val="28"/>
          <w:lang w:val="en-US" w:eastAsia="zh-CN"/>
        </w:rPr>
        <w:t>2</w:t>
      </w:r>
      <w:r>
        <w:rPr>
          <w:rFonts w:hint="default" w:ascii="Times New Roman" w:hAnsi="Times New Roman" w:eastAsia="宋体" w:cs="Times New Roman"/>
          <w:color w:val="auto"/>
          <w:sz w:val="28"/>
          <w:szCs w:val="28"/>
          <w:lang w:val="en-US" w:eastAsia="zh-CN"/>
        </w:rPr>
        <w:t xml:space="preserve"> </w:t>
      </w:r>
      <w:r>
        <w:rPr>
          <w:rFonts w:hint="eastAsia" w:ascii="Times New Roman" w:hAnsi="Times New Roman" w:eastAsia="宋体" w:cs="Times New Roman"/>
          <w:color w:val="auto"/>
          <w:sz w:val="28"/>
          <w:szCs w:val="28"/>
          <w:lang w:val="en-US" w:eastAsia="zh-CN"/>
        </w:rPr>
        <w:t xml:space="preserve"> 现场委托</w:t>
      </w:r>
      <w:bookmarkEnd w:id="28"/>
    </w:p>
    <w:p w14:paraId="32FBA64A">
      <w:pPr>
        <w:spacing w:line="360" w:lineRule="auto"/>
        <w:jc w:val="left"/>
        <w:rPr>
          <w:rFonts w:hint="default" w:ascii="Times New Roman" w:hAnsi="Times New Roman" w:cs="Times New Roman" w:eastAsiaTheme="minorEastAsia"/>
          <w:b w:val="0"/>
          <w:color w:val="auto"/>
          <w:kern w:val="2"/>
          <w:sz w:val="24"/>
          <w:szCs w:val="24"/>
          <w:lang w:val="en-US" w:eastAsia="zh-CN" w:bidi="ar-SA"/>
        </w:rPr>
      </w:pPr>
      <w:r>
        <w:rPr>
          <w:rFonts w:hint="eastAsia" w:ascii="Times New Roman" w:hAnsi="Times New Roman" w:cs="Times New Roman"/>
          <w:b w:val="0"/>
          <w:bCs w:val="0"/>
          <w:color w:val="auto"/>
          <w:kern w:val="2"/>
          <w:sz w:val="24"/>
          <w:szCs w:val="24"/>
          <w:lang w:val="en-US" w:eastAsia="zh-CN" w:bidi="ar-SA"/>
        </w:rPr>
        <w:t>4</w:t>
      </w:r>
      <w:r>
        <w:rPr>
          <w:rFonts w:hint="default" w:ascii="Times New Roman" w:hAnsi="Times New Roman" w:cs="Times New Roman" w:eastAsiaTheme="minorEastAsia"/>
          <w:b w:val="0"/>
          <w:bCs w:val="0"/>
          <w:color w:val="auto"/>
          <w:kern w:val="2"/>
          <w:sz w:val="24"/>
          <w:szCs w:val="24"/>
          <w:lang w:val="en-US" w:eastAsia="zh-CN" w:bidi="ar-SA"/>
        </w:rPr>
        <w:t>.</w:t>
      </w:r>
      <w:r>
        <w:rPr>
          <w:rFonts w:hint="eastAsia" w:ascii="Times New Roman" w:hAnsi="Times New Roman" w:cs="Times New Roman"/>
          <w:b w:val="0"/>
          <w:bCs w:val="0"/>
          <w:color w:val="auto"/>
          <w:kern w:val="2"/>
          <w:sz w:val="24"/>
          <w:szCs w:val="24"/>
          <w:lang w:val="en-US" w:eastAsia="zh-CN" w:bidi="ar-SA"/>
        </w:rPr>
        <w:t>2</w:t>
      </w:r>
      <w:r>
        <w:rPr>
          <w:rFonts w:hint="default" w:ascii="Times New Roman" w:hAnsi="Times New Roman" w:cs="Times New Roman" w:eastAsiaTheme="minorEastAsia"/>
          <w:b w:val="0"/>
          <w:bCs w:val="0"/>
          <w:color w:val="auto"/>
          <w:kern w:val="2"/>
          <w:sz w:val="24"/>
          <w:szCs w:val="24"/>
          <w:lang w:val="en-US" w:eastAsia="zh-CN" w:bidi="ar-SA"/>
        </w:rPr>
        <w:t>.1</w:t>
      </w:r>
      <w:r>
        <w:rPr>
          <w:rFonts w:hint="default" w:ascii="Times New Roman" w:hAnsi="Times New Roman" w:cs="Times New Roman" w:eastAsiaTheme="minorEastAsia"/>
          <w:b w:val="0"/>
          <w:color w:val="auto"/>
          <w:kern w:val="2"/>
          <w:sz w:val="24"/>
          <w:szCs w:val="24"/>
          <w:lang w:val="en-US" w:eastAsia="zh-CN" w:bidi="ar-SA"/>
        </w:rPr>
        <w:t xml:space="preserve"> </w:t>
      </w:r>
      <w:r>
        <w:rPr>
          <w:rFonts w:hint="eastAsia" w:ascii="Times New Roman" w:hAnsi="Times New Roman" w:cs="Times New Roman"/>
          <w:b w:val="0"/>
          <w:color w:val="auto"/>
          <w:kern w:val="2"/>
          <w:sz w:val="24"/>
          <w:szCs w:val="24"/>
          <w:lang w:val="en-US" w:eastAsia="zh-CN" w:bidi="ar-SA"/>
        </w:rPr>
        <w:t xml:space="preserve"> </w:t>
      </w:r>
      <w:r>
        <w:rPr>
          <w:rFonts w:hint="default" w:ascii="Times New Roman" w:hAnsi="Times New Roman" w:cs="Times New Roman" w:eastAsiaTheme="minorEastAsia"/>
          <w:b w:val="0"/>
          <w:color w:val="auto"/>
          <w:kern w:val="2"/>
          <w:sz w:val="24"/>
          <w:szCs w:val="24"/>
          <w:lang w:val="en-US" w:eastAsia="zh-CN" w:bidi="ar-SA"/>
        </w:rPr>
        <w:t>工业建筑可靠性鉴定接受委托时，应详细了解委托方提出的鉴定原因和要求，确定鉴定的目的、范围、内容和鉴定选用的主要依据标准等，必要时应经初步调查后再确定。</w:t>
      </w:r>
    </w:p>
    <w:p w14:paraId="4664E9E1">
      <w:pPr>
        <w:spacing w:line="360" w:lineRule="auto"/>
        <w:jc w:val="left"/>
        <w:rPr>
          <w:rFonts w:hint="default" w:ascii="Times New Roman" w:hAnsi="Times New Roman" w:cs="Times New Roman" w:eastAsiaTheme="minorEastAsia"/>
          <w:b/>
          <w:bCs/>
          <w:color w:val="auto"/>
          <w:kern w:val="2"/>
          <w:sz w:val="24"/>
          <w:szCs w:val="24"/>
          <w:lang w:val="en-US" w:eastAsia="zh-CN" w:bidi="ar-SA"/>
        </w:rPr>
      </w:pPr>
      <w:r>
        <w:rPr>
          <w:rFonts w:hint="eastAsia" w:ascii="Times New Roman" w:hAnsi="Times New Roman" w:cs="Times New Roman"/>
          <w:b w:val="0"/>
          <w:bCs w:val="0"/>
          <w:color w:val="auto"/>
          <w:kern w:val="2"/>
          <w:sz w:val="24"/>
          <w:szCs w:val="24"/>
          <w:lang w:val="en-US" w:eastAsia="zh-CN" w:bidi="ar-SA"/>
        </w:rPr>
        <w:t>4</w:t>
      </w:r>
      <w:r>
        <w:rPr>
          <w:rFonts w:hint="eastAsia" w:ascii="Times New Roman" w:hAnsi="Times New Roman" w:cs="Times New Roman" w:eastAsiaTheme="minorEastAsia"/>
          <w:b w:val="0"/>
          <w:bCs w:val="0"/>
          <w:color w:val="auto"/>
          <w:kern w:val="2"/>
          <w:sz w:val="24"/>
          <w:szCs w:val="24"/>
          <w:lang w:val="en-US" w:eastAsia="zh-CN" w:bidi="ar-SA"/>
        </w:rPr>
        <w:t>.</w:t>
      </w:r>
      <w:r>
        <w:rPr>
          <w:rFonts w:hint="eastAsia" w:ascii="Times New Roman" w:hAnsi="Times New Roman" w:cs="Times New Roman"/>
          <w:b w:val="0"/>
          <w:bCs w:val="0"/>
          <w:color w:val="auto"/>
          <w:kern w:val="2"/>
          <w:sz w:val="24"/>
          <w:szCs w:val="24"/>
          <w:lang w:val="en-US" w:eastAsia="zh-CN" w:bidi="ar-SA"/>
        </w:rPr>
        <w:t>2</w:t>
      </w:r>
      <w:r>
        <w:rPr>
          <w:rFonts w:hint="eastAsia" w:ascii="Times New Roman" w:hAnsi="Times New Roman" w:cs="Times New Roman" w:eastAsiaTheme="minorEastAsia"/>
          <w:b w:val="0"/>
          <w:bCs w:val="0"/>
          <w:color w:val="auto"/>
          <w:kern w:val="2"/>
          <w:sz w:val="24"/>
          <w:szCs w:val="24"/>
          <w:lang w:val="en-US" w:eastAsia="zh-CN" w:bidi="ar-SA"/>
        </w:rPr>
        <w:t xml:space="preserve">.2 </w:t>
      </w:r>
      <w:r>
        <w:rPr>
          <w:rFonts w:hint="eastAsia" w:ascii="Times New Roman" w:hAnsi="Times New Roman" w:cs="Times New Roman"/>
          <w:b/>
          <w:bCs/>
          <w:color w:val="auto"/>
          <w:kern w:val="2"/>
          <w:sz w:val="24"/>
          <w:szCs w:val="24"/>
          <w:lang w:val="en-US" w:eastAsia="zh-CN" w:bidi="ar-SA"/>
        </w:rPr>
        <w:t xml:space="preserve"> </w:t>
      </w:r>
      <w:r>
        <w:rPr>
          <w:rFonts w:hint="eastAsia" w:ascii="Times New Roman" w:hAnsi="Times New Roman" w:cs="Times New Roman"/>
          <w:color w:val="auto"/>
          <w:sz w:val="24"/>
          <w:szCs w:val="24"/>
          <w:highlight w:val="none"/>
          <w:lang w:eastAsia="zh-CN"/>
        </w:rPr>
        <w:t>受理的鉴定内容应当满足委托方的鉴定需求及国家相应规范标准的要求，若无法满足应给出</w:t>
      </w:r>
      <w:r>
        <w:rPr>
          <w:rFonts w:hint="eastAsia" w:ascii="Times New Roman" w:hAnsi="Times New Roman" w:cs="Times New Roman"/>
          <w:color w:val="auto"/>
          <w:sz w:val="24"/>
          <w:szCs w:val="24"/>
          <w:highlight w:val="none"/>
          <w:lang w:val="en-US" w:eastAsia="zh-CN"/>
        </w:rPr>
        <w:t>相应</w:t>
      </w:r>
      <w:r>
        <w:rPr>
          <w:rFonts w:hint="eastAsia" w:ascii="Times New Roman" w:hAnsi="Times New Roman" w:cs="Times New Roman"/>
          <w:color w:val="auto"/>
          <w:sz w:val="24"/>
          <w:szCs w:val="24"/>
          <w:highlight w:val="none"/>
          <w:lang w:eastAsia="zh-CN"/>
        </w:rPr>
        <w:t>的风险提示。</w:t>
      </w:r>
    </w:p>
    <w:p w14:paraId="6321A198">
      <w:pPr>
        <w:spacing w:line="360" w:lineRule="auto"/>
        <w:jc w:val="left"/>
        <w:rPr>
          <w:rFonts w:hint="default" w:ascii="Times New Roman" w:hAnsi="Times New Roman" w:cs="Times New Roman" w:eastAsiaTheme="minorEastAsia"/>
          <w:b w:val="0"/>
          <w:color w:val="auto"/>
          <w:kern w:val="2"/>
          <w:sz w:val="24"/>
          <w:szCs w:val="24"/>
          <w:lang w:val="en-US" w:eastAsia="zh-CN" w:bidi="ar-SA"/>
        </w:rPr>
      </w:pPr>
      <w:r>
        <w:rPr>
          <w:rFonts w:hint="eastAsia" w:ascii="Times New Roman" w:hAnsi="Times New Roman" w:cs="Times New Roman"/>
          <w:b w:val="0"/>
          <w:bCs w:val="0"/>
          <w:color w:val="auto"/>
          <w:kern w:val="2"/>
          <w:sz w:val="24"/>
          <w:szCs w:val="24"/>
          <w:lang w:val="en-US" w:eastAsia="zh-CN" w:bidi="ar-SA"/>
        </w:rPr>
        <w:t>4</w:t>
      </w:r>
      <w:r>
        <w:rPr>
          <w:rFonts w:hint="default" w:ascii="Times New Roman" w:hAnsi="Times New Roman" w:cs="Times New Roman" w:eastAsiaTheme="minorEastAsia"/>
          <w:b w:val="0"/>
          <w:bCs w:val="0"/>
          <w:color w:val="auto"/>
          <w:kern w:val="2"/>
          <w:sz w:val="24"/>
          <w:szCs w:val="24"/>
          <w:lang w:val="en-US" w:eastAsia="zh-CN" w:bidi="ar-SA"/>
        </w:rPr>
        <w:t>.</w:t>
      </w:r>
      <w:r>
        <w:rPr>
          <w:rFonts w:hint="eastAsia" w:ascii="Times New Roman" w:hAnsi="Times New Roman" w:cs="Times New Roman"/>
          <w:b w:val="0"/>
          <w:bCs w:val="0"/>
          <w:color w:val="auto"/>
          <w:kern w:val="2"/>
          <w:sz w:val="24"/>
          <w:szCs w:val="24"/>
          <w:lang w:val="en-US" w:eastAsia="zh-CN" w:bidi="ar-SA"/>
        </w:rPr>
        <w:t>2</w:t>
      </w:r>
      <w:r>
        <w:rPr>
          <w:rFonts w:hint="default" w:ascii="Times New Roman" w:hAnsi="Times New Roman" w:cs="Times New Roman" w:eastAsiaTheme="minorEastAsia"/>
          <w:b w:val="0"/>
          <w:bCs w:val="0"/>
          <w:color w:val="auto"/>
          <w:kern w:val="2"/>
          <w:sz w:val="24"/>
          <w:szCs w:val="24"/>
          <w:lang w:val="en-US" w:eastAsia="zh-CN" w:bidi="ar-SA"/>
        </w:rPr>
        <w:t>.</w:t>
      </w:r>
      <w:r>
        <w:rPr>
          <w:rFonts w:hint="eastAsia" w:ascii="Times New Roman" w:hAnsi="Times New Roman" w:cs="Times New Roman" w:eastAsiaTheme="minorEastAsia"/>
          <w:b w:val="0"/>
          <w:bCs w:val="0"/>
          <w:color w:val="auto"/>
          <w:kern w:val="2"/>
          <w:sz w:val="24"/>
          <w:szCs w:val="24"/>
          <w:lang w:val="en-US" w:eastAsia="zh-CN" w:bidi="ar-SA"/>
        </w:rPr>
        <w:t xml:space="preserve">3 </w:t>
      </w:r>
      <w:r>
        <w:rPr>
          <w:rFonts w:hint="default" w:ascii="Times New Roman" w:hAnsi="Times New Roman" w:cs="Times New Roman" w:eastAsiaTheme="minorEastAsia"/>
          <w:b w:val="0"/>
          <w:color w:val="auto"/>
          <w:kern w:val="2"/>
          <w:sz w:val="24"/>
          <w:szCs w:val="24"/>
          <w:lang w:val="en-US" w:eastAsia="zh-CN" w:bidi="ar-SA"/>
        </w:rPr>
        <w:t xml:space="preserve"> 鉴定机构应指导委托方正确填写《工业建筑可靠性鉴定委托书》（见附录A），委托方为单位的，委托书应加盖单位公章；委托方为个人的，应有委托人签字或加盖私章。</w:t>
      </w:r>
    </w:p>
    <w:p w14:paraId="4535692F">
      <w:pPr>
        <w:spacing w:line="360" w:lineRule="auto"/>
        <w:jc w:val="left"/>
        <w:rPr>
          <w:rFonts w:hint="default" w:ascii="Times New Roman" w:hAnsi="Times New Roman" w:cs="Times New Roman" w:eastAsiaTheme="minorEastAsia"/>
          <w:b w:val="0"/>
          <w:color w:val="auto"/>
          <w:kern w:val="2"/>
          <w:sz w:val="24"/>
          <w:szCs w:val="24"/>
          <w:lang w:val="en-US" w:eastAsia="zh-CN" w:bidi="ar-SA"/>
        </w:rPr>
      </w:pPr>
      <w:r>
        <w:rPr>
          <w:rFonts w:hint="eastAsia" w:ascii="Times New Roman" w:hAnsi="Times New Roman" w:cs="Times New Roman"/>
          <w:b w:val="0"/>
          <w:bCs w:val="0"/>
          <w:color w:val="auto"/>
          <w:kern w:val="2"/>
          <w:sz w:val="24"/>
          <w:szCs w:val="24"/>
          <w:lang w:val="en-US" w:eastAsia="zh-CN" w:bidi="ar-SA"/>
        </w:rPr>
        <w:t>4</w:t>
      </w:r>
      <w:r>
        <w:rPr>
          <w:rFonts w:hint="default" w:ascii="Times New Roman" w:hAnsi="Times New Roman" w:cs="Times New Roman" w:eastAsiaTheme="minorEastAsia"/>
          <w:b w:val="0"/>
          <w:bCs w:val="0"/>
          <w:color w:val="auto"/>
          <w:kern w:val="2"/>
          <w:sz w:val="24"/>
          <w:szCs w:val="24"/>
          <w:lang w:val="en-US" w:eastAsia="zh-CN" w:bidi="ar-SA"/>
        </w:rPr>
        <w:t>.</w:t>
      </w:r>
      <w:r>
        <w:rPr>
          <w:rFonts w:hint="eastAsia" w:ascii="Times New Roman" w:hAnsi="Times New Roman" w:cs="Times New Roman"/>
          <w:b w:val="0"/>
          <w:bCs w:val="0"/>
          <w:color w:val="auto"/>
          <w:kern w:val="2"/>
          <w:sz w:val="24"/>
          <w:szCs w:val="24"/>
          <w:lang w:val="en-US" w:eastAsia="zh-CN" w:bidi="ar-SA"/>
        </w:rPr>
        <w:t>2</w:t>
      </w:r>
      <w:r>
        <w:rPr>
          <w:rFonts w:hint="default" w:ascii="Times New Roman" w:hAnsi="Times New Roman" w:cs="Times New Roman" w:eastAsiaTheme="minorEastAsia"/>
          <w:b w:val="0"/>
          <w:bCs w:val="0"/>
          <w:color w:val="auto"/>
          <w:kern w:val="2"/>
          <w:sz w:val="24"/>
          <w:szCs w:val="24"/>
          <w:lang w:val="en-US" w:eastAsia="zh-CN" w:bidi="ar-SA"/>
        </w:rPr>
        <w:t>.</w:t>
      </w:r>
      <w:r>
        <w:rPr>
          <w:rFonts w:hint="eastAsia" w:ascii="Times New Roman" w:hAnsi="Times New Roman" w:cs="Times New Roman" w:eastAsiaTheme="minorEastAsia"/>
          <w:b w:val="0"/>
          <w:bCs w:val="0"/>
          <w:color w:val="auto"/>
          <w:kern w:val="2"/>
          <w:sz w:val="24"/>
          <w:szCs w:val="24"/>
          <w:lang w:val="en-US" w:eastAsia="zh-CN" w:bidi="ar-SA"/>
        </w:rPr>
        <w:t xml:space="preserve">4 </w:t>
      </w:r>
      <w:r>
        <w:rPr>
          <w:rFonts w:hint="default" w:ascii="Times New Roman" w:hAnsi="Times New Roman" w:cs="Times New Roman" w:eastAsiaTheme="minorEastAsia"/>
          <w:b w:val="0"/>
          <w:color w:val="auto"/>
          <w:kern w:val="2"/>
          <w:sz w:val="24"/>
          <w:szCs w:val="24"/>
          <w:lang w:val="en-US" w:eastAsia="zh-CN" w:bidi="ar-SA"/>
        </w:rPr>
        <w:t xml:space="preserve"> 委托人和委托单位应如实说明委托鉴定的建筑物或构筑物的历史工况、是否受过自然灾害、是否存在改扩建、是否有使用功能的改变，并提供建筑的产权和相关图纸等技术资料。</w:t>
      </w:r>
    </w:p>
    <w:p w14:paraId="3C9B9EB4">
      <w:pPr>
        <w:spacing w:line="360" w:lineRule="auto"/>
        <w:jc w:val="left"/>
        <w:rPr>
          <w:rFonts w:hint="default"/>
          <w:color w:val="auto"/>
          <w:lang w:val="en-US" w:eastAsia="zh-CN"/>
        </w:rPr>
      </w:pPr>
      <w:r>
        <w:rPr>
          <w:rFonts w:hint="eastAsia" w:ascii="Times New Roman" w:hAnsi="Times New Roman" w:cs="Times New Roman"/>
          <w:b w:val="0"/>
          <w:bCs w:val="0"/>
          <w:color w:val="auto"/>
          <w:kern w:val="2"/>
          <w:sz w:val="24"/>
          <w:szCs w:val="24"/>
          <w:lang w:val="en-US" w:eastAsia="zh-CN" w:bidi="ar-SA"/>
        </w:rPr>
        <w:t>4</w:t>
      </w:r>
      <w:r>
        <w:rPr>
          <w:rFonts w:hint="default" w:ascii="Times New Roman" w:hAnsi="Times New Roman" w:cs="Times New Roman" w:eastAsiaTheme="minorEastAsia"/>
          <w:b w:val="0"/>
          <w:bCs w:val="0"/>
          <w:color w:val="auto"/>
          <w:kern w:val="2"/>
          <w:sz w:val="24"/>
          <w:szCs w:val="24"/>
          <w:lang w:val="en-US" w:eastAsia="zh-CN" w:bidi="ar-SA"/>
        </w:rPr>
        <w:t>.</w:t>
      </w:r>
      <w:r>
        <w:rPr>
          <w:rFonts w:hint="eastAsia" w:ascii="Times New Roman" w:hAnsi="Times New Roman" w:cs="Times New Roman"/>
          <w:b w:val="0"/>
          <w:bCs w:val="0"/>
          <w:color w:val="auto"/>
          <w:kern w:val="2"/>
          <w:sz w:val="24"/>
          <w:szCs w:val="24"/>
          <w:lang w:val="en-US" w:eastAsia="zh-CN" w:bidi="ar-SA"/>
        </w:rPr>
        <w:t>2</w:t>
      </w:r>
      <w:r>
        <w:rPr>
          <w:rFonts w:hint="default" w:ascii="Times New Roman" w:hAnsi="Times New Roman" w:cs="Times New Roman" w:eastAsiaTheme="minorEastAsia"/>
          <w:b w:val="0"/>
          <w:bCs w:val="0"/>
          <w:color w:val="auto"/>
          <w:kern w:val="2"/>
          <w:sz w:val="24"/>
          <w:szCs w:val="24"/>
          <w:lang w:val="en-US" w:eastAsia="zh-CN" w:bidi="ar-SA"/>
        </w:rPr>
        <w:t>.</w:t>
      </w:r>
      <w:r>
        <w:rPr>
          <w:rFonts w:hint="eastAsia" w:ascii="Times New Roman" w:hAnsi="Times New Roman" w:cs="Times New Roman" w:eastAsiaTheme="minorEastAsia"/>
          <w:b w:val="0"/>
          <w:bCs w:val="0"/>
          <w:color w:val="auto"/>
          <w:kern w:val="2"/>
          <w:sz w:val="24"/>
          <w:szCs w:val="24"/>
          <w:lang w:val="en-US" w:eastAsia="zh-CN" w:bidi="ar-SA"/>
        </w:rPr>
        <w:t xml:space="preserve">5 </w:t>
      </w:r>
      <w:r>
        <w:rPr>
          <w:rFonts w:hint="default" w:ascii="Times New Roman" w:hAnsi="Times New Roman" w:cs="Times New Roman" w:eastAsiaTheme="minorEastAsia"/>
          <w:b w:val="0"/>
          <w:color w:val="auto"/>
          <w:kern w:val="2"/>
          <w:sz w:val="24"/>
          <w:szCs w:val="24"/>
          <w:lang w:val="en-US" w:eastAsia="zh-CN" w:bidi="ar-SA"/>
        </w:rPr>
        <w:t xml:space="preserve"> </w:t>
      </w:r>
      <w:r>
        <w:rPr>
          <w:rFonts w:hint="default" w:ascii="Times New Roman" w:hAnsi="Times New Roman" w:cs="Times New Roman"/>
          <w:color w:val="auto"/>
          <w:sz w:val="24"/>
          <w:szCs w:val="24"/>
          <w:highlight w:val="none"/>
        </w:rPr>
        <w:t>受理委托时，鉴定机构应根据委托内容复印留存产权证或所有权有效证明</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委托人身份证或其他有</w:t>
      </w:r>
      <w:r>
        <w:rPr>
          <w:rFonts w:hint="default" w:ascii="Times New Roman" w:hAnsi="Times New Roman" w:cs="Times New Roman"/>
          <w:color w:val="auto"/>
          <w:sz w:val="24"/>
          <w:szCs w:val="24"/>
          <w:highlight w:val="none"/>
          <w:lang w:eastAsia="zh-CN"/>
        </w:rPr>
        <w:t>效证件（含营业执照）</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eastAsia="zh-CN"/>
        </w:rPr>
        <w:t>租赁合同（承租人委托时）</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授权委托书</w:t>
      </w:r>
      <w:r>
        <w:rPr>
          <w:rFonts w:hint="default"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代理</w:t>
      </w:r>
      <w:r>
        <w:rPr>
          <w:rFonts w:hint="default" w:ascii="Times New Roman" w:hAnsi="Times New Roman" w:cs="Times New Roman"/>
          <w:color w:val="auto"/>
          <w:sz w:val="24"/>
          <w:szCs w:val="24"/>
          <w:highlight w:val="none"/>
          <w:lang w:eastAsia="zh-CN"/>
        </w:rPr>
        <w:t>人委托时</w:t>
      </w:r>
      <w:r>
        <w:rPr>
          <w:rFonts w:hint="eastAsia" w:ascii="Times New Roman" w:hAnsi="Times New Roman" w:cs="Times New Roman"/>
          <w:color w:val="auto"/>
          <w:sz w:val="24"/>
          <w:szCs w:val="24"/>
          <w:highlight w:val="none"/>
          <w:lang w:eastAsia="zh-CN"/>
        </w:rPr>
        <w:t>）等</w:t>
      </w:r>
      <w:r>
        <w:rPr>
          <w:rFonts w:hint="eastAsia" w:ascii="Times New Roman" w:hAnsi="Times New Roman" w:cs="Times New Roman"/>
          <w:b w:val="0"/>
          <w:color w:val="auto"/>
          <w:kern w:val="2"/>
          <w:sz w:val="24"/>
          <w:szCs w:val="24"/>
          <w:lang w:val="en-US" w:eastAsia="zh-CN" w:bidi="ar-SA"/>
        </w:rPr>
        <w:t>。</w:t>
      </w:r>
    </w:p>
    <w:p w14:paraId="4B578E23">
      <w:pPr>
        <w:pStyle w:val="4"/>
        <w:keepNext/>
        <w:keepLines/>
        <w:pageBreakBefore w:val="0"/>
        <w:widowControl w:val="0"/>
        <w:kinsoku/>
        <w:wordWrap/>
        <w:overflowPunct/>
        <w:topLinePunct w:val="0"/>
        <w:autoSpaceDE/>
        <w:autoSpaceDN/>
        <w:bidi w:val="0"/>
        <w:adjustRightInd/>
        <w:snapToGrid/>
        <w:spacing w:before="120" w:after="120" w:line="360" w:lineRule="auto"/>
        <w:jc w:val="center"/>
        <w:textAlignment w:val="auto"/>
        <w:rPr>
          <w:rFonts w:hint="default" w:ascii="Times New Roman" w:hAnsi="Times New Roman" w:eastAsia="宋体" w:cs="Times New Roman"/>
          <w:color w:val="auto"/>
          <w:sz w:val="28"/>
          <w:szCs w:val="28"/>
          <w:lang w:val="en-US" w:eastAsia="zh-CN"/>
        </w:rPr>
      </w:pPr>
      <w:bookmarkStart w:id="29" w:name="_Toc25522"/>
      <w:r>
        <w:rPr>
          <w:rFonts w:hint="eastAsia" w:ascii="Times New Roman" w:hAnsi="Times New Roman" w:eastAsia="宋体" w:cs="Times New Roman"/>
          <w:color w:val="auto"/>
          <w:sz w:val="28"/>
          <w:szCs w:val="28"/>
          <w:lang w:val="en-US" w:eastAsia="zh-CN"/>
        </w:rPr>
        <w:t>4</w:t>
      </w:r>
      <w:r>
        <w:rPr>
          <w:rFonts w:hint="default" w:ascii="Times New Roman" w:hAnsi="Times New Roman" w:eastAsia="宋体" w:cs="Times New Roman"/>
          <w:color w:val="auto"/>
          <w:sz w:val="28"/>
          <w:szCs w:val="28"/>
          <w:lang w:val="en-US" w:eastAsia="zh-CN"/>
        </w:rPr>
        <w:t>.</w:t>
      </w:r>
      <w:r>
        <w:rPr>
          <w:rFonts w:hint="eastAsia" w:ascii="Times New Roman" w:hAnsi="Times New Roman" w:eastAsia="宋体" w:cs="Times New Roman"/>
          <w:color w:val="auto"/>
          <w:sz w:val="28"/>
          <w:szCs w:val="28"/>
          <w:lang w:val="en-US" w:eastAsia="zh-CN"/>
        </w:rPr>
        <w:t>3</w:t>
      </w:r>
      <w:r>
        <w:rPr>
          <w:rFonts w:hint="default" w:ascii="Times New Roman" w:hAnsi="Times New Roman" w:eastAsia="宋体" w:cs="Times New Roman"/>
          <w:color w:val="auto"/>
          <w:sz w:val="28"/>
          <w:szCs w:val="28"/>
          <w:lang w:val="en-US" w:eastAsia="zh-CN"/>
        </w:rPr>
        <w:t xml:space="preserve"> </w:t>
      </w:r>
      <w:r>
        <w:rPr>
          <w:rFonts w:hint="eastAsia" w:ascii="Times New Roman" w:hAnsi="Times New Roman" w:eastAsia="宋体" w:cs="Times New Roman"/>
          <w:color w:val="auto"/>
          <w:sz w:val="28"/>
          <w:szCs w:val="28"/>
          <w:lang w:val="en-US" w:eastAsia="zh-CN"/>
        </w:rPr>
        <w:t xml:space="preserve"> </w:t>
      </w:r>
      <w:r>
        <w:rPr>
          <w:rFonts w:hint="default" w:ascii="Times New Roman" w:hAnsi="Times New Roman" w:eastAsia="宋体" w:cs="Times New Roman"/>
          <w:color w:val="auto"/>
          <w:sz w:val="28"/>
          <w:szCs w:val="28"/>
          <w:lang w:val="en-US" w:eastAsia="zh-CN"/>
        </w:rPr>
        <w:t>初步调查</w:t>
      </w:r>
      <w:bookmarkEnd w:id="29"/>
    </w:p>
    <w:p w14:paraId="40683A3C">
      <w:pPr>
        <w:spacing w:line="360" w:lineRule="auto"/>
        <w:jc w:val="left"/>
        <w:rPr>
          <w:rFonts w:hint="default" w:ascii="Times New Roman" w:hAnsi="Times New Roman" w:cs="Times New Roman" w:eastAsiaTheme="minorEastAsia"/>
          <w:b w:val="0"/>
          <w:color w:val="auto"/>
          <w:kern w:val="2"/>
          <w:sz w:val="24"/>
          <w:szCs w:val="24"/>
          <w:lang w:val="en-US" w:eastAsia="zh-CN" w:bidi="ar-SA"/>
        </w:rPr>
      </w:pPr>
      <w:r>
        <w:rPr>
          <w:rFonts w:hint="eastAsia" w:ascii="Times New Roman" w:hAnsi="Times New Roman" w:cs="Times New Roman"/>
          <w:b w:val="0"/>
          <w:bCs w:val="0"/>
          <w:color w:val="auto"/>
          <w:kern w:val="2"/>
          <w:sz w:val="24"/>
          <w:szCs w:val="24"/>
          <w:lang w:val="en-US" w:eastAsia="zh-CN" w:bidi="ar-SA"/>
        </w:rPr>
        <w:t>4</w:t>
      </w:r>
      <w:r>
        <w:rPr>
          <w:rFonts w:hint="default" w:ascii="Times New Roman" w:hAnsi="Times New Roman" w:cs="Times New Roman" w:eastAsiaTheme="minorEastAsia"/>
          <w:b w:val="0"/>
          <w:bCs w:val="0"/>
          <w:color w:val="auto"/>
          <w:kern w:val="2"/>
          <w:sz w:val="24"/>
          <w:szCs w:val="24"/>
          <w:lang w:val="en-US" w:eastAsia="zh-CN" w:bidi="ar-SA"/>
        </w:rPr>
        <w:t>.</w:t>
      </w:r>
      <w:r>
        <w:rPr>
          <w:rFonts w:hint="eastAsia" w:ascii="Times New Roman" w:hAnsi="Times New Roman" w:cs="Times New Roman"/>
          <w:b w:val="0"/>
          <w:bCs w:val="0"/>
          <w:color w:val="auto"/>
          <w:kern w:val="2"/>
          <w:sz w:val="24"/>
          <w:szCs w:val="24"/>
          <w:lang w:val="en-US" w:eastAsia="zh-CN" w:bidi="ar-SA"/>
        </w:rPr>
        <w:t>3</w:t>
      </w:r>
      <w:r>
        <w:rPr>
          <w:rFonts w:hint="default" w:ascii="Times New Roman" w:hAnsi="Times New Roman" w:cs="Times New Roman" w:eastAsiaTheme="minorEastAsia"/>
          <w:b w:val="0"/>
          <w:bCs w:val="0"/>
          <w:color w:val="auto"/>
          <w:kern w:val="2"/>
          <w:sz w:val="24"/>
          <w:szCs w:val="24"/>
          <w:lang w:val="en-US" w:eastAsia="zh-CN" w:bidi="ar-SA"/>
        </w:rPr>
        <w:t xml:space="preserve">.1 </w:t>
      </w:r>
      <w:r>
        <w:rPr>
          <w:rFonts w:hint="eastAsia" w:ascii="Times New Roman" w:hAnsi="Times New Roman" w:cs="Times New Roman"/>
          <w:b/>
          <w:bCs/>
          <w:color w:val="auto"/>
          <w:kern w:val="2"/>
          <w:sz w:val="24"/>
          <w:szCs w:val="24"/>
          <w:lang w:val="en-US" w:eastAsia="zh-CN" w:bidi="ar-SA"/>
        </w:rPr>
        <w:t xml:space="preserve"> </w:t>
      </w:r>
      <w:r>
        <w:rPr>
          <w:rFonts w:hint="default" w:ascii="Times New Roman" w:hAnsi="Times New Roman" w:cs="Times New Roman" w:eastAsiaTheme="minorEastAsia"/>
          <w:b w:val="0"/>
          <w:color w:val="auto"/>
          <w:kern w:val="2"/>
          <w:sz w:val="24"/>
          <w:szCs w:val="24"/>
          <w:lang w:val="en-US" w:eastAsia="zh-CN" w:bidi="ar-SA"/>
        </w:rPr>
        <w:t>建筑物概况调查包括建筑物名称、详细地址、结构形式、平面形式、层数、面积、总高度、层高、竣工日期和原设计、勘察、施工、监理单位等信息。</w:t>
      </w:r>
    </w:p>
    <w:p w14:paraId="76619544">
      <w:pPr>
        <w:spacing w:line="360" w:lineRule="auto"/>
        <w:jc w:val="left"/>
        <w:rPr>
          <w:rFonts w:hint="default" w:ascii="Times New Roman" w:hAnsi="Times New Roman" w:cs="Times New Roman" w:eastAsiaTheme="minorEastAsia"/>
          <w:b w:val="0"/>
          <w:color w:val="auto"/>
          <w:kern w:val="2"/>
          <w:sz w:val="24"/>
          <w:szCs w:val="24"/>
          <w:lang w:val="en-US" w:eastAsia="zh-CN" w:bidi="ar-SA"/>
        </w:rPr>
      </w:pPr>
      <w:r>
        <w:rPr>
          <w:rFonts w:hint="eastAsia" w:ascii="Times New Roman" w:hAnsi="Times New Roman" w:cs="Times New Roman"/>
          <w:b w:val="0"/>
          <w:bCs w:val="0"/>
          <w:color w:val="auto"/>
          <w:kern w:val="2"/>
          <w:sz w:val="24"/>
          <w:szCs w:val="24"/>
          <w:lang w:val="en-US" w:eastAsia="zh-CN" w:bidi="ar-SA"/>
        </w:rPr>
        <w:t>4</w:t>
      </w:r>
      <w:r>
        <w:rPr>
          <w:rFonts w:hint="default" w:ascii="Times New Roman" w:hAnsi="Times New Roman" w:cs="Times New Roman" w:eastAsiaTheme="minorEastAsia"/>
          <w:b w:val="0"/>
          <w:bCs w:val="0"/>
          <w:color w:val="auto"/>
          <w:kern w:val="2"/>
          <w:sz w:val="24"/>
          <w:szCs w:val="24"/>
          <w:lang w:val="en-US" w:eastAsia="zh-CN" w:bidi="ar-SA"/>
        </w:rPr>
        <w:t>.</w:t>
      </w:r>
      <w:r>
        <w:rPr>
          <w:rFonts w:hint="eastAsia" w:ascii="Times New Roman" w:hAnsi="Times New Roman" w:cs="Times New Roman"/>
          <w:b w:val="0"/>
          <w:bCs w:val="0"/>
          <w:color w:val="auto"/>
          <w:kern w:val="2"/>
          <w:sz w:val="24"/>
          <w:szCs w:val="24"/>
          <w:lang w:val="en-US" w:eastAsia="zh-CN" w:bidi="ar-SA"/>
        </w:rPr>
        <w:t>3</w:t>
      </w:r>
      <w:r>
        <w:rPr>
          <w:rFonts w:hint="default" w:ascii="Times New Roman" w:hAnsi="Times New Roman" w:cs="Times New Roman" w:eastAsiaTheme="minorEastAsia"/>
          <w:b w:val="0"/>
          <w:bCs w:val="0"/>
          <w:color w:val="auto"/>
          <w:kern w:val="2"/>
          <w:sz w:val="24"/>
          <w:szCs w:val="24"/>
          <w:lang w:val="en-US" w:eastAsia="zh-CN" w:bidi="ar-SA"/>
        </w:rPr>
        <w:t xml:space="preserve">.2 </w:t>
      </w:r>
      <w:r>
        <w:rPr>
          <w:rFonts w:hint="eastAsia" w:ascii="Times New Roman" w:hAnsi="Times New Roman" w:cs="Times New Roman"/>
          <w:b/>
          <w:bCs/>
          <w:color w:val="auto"/>
          <w:kern w:val="2"/>
          <w:sz w:val="24"/>
          <w:szCs w:val="24"/>
          <w:lang w:val="en-US" w:eastAsia="zh-CN" w:bidi="ar-SA"/>
        </w:rPr>
        <w:t xml:space="preserve"> </w:t>
      </w:r>
      <w:r>
        <w:rPr>
          <w:rFonts w:hint="default" w:ascii="Times New Roman" w:hAnsi="Times New Roman" w:cs="Times New Roman" w:eastAsiaTheme="minorEastAsia"/>
          <w:b w:val="0"/>
          <w:color w:val="auto"/>
          <w:kern w:val="2"/>
          <w:sz w:val="24"/>
          <w:szCs w:val="24"/>
          <w:lang w:val="en-US" w:eastAsia="zh-CN" w:bidi="ar-SA"/>
        </w:rPr>
        <w:t>建筑物地基基础调査应包括基础形式、基础持力层的地基土类型、是否进行地基处理和地基处理的方式、基础埋深等，还应包括是否存在不均匀沉降导致的上部结构反应，如裂缝和明显的倾斜等情况。</w:t>
      </w:r>
    </w:p>
    <w:p w14:paraId="4EDD0A29">
      <w:pPr>
        <w:spacing w:line="360" w:lineRule="auto"/>
        <w:jc w:val="left"/>
        <w:rPr>
          <w:rFonts w:hint="default" w:ascii="Times New Roman" w:hAnsi="Times New Roman" w:cs="Times New Roman" w:eastAsiaTheme="minorEastAsia"/>
          <w:b w:val="0"/>
          <w:color w:val="auto"/>
          <w:kern w:val="2"/>
          <w:sz w:val="24"/>
          <w:szCs w:val="24"/>
          <w:lang w:val="en-US" w:eastAsia="zh-CN" w:bidi="ar-SA"/>
        </w:rPr>
      </w:pPr>
      <w:r>
        <w:rPr>
          <w:rFonts w:hint="eastAsia" w:ascii="Times New Roman" w:hAnsi="Times New Roman" w:cs="Times New Roman"/>
          <w:b w:val="0"/>
          <w:bCs w:val="0"/>
          <w:color w:val="auto"/>
          <w:kern w:val="2"/>
          <w:sz w:val="24"/>
          <w:szCs w:val="24"/>
          <w:lang w:val="en-US" w:eastAsia="zh-CN" w:bidi="ar-SA"/>
        </w:rPr>
        <w:t>4</w:t>
      </w:r>
      <w:r>
        <w:rPr>
          <w:rFonts w:hint="default" w:ascii="Times New Roman" w:hAnsi="Times New Roman" w:cs="Times New Roman" w:eastAsiaTheme="minorEastAsia"/>
          <w:b w:val="0"/>
          <w:bCs w:val="0"/>
          <w:color w:val="auto"/>
          <w:kern w:val="2"/>
          <w:sz w:val="24"/>
          <w:szCs w:val="24"/>
          <w:lang w:val="en-US" w:eastAsia="zh-CN" w:bidi="ar-SA"/>
        </w:rPr>
        <w:t>.</w:t>
      </w:r>
      <w:r>
        <w:rPr>
          <w:rFonts w:hint="eastAsia" w:ascii="Times New Roman" w:hAnsi="Times New Roman" w:cs="Times New Roman"/>
          <w:b w:val="0"/>
          <w:bCs w:val="0"/>
          <w:color w:val="auto"/>
          <w:kern w:val="2"/>
          <w:sz w:val="24"/>
          <w:szCs w:val="24"/>
          <w:lang w:val="en-US" w:eastAsia="zh-CN" w:bidi="ar-SA"/>
        </w:rPr>
        <w:t>3</w:t>
      </w:r>
      <w:r>
        <w:rPr>
          <w:rFonts w:hint="default" w:ascii="Times New Roman" w:hAnsi="Times New Roman" w:cs="Times New Roman" w:eastAsiaTheme="minorEastAsia"/>
          <w:b w:val="0"/>
          <w:bCs w:val="0"/>
          <w:color w:val="auto"/>
          <w:kern w:val="2"/>
          <w:sz w:val="24"/>
          <w:szCs w:val="24"/>
          <w:lang w:val="en-US" w:eastAsia="zh-CN" w:bidi="ar-SA"/>
        </w:rPr>
        <w:t xml:space="preserve">.3 </w:t>
      </w:r>
      <w:r>
        <w:rPr>
          <w:rFonts w:hint="eastAsia" w:ascii="Times New Roman" w:hAnsi="Times New Roman" w:cs="Times New Roman" w:eastAsiaTheme="minorEastAsia"/>
          <w:b w:val="0"/>
          <w:bCs w:val="0"/>
          <w:color w:val="auto"/>
          <w:kern w:val="2"/>
          <w:sz w:val="24"/>
          <w:szCs w:val="24"/>
          <w:lang w:val="en-US" w:eastAsia="zh-CN" w:bidi="ar-SA"/>
        </w:rPr>
        <w:t xml:space="preserve"> </w:t>
      </w:r>
      <w:r>
        <w:rPr>
          <w:rFonts w:hint="default" w:ascii="Times New Roman" w:hAnsi="Times New Roman" w:cs="Times New Roman" w:eastAsiaTheme="minorEastAsia"/>
          <w:b w:val="0"/>
          <w:bCs w:val="0"/>
          <w:color w:val="auto"/>
          <w:kern w:val="2"/>
          <w:sz w:val="24"/>
          <w:szCs w:val="24"/>
          <w:lang w:val="en-US" w:eastAsia="zh-CN" w:bidi="ar-SA"/>
        </w:rPr>
        <w:t>建筑物上部结构调査应包括主体承重结构构件、楼梯形式、楼（屋）盖结</w:t>
      </w:r>
      <w:r>
        <w:rPr>
          <w:rFonts w:hint="default" w:ascii="Times New Roman" w:hAnsi="Times New Roman" w:cs="Times New Roman" w:eastAsiaTheme="minorEastAsia"/>
          <w:b w:val="0"/>
          <w:color w:val="auto"/>
          <w:kern w:val="2"/>
          <w:sz w:val="24"/>
          <w:szCs w:val="24"/>
          <w:lang w:val="en-US" w:eastAsia="zh-CN" w:bidi="ar-SA"/>
        </w:rPr>
        <w:t>构的类型及传力体系有无异常；上部结构构件有无表观裂缝或变形等异常；抗震</w:t>
      </w:r>
      <w:r>
        <w:rPr>
          <w:rFonts w:hint="default" w:ascii="Times New Roman" w:hAnsi="Times New Roman" w:cs="Times New Roman"/>
          <w:b w:val="0"/>
          <w:color w:val="auto"/>
          <w:kern w:val="2"/>
          <w:sz w:val="24"/>
          <w:szCs w:val="24"/>
          <w:lang w:val="en-US" w:eastAsia="zh-CN" w:bidi="ar-SA"/>
        </w:rPr>
        <w:t>措施是否完善</w:t>
      </w:r>
      <w:r>
        <w:rPr>
          <w:rFonts w:hint="default" w:ascii="Times New Roman" w:hAnsi="Times New Roman" w:cs="Times New Roman" w:eastAsiaTheme="minorEastAsia"/>
          <w:b w:val="0"/>
          <w:color w:val="auto"/>
          <w:kern w:val="2"/>
          <w:sz w:val="24"/>
          <w:szCs w:val="24"/>
          <w:lang w:val="en-US" w:eastAsia="zh-CN" w:bidi="ar-SA"/>
        </w:rPr>
        <w:t>、支撑或其他抗侧力系统等。</w:t>
      </w:r>
    </w:p>
    <w:p w14:paraId="66D7B19A">
      <w:pPr>
        <w:spacing w:line="360" w:lineRule="auto"/>
        <w:jc w:val="left"/>
        <w:rPr>
          <w:rFonts w:hint="default"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kern w:val="2"/>
          <w:sz w:val="24"/>
          <w:szCs w:val="24"/>
          <w:lang w:val="en-US" w:eastAsia="zh-CN" w:bidi="ar-SA"/>
        </w:rPr>
        <w:t>4</w:t>
      </w:r>
      <w:r>
        <w:rPr>
          <w:rFonts w:hint="default" w:ascii="Times New Roman" w:hAnsi="Times New Roman" w:cs="Times New Roman" w:eastAsiaTheme="minorEastAsia"/>
          <w:b w:val="0"/>
          <w:bCs w:val="0"/>
          <w:color w:val="auto"/>
          <w:kern w:val="2"/>
          <w:sz w:val="24"/>
          <w:szCs w:val="24"/>
          <w:lang w:val="en-US" w:eastAsia="zh-CN" w:bidi="ar-SA"/>
        </w:rPr>
        <w:t>.</w:t>
      </w:r>
      <w:r>
        <w:rPr>
          <w:rFonts w:hint="eastAsia" w:ascii="Times New Roman" w:hAnsi="Times New Roman" w:cs="Times New Roman"/>
          <w:b w:val="0"/>
          <w:bCs w:val="0"/>
          <w:color w:val="auto"/>
          <w:kern w:val="2"/>
          <w:sz w:val="24"/>
          <w:szCs w:val="24"/>
          <w:lang w:val="en-US" w:eastAsia="zh-CN" w:bidi="ar-SA"/>
        </w:rPr>
        <w:t>3</w:t>
      </w:r>
      <w:r>
        <w:rPr>
          <w:rFonts w:hint="default" w:ascii="Times New Roman" w:hAnsi="Times New Roman" w:cs="Times New Roman" w:eastAsiaTheme="minorEastAsia"/>
          <w:b w:val="0"/>
          <w:bCs w:val="0"/>
          <w:color w:val="auto"/>
          <w:kern w:val="2"/>
          <w:sz w:val="24"/>
          <w:szCs w:val="24"/>
          <w:lang w:val="en-US" w:eastAsia="zh-CN" w:bidi="ar-SA"/>
        </w:rPr>
        <w:t xml:space="preserve">.4 </w:t>
      </w:r>
      <w:r>
        <w:rPr>
          <w:rFonts w:hint="eastAsia" w:ascii="Times New Roman" w:hAnsi="Times New Roman" w:cs="Times New Roman" w:eastAsiaTheme="minorEastAsia"/>
          <w:b w:val="0"/>
          <w:bCs w:val="0"/>
          <w:color w:val="auto"/>
          <w:kern w:val="2"/>
          <w:sz w:val="24"/>
          <w:szCs w:val="24"/>
          <w:lang w:val="en-US" w:eastAsia="zh-CN" w:bidi="ar-SA"/>
        </w:rPr>
        <w:t xml:space="preserve"> </w:t>
      </w:r>
      <w:r>
        <w:rPr>
          <w:rFonts w:hint="default" w:ascii="Times New Roman" w:hAnsi="Times New Roman" w:cs="Times New Roman" w:eastAsiaTheme="minorEastAsia"/>
          <w:b w:val="0"/>
          <w:bCs w:val="0"/>
          <w:color w:val="auto"/>
          <w:kern w:val="2"/>
          <w:sz w:val="24"/>
          <w:szCs w:val="24"/>
          <w:lang w:val="en-US" w:eastAsia="zh-CN" w:bidi="ar-SA"/>
        </w:rPr>
        <w:t>建筑物设施调査应包括屋顶水箱情况、屋面吊挂情况、是否设有电梯等。</w:t>
      </w:r>
    </w:p>
    <w:p w14:paraId="2576999C">
      <w:pPr>
        <w:spacing w:line="360" w:lineRule="auto"/>
        <w:jc w:val="left"/>
        <w:rPr>
          <w:rFonts w:hint="default" w:ascii="Times New Roman" w:hAnsi="Times New Roman" w:cs="Times New Roman" w:eastAsiaTheme="minorEastAsia"/>
          <w:b w:val="0"/>
          <w:color w:val="auto"/>
          <w:kern w:val="2"/>
          <w:sz w:val="24"/>
          <w:szCs w:val="24"/>
          <w:lang w:val="en-US" w:eastAsia="zh-CN" w:bidi="ar-SA"/>
        </w:rPr>
      </w:pPr>
      <w:r>
        <w:rPr>
          <w:rFonts w:hint="eastAsia" w:ascii="Times New Roman" w:hAnsi="Times New Roman" w:cs="Times New Roman"/>
          <w:b w:val="0"/>
          <w:bCs w:val="0"/>
          <w:color w:val="auto"/>
          <w:kern w:val="2"/>
          <w:sz w:val="24"/>
          <w:szCs w:val="24"/>
          <w:lang w:val="en-US" w:eastAsia="zh-CN" w:bidi="ar-SA"/>
        </w:rPr>
        <w:t>4</w:t>
      </w:r>
      <w:r>
        <w:rPr>
          <w:rFonts w:hint="default" w:ascii="Times New Roman" w:hAnsi="Times New Roman" w:cs="Times New Roman" w:eastAsiaTheme="minorEastAsia"/>
          <w:b w:val="0"/>
          <w:bCs w:val="0"/>
          <w:color w:val="auto"/>
          <w:kern w:val="2"/>
          <w:sz w:val="24"/>
          <w:szCs w:val="24"/>
          <w:lang w:val="en-US" w:eastAsia="zh-CN" w:bidi="ar-SA"/>
        </w:rPr>
        <w:t>.</w:t>
      </w:r>
      <w:r>
        <w:rPr>
          <w:rFonts w:hint="eastAsia" w:ascii="Times New Roman" w:hAnsi="Times New Roman" w:cs="Times New Roman"/>
          <w:b w:val="0"/>
          <w:bCs w:val="0"/>
          <w:color w:val="auto"/>
          <w:kern w:val="2"/>
          <w:sz w:val="24"/>
          <w:szCs w:val="24"/>
          <w:lang w:val="en-US" w:eastAsia="zh-CN" w:bidi="ar-SA"/>
        </w:rPr>
        <w:t>3</w:t>
      </w:r>
      <w:r>
        <w:rPr>
          <w:rFonts w:hint="default" w:ascii="Times New Roman" w:hAnsi="Times New Roman" w:cs="Times New Roman" w:eastAsiaTheme="minorEastAsia"/>
          <w:b w:val="0"/>
          <w:bCs w:val="0"/>
          <w:color w:val="auto"/>
          <w:kern w:val="2"/>
          <w:sz w:val="24"/>
          <w:szCs w:val="24"/>
          <w:lang w:val="en-US" w:eastAsia="zh-CN" w:bidi="ar-SA"/>
        </w:rPr>
        <w:t xml:space="preserve">.5 </w:t>
      </w:r>
      <w:r>
        <w:rPr>
          <w:rFonts w:hint="eastAsia" w:ascii="Times New Roman" w:hAnsi="Times New Roman" w:cs="Times New Roman"/>
          <w:b/>
          <w:bCs/>
          <w:color w:val="auto"/>
          <w:kern w:val="2"/>
          <w:sz w:val="24"/>
          <w:szCs w:val="24"/>
          <w:lang w:val="en-US" w:eastAsia="zh-CN" w:bidi="ar-SA"/>
        </w:rPr>
        <w:t xml:space="preserve"> </w:t>
      </w:r>
      <w:r>
        <w:rPr>
          <w:rFonts w:hint="default" w:ascii="Times New Roman" w:hAnsi="Times New Roman" w:cs="Times New Roman" w:eastAsiaTheme="minorEastAsia"/>
          <w:b w:val="0"/>
          <w:color w:val="auto"/>
          <w:kern w:val="2"/>
          <w:sz w:val="24"/>
          <w:szCs w:val="24"/>
          <w:lang w:val="en-US" w:eastAsia="zh-CN" w:bidi="ar-SA"/>
        </w:rPr>
        <w:t>建筑物使用环境调査应包括气象环境、地质环境、工作环境、灾害环境。重点调查是否有影响建筑正常安全使用的过大降水量、不良工程地质、振动和腐蚀环境、滑坡地段、周边施工等情况。</w:t>
      </w:r>
    </w:p>
    <w:p w14:paraId="6C4A21FE">
      <w:pPr>
        <w:spacing w:line="360" w:lineRule="auto"/>
        <w:jc w:val="left"/>
        <w:rPr>
          <w:rFonts w:hint="default"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kern w:val="2"/>
          <w:sz w:val="24"/>
          <w:szCs w:val="24"/>
          <w:lang w:val="en-US" w:eastAsia="zh-CN" w:bidi="ar-SA"/>
        </w:rPr>
        <w:t>4</w:t>
      </w:r>
      <w:r>
        <w:rPr>
          <w:rFonts w:hint="default" w:ascii="Times New Roman" w:hAnsi="Times New Roman" w:cs="Times New Roman" w:eastAsiaTheme="minorEastAsia"/>
          <w:b w:val="0"/>
          <w:bCs w:val="0"/>
          <w:color w:val="auto"/>
          <w:kern w:val="2"/>
          <w:sz w:val="24"/>
          <w:szCs w:val="24"/>
          <w:lang w:val="en-US" w:eastAsia="zh-CN" w:bidi="ar-SA"/>
        </w:rPr>
        <w:t>.</w:t>
      </w:r>
      <w:r>
        <w:rPr>
          <w:rFonts w:hint="eastAsia" w:ascii="Times New Roman" w:hAnsi="Times New Roman" w:cs="Times New Roman"/>
          <w:b w:val="0"/>
          <w:bCs w:val="0"/>
          <w:color w:val="auto"/>
          <w:kern w:val="2"/>
          <w:sz w:val="24"/>
          <w:szCs w:val="24"/>
          <w:lang w:val="en-US" w:eastAsia="zh-CN" w:bidi="ar-SA"/>
        </w:rPr>
        <w:t>3</w:t>
      </w:r>
      <w:r>
        <w:rPr>
          <w:rFonts w:hint="default" w:ascii="Times New Roman" w:hAnsi="Times New Roman" w:cs="Times New Roman" w:eastAsiaTheme="minorEastAsia"/>
          <w:b w:val="0"/>
          <w:bCs w:val="0"/>
          <w:color w:val="auto"/>
          <w:kern w:val="2"/>
          <w:sz w:val="24"/>
          <w:szCs w:val="24"/>
          <w:lang w:val="en-US" w:eastAsia="zh-CN" w:bidi="ar-SA"/>
        </w:rPr>
        <w:t xml:space="preserve">.6 </w:t>
      </w:r>
      <w:r>
        <w:rPr>
          <w:rFonts w:hint="eastAsia" w:ascii="Times New Roman" w:hAnsi="Times New Roman" w:cs="Times New Roman" w:eastAsiaTheme="minorEastAsia"/>
          <w:b w:val="0"/>
          <w:bCs w:val="0"/>
          <w:color w:val="auto"/>
          <w:kern w:val="2"/>
          <w:sz w:val="24"/>
          <w:szCs w:val="24"/>
          <w:lang w:val="en-US" w:eastAsia="zh-CN" w:bidi="ar-SA"/>
        </w:rPr>
        <w:t xml:space="preserve"> </w:t>
      </w:r>
      <w:r>
        <w:rPr>
          <w:rFonts w:hint="default" w:ascii="Times New Roman" w:hAnsi="Times New Roman" w:cs="Times New Roman" w:eastAsiaTheme="minorEastAsia"/>
          <w:b w:val="0"/>
          <w:bCs w:val="0"/>
          <w:color w:val="auto"/>
          <w:kern w:val="2"/>
          <w:sz w:val="24"/>
          <w:szCs w:val="24"/>
          <w:lang w:val="en-US" w:eastAsia="zh-CN" w:bidi="ar-SA"/>
        </w:rPr>
        <w:t>建筑物使用历史调査应包括用途变更、改扩建及修缮、维修与加固、使用荷载的变化、受灾害及以往的检测和鉴定等情况。</w:t>
      </w:r>
    </w:p>
    <w:p w14:paraId="23E6E69A">
      <w:pPr>
        <w:spacing w:line="360" w:lineRule="auto"/>
        <w:jc w:val="left"/>
        <w:rPr>
          <w:rFonts w:hint="default"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kern w:val="2"/>
          <w:sz w:val="24"/>
          <w:szCs w:val="24"/>
          <w:lang w:val="en-US" w:eastAsia="zh-CN" w:bidi="ar-SA"/>
        </w:rPr>
        <w:t>4</w:t>
      </w:r>
      <w:r>
        <w:rPr>
          <w:rFonts w:hint="default" w:ascii="Times New Roman" w:hAnsi="Times New Roman" w:cs="Times New Roman" w:eastAsiaTheme="minorEastAsia"/>
          <w:b w:val="0"/>
          <w:bCs w:val="0"/>
          <w:color w:val="auto"/>
          <w:kern w:val="2"/>
          <w:sz w:val="24"/>
          <w:szCs w:val="24"/>
          <w:lang w:val="en-US" w:eastAsia="zh-CN" w:bidi="ar-SA"/>
        </w:rPr>
        <w:t>.</w:t>
      </w:r>
      <w:r>
        <w:rPr>
          <w:rFonts w:hint="eastAsia" w:ascii="Times New Roman" w:hAnsi="Times New Roman" w:cs="Times New Roman"/>
          <w:b w:val="0"/>
          <w:bCs w:val="0"/>
          <w:color w:val="auto"/>
          <w:kern w:val="2"/>
          <w:sz w:val="24"/>
          <w:szCs w:val="24"/>
          <w:lang w:val="en-US" w:eastAsia="zh-CN" w:bidi="ar-SA"/>
        </w:rPr>
        <w:t>3</w:t>
      </w:r>
      <w:r>
        <w:rPr>
          <w:rFonts w:hint="default" w:ascii="Times New Roman" w:hAnsi="Times New Roman" w:cs="Times New Roman" w:eastAsiaTheme="minorEastAsia"/>
          <w:b w:val="0"/>
          <w:bCs w:val="0"/>
          <w:color w:val="auto"/>
          <w:kern w:val="2"/>
          <w:sz w:val="24"/>
          <w:szCs w:val="24"/>
          <w:lang w:val="en-US" w:eastAsia="zh-CN" w:bidi="ar-SA"/>
        </w:rPr>
        <w:t xml:space="preserve">.7 </w:t>
      </w:r>
      <w:r>
        <w:rPr>
          <w:rFonts w:hint="eastAsia" w:ascii="Times New Roman" w:hAnsi="Times New Roman" w:cs="Times New Roman" w:eastAsiaTheme="minorEastAsia"/>
          <w:b w:val="0"/>
          <w:bCs w:val="0"/>
          <w:color w:val="auto"/>
          <w:kern w:val="2"/>
          <w:sz w:val="24"/>
          <w:szCs w:val="24"/>
          <w:lang w:val="en-US" w:eastAsia="zh-CN" w:bidi="ar-SA"/>
        </w:rPr>
        <w:t xml:space="preserve"> </w:t>
      </w:r>
      <w:r>
        <w:rPr>
          <w:rFonts w:hint="default" w:ascii="Times New Roman" w:hAnsi="Times New Roman" w:cs="Times New Roman" w:eastAsiaTheme="minorEastAsia"/>
          <w:b w:val="0"/>
          <w:bCs w:val="0"/>
          <w:color w:val="auto"/>
          <w:kern w:val="2"/>
          <w:sz w:val="24"/>
          <w:szCs w:val="24"/>
          <w:lang w:val="en-US" w:eastAsia="zh-CN" w:bidi="ar-SA"/>
        </w:rPr>
        <w:t>图纸资料调查应包括工程地质勘察报告、设计文件（含建筑、结构设计图、设计变更通知书等）、竣工验收技术资料（含隐蔽工程验收记录）、曾有过检测或鉴定报告及结构安全等方面出现问题的记录和处理情况等。</w:t>
      </w:r>
    </w:p>
    <w:p w14:paraId="6A7C592E">
      <w:pPr>
        <w:spacing w:line="360" w:lineRule="auto"/>
        <w:jc w:val="left"/>
        <w:rPr>
          <w:rFonts w:hint="default" w:ascii="Times New Roman" w:hAnsi="Times New Roman" w:cs="Times New Roman" w:eastAsiaTheme="minorEastAsia"/>
          <w:b w:val="0"/>
          <w:color w:val="auto"/>
          <w:kern w:val="2"/>
          <w:sz w:val="24"/>
          <w:szCs w:val="24"/>
          <w:lang w:val="en-US" w:eastAsia="zh-CN" w:bidi="ar-SA"/>
        </w:rPr>
      </w:pPr>
      <w:r>
        <w:rPr>
          <w:rFonts w:hint="eastAsia" w:ascii="Times New Roman" w:hAnsi="Times New Roman" w:cs="Times New Roman"/>
          <w:b w:val="0"/>
          <w:bCs w:val="0"/>
          <w:color w:val="auto"/>
          <w:kern w:val="2"/>
          <w:sz w:val="24"/>
          <w:szCs w:val="24"/>
          <w:lang w:val="en-US" w:eastAsia="zh-CN" w:bidi="ar-SA"/>
        </w:rPr>
        <w:t>4</w:t>
      </w:r>
      <w:r>
        <w:rPr>
          <w:rFonts w:hint="default" w:ascii="Times New Roman" w:hAnsi="Times New Roman" w:cs="Times New Roman" w:eastAsiaTheme="minorEastAsia"/>
          <w:b w:val="0"/>
          <w:bCs w:val="0"/>
          <w:color w:val="auto"/>
          <w:kern w:val="2"/>
          <w:sz w:val="24"/>
          <w:szCs w:val="24"/>
          <w:lang w:val="en-US" w:eastAsia="zh-CN" w:bidi="ar-SA"/>
        </w:rPr>
        <w:t>.</w:t>
      </w:r>
      <w:r>
        <w:rPr>
          <w:rFonts w:hint="eastAsia" w:ascii="Times New Roman" w:hAnsi="Times New Roman" w:cs="Times New Roman"/>
          <w:b w:val="0"/>
          <w:bCs w:val="0"/>
          <w:color w:val="auto"/>
          <w:kern w:val="2"/>
          <w:sz w:val="24"/>
          <w:szCs w:val="24"/>
          <w:lang w:val="en-US" w:eastAsia="zh-CN" w:bidi="ar-SA"/>
        </w:rPr>
        <w:t>3</w:t>
      </w:r>
      <w:r>
        <w:rPr>
          <w:rFonts w:hint="default" w:ascii="Times New Roman" w:hAnsi="Times New Roman" w:cs="Times New Roman" w:eastAsiaTheme="minorEastAsia"/>
          <w:b w:val="0"/>
          <w:bCs w:val="0"/>
          <w:color w:val="auto"/>
          <w:kern w:val="2"/>
          <w:sz w:val="24"/>
          <w:szCs w:val="24"/>
          <w:lang w:val="en-US" w:eastAsia="zh-CN" w:bidi="ar-SA"/>
        </w:rPr>
        <w:t xml:space="preserve">.8 </w:t>
      </w:r>
      <w:r>
        <w:rPr>
          <w:rFonts w:hint="eastAsia" w:ascii="Times New Roman" w:hAnsi="Times New Roman" w:cs="Times New Roman" w:eastAsiaTheme="minorEastAsia"/>
          <w:b w:val="0"/>
          <w:bCs w:val="0"/>
          <w:color w:val="auto"/>
          <w:kern w:val="2"/>
          <w:sz w:val="24"/>
          <w:szCs w:val="24"/>
          <w:lang w:val="en-US" w:eastAsia="zh-CN" w:bidi="ar-SA"/>
        </w:rPr>
        <w:t xml:space="preserve"> </w:t>
      </w:r>
      <w:r>
        <w:rPr>
          <w:rFonts w:hint="default" w:ascii="Times New Roman" w:hAnsi="Times New Roman" w:cs="Times New Roman" w:eastAsiaTheme="minorEastAsia"/>
          <w:b w:val="0"/>
          <w:bCs w:val="0"/>
          <w:color w:val="auto"/>
          <w:kern w:val="2"/>
          <w:sz w:val="24"/>
          <w:szCs w:val="24"/>
          <w:lang w:val="en-US" w:eastAsia="zh-CN" w:bidi="ar-SA"/>
        </w:rPr>
        <w:t>初步</w:t>
      </w:r>
      <w:r>
        <w:rPr>
          <w:rFonts w:hint="default" w:ascii="Times New Roman" w:hAnsi="Times New Roman" w:cs="Times New Roman" w:eastAsiaTheme="minorEastAsia"/>
          <w:b w:val="0"/>
          <w:color w:val="auto"/>
          <w:kern w:val="2"/>
          <w:sz w:val="24"/>
          <w:szCs w:val="24"/>
          <w:lang w:val="en-US" w:eastAsia="zh-CN" w:bidi="ar-SA"/>
        </w:rPr>
        <w:t>调查时应考虑使用条件在目标使用年限内可能发生的变化。</w:t>
      </w:r>
    </w:p>
    <w:p w14:paraId="0043E7DF">
      <w:pPr>
        <w:pStyle w:val="4"/>
        <w:keepNext/>
        <w:keepLines/>
        <w:pageBreakBefore w:val="0"/>
        <w:widowControl w:val="0"/>
        <w:kinsoku/>
        <w:wordWrap/>
        <w:overflowPunct/>
        <w:topLinePunct w:val="0"/>
        <w:autoSpaceDE/>
        <w:autoSpaceDN/>
        <w:bidi w:val="0"/>
        <w:adjustRightInd/>
        <w:snapToGrid/>
        <w:spacing w:before="120" w:after="120" w:line="360" w:lineRule="auto"/>
        <w:jc w:val="center"/>
        <w:textAlignment w:val="auto"/>
        <w:rPr>
          <w:rFonts w:hint="eastAsia" w:ascii="Times New Roman" w:hAnsi="Times New Roman" w:eastAsia="宋体" w:cs="Times New Roman"/>
          <w:color w:val="auto"/>
          <w:sz w:val="28"/>
          <w:szCs w:val="28"/>
          <w:lang w:val="en-US" w:eastAsia="zh-CN"/>
        </w:rPr>
      </w:pPr>
      <w:bookmarkStart w:id="30" w:name="_Toc24541"/>
      <w:r>
        <w:rPr>
          <w:rFonts w:hint="eastAsia" w:ascii="Times New Roman" w:hAnsi="Times New Roman" w:eastAsia="宋体" w:cs="Times New Roman"/>
          <w:color w:val="auto"/>
          <w:sz w:val="28"/>
          <w:szCs w:val="28"/>
          <w:lang w:val="en-US" w:eastAsia="zh-CN"/>
        </w:rPr>
        <w:t>4.4  荷载调查</w:t>
      </w:r>
      <w:bookmarkEnd w:id="30"/>
    </w:p>
    <w:p w14:paraId="6DC0EA2D">
      <w:pPr>
        <w:pStyle w:val="44"/>
        <w:spacing w:line="360" w:lineRule="auto"/>
        <w:ind w:left="0" w:leftChars="0" w:firstLine="0" w:firstLineChars="0"/>
        <w:rPr>
          <w:rFonts w:hint="eastAsia" w:ascii="Times New Roman" w:hAnsi="Times New Roman" w:eastAsia="宋体" w:cs="Times New Roman"/>
          <w:color w:val="auto"/>
          <w:sz w:val="24"/>
          <w:lang w:val="en-US" w:eastAsia="zh-CN"/>
        </w:rPr>
      </w:pPr>
      <w:r>
        <w:rPr>
          <w:rFonts w:hint="eastAsia" w:ascii="Times New Roman" w:hAnsi="Times New Roman" w:cs="Times New Roman"/>
          <w:color w:val="auto"/>
          <w:kern w:val="2"/>
          <w:sz w:val="22"/>
          <w:szCs w:val="28"/>
          <w:highlight w:val="none"/>
          <w:lang w:val="en-US" w:eastAsia="zh-CN" w:bidi="ar-SA"/>
        </w:rPr>
        <w:t>4</w:t>
      </w:r>
      <w:r>
        <w:rPr>
          <w:rFonts w:hint="eastAsia" w:ascii="Times New Roman" w:hAnsi="Times New Roman" w:cs="Times New Roman" w:eastAsiaTheme="minorEastAsia"/>
          <w:color w:val="auto"/>
          <w:kern w:val="2"/>
          <w:sz w:val="22"/>
          <w:szCs w:val="28"/>
          <w:highlight w:val="none"/>
          <w:lang w:val="en-US" w:eastAsia="zh-CN" w:bidi="ar-SA"/>
        </w:rPr>
        <w:t>.</w:t>
      </w:r>
      <w:r>
        <w:rPr>
          <w:rFonts w:hint="eastAsia" w:ascii="Times New Roman" w:hAnsi="Times New Roman" w:cs="Times New Roman"/>
          <w:color w:val="auto"/>
          <w:kern w:val="2"/>
          <w:sz w:val="22"/>
          <w:szCs w:val="28"/>
          <w:highlight w:val="none"/>
          <w:lang w:val="en-US" w:eastAsia="zh-CN" w:bidi="ar-SA"/>
        </w:rPr>
        <w:t>4</w:t>
      </w:r>
      <w:r>
        <w:rPr>
          <w:rFonts w:hint="eastAsia" w:ascii="Times New Roman" w:hAnsi="Times New Roman" w:cs="Times New Roman" w:eastAsiaTheme="minorEastAsia"/>
          <w:color w:val="auto"/>
          <w:kern w:val="2"/>
          <w:sz w:val="22"/>
          <w:szCs w:val="28"/>
          <w:highlight w:val="none"/>
          <w:lang w:val="en-US" w:eastAsia="zh-CN" w:bidi="ar-SA"/>
        </w:rPr>
        <w:t>.1</w:t>
      </w:r>
      <w:r>
        <w:rPr>
          <w:rFonts w:hint="eastAsia" w:ascii="Times New Roman" w:hAnsi="Times New Roman" w:eastAsia="宋体" w:cs="Times New Roman"/>
          <w:color w:val="auto"/>
          <w:sz w:val="24"/>
          <w:lang w:val="en-US" w:eastAsia="zh-CN"/>
        </w:rPr>
        <w:t xml:space="preserve">  荷载调查主要</w:t>
      </w:r>
      <w:r>
        <w:rPr>
          <w:rFonts w:ascii="Times New Roman" w:hAnsi="Times New Roman" w:eastAsia="宋体" w:cs="Times New Roman"/>
          <w:color w:val="auto"/>
          <w:sz w:val="24"/>
        </w:rPr>
        <w:t>包括永久荷载、可变荷载和偶然作用等，由于工业建筑基本上是为工艺进行服务，特别进行工艺荷载的布置、吊挂荷载等，与图纸不一致的要标注</w:t>
      </w:r>
      <w:r>
        <w:rPr>
          <w:rFonts w:hint="eastAsia" w:ascii="Times New Roman" w:hAnsi="Times New Roman" w:eastAsia="宋体" w:cs="Times New Roman"/>
          <w:color w:val="auto"/>
          <w:sz w:val="24"/>
          <w:lang w:eastAsia="zh-CN"/>
        </w:rPr>
        <w:t>。</w:t>
      </w:r>
      <w:r>
        <w:rPr>
          <w:rFonts w:ascii="Times New Roman" w:hAnsi="Times New Roman" w:eastAsia="宋体" w:cs="Times New Roman"/>
          <w:color w:val="auto"/>
          <w:sz w:val="24"/>
        </w:rPr>
        <w:t>调查</w:t>
      </w:r>
      <w:r>
        <w:rPr>
          <w:rFonts w:hint="eastAsia" w:ascii="Times New Roman" w:hAnsi="Times New Roman" w:eastAsia="宋体" w:cs="Times New Roman"/>
          <w:color w:val="auto"/>
          <w:sz w:val="24"/>
        </w:rPr>
        <w:t>结构上的作用</w:t>
      </w:r>
      <w:r>
        <w:rPr>
          <w:rFonts w:hint="eastAsia" w:ascii="Times New Roman" w:hAnsi="Times New Roman" w:eastAsia="宋体" w:cs="Times New Roman"/>
          <w:color w:val="auto"/>
          <w:sz w:val="24"/>
          <w:lang w:val="en-US" w:eastAsia="zh-CN"/>
        </w:rPr>
        <w:t>调查</w:t>
      </w:r>
      <w:r>
        <w:rPr>
          <w:rFonts w:ascii="Times New Roman" w:hAnsi="Times New Roman" w:eastAsia="宋体" w:cs="Times New Roman"/>
          <w:color w:val="auto"/>
          <w:sz w:val="24"/>
        </w:rPr>
        <w:t>主要</w:t>
      </w:r>
      <w:r>
        <w:rPr>
          <w:rFonts w:hint="eastAsia" w:ascii="Times New Roman" w:hAnsi="Times New Roman" w:eastAsia="宋体" w:cs="Times New Roman"/>
          <w:color w:val="auto"/>
          <w:sz w:val="24"/>
        </w:rPr>
        <w:t>依据</w:t>
      </w:r>
      <w:r>
        <w:rPr>
          <w:rFonts w:ascii="Times New Roman" w:hAnsi="Times New Roman" w:eastAsia="宋体" w:cs="Times New Roman"/>
          <w:color w:val="auto"/>
          <w:sz w:val="24"/>
        </w:rPr>
        <w:t>《工业建筑可靠性鉴定标准》GB50144</w:t>
      </w:r>
      <w:r>
        <w:rPr>
          <w:rFonts w:hint="eastAsia" w:ascii="Times New Roman" w:hAnsi="Times New Roman" w:eastAsia="宋体" w:cs="Times New Roman"/>
          <w:color w:val="auto"/>
          <w:sz w:val="24"/>
        </w:rPr>
        <w:t>表4.1.2</w:t>
      </w:r>
      <w:r>
        <w:rPr>
          <w:rFonts w:hint="eastAsia" w:ascii="Times New Roman" w:hAnsi="Times New Roman" w:eastAsia="宋体" w:cs="Times New Roman"/>
          <w:color w:val="auto"/>
          <w:sz w:val="24"/>
          <w:lang w:val="en-US" w:eastAsia="zh-CN"/>
        </w:rPr>
        <w:t>进行。</w:t>
      </w:r>
    </w:p>
    <w:p w14:paraId="42D55F26">
      <w:pPr>
        <w:spacing w:line="360" w:lineRule="auto"/>
        <w:rPr>
          <w:rFonts w:ascii="Times New Roman" w:hAnsi="Times New Roman" w:eastAsia="宋体" w:cs="Times New Roman"/>
          <w:color w:val="auto"/>
          <w:sz w:val="24"/>
        </w:rPr>
      </w:pPr>
      <w:r>
        <w:rPr>
          <w:rFonts w:hint="eastAsia" w:ascii="Times New Roman" w:hAnsi="Times New Roman" w:cs="Times New Roman"/>
          <w:color w:val="auto"/>
          <w:sz w:val="22"/>
          <w:szCs w:val="28"/>
          <w:highlight w:val="none"/>
          <w:lang w:val="en-US" w:eastAsia="zh-CN"/>
        </w:rPr>
        <w:t xml:space="preserve">4.4.2  </w:t>
      </w:r>
      <w:r>
        <w:rPr>
          <w:rFonts w:ascii="Times New Roman" w:hAnsi="Times New Roman" w:eastAsia="宋体" w:cs="Times New Roman"/>
          <w:color w:val="auto"/>
          <w:sz w:val="24"/>
        </w:rPr>
        <w:t>设备荷载的调查，除应查阅设备和物料运输荷载资料，了解工艺和实际使用情况，尚应考虑设备检修和生产不正常时，物料和设备的堆积荷载。设备振动对结构影响较大时，应了解设备的扰力特性及其他相关影响因素，必要时应进行测试。</w:t>
      </w:r>
    </w:p>
    <w:p w14:paraId="5BB37F88">
      <w:pPr>
        <w:spacing w:line="360" w:lineRule="auto"/>
        <w:rPr>
          <w:rFonts w:ascii="Times New Roman" w:hAnsi="Times New Roman" w:eastAsia="宋体" w:cs="Times New Roman"/>
          <w:color w:val="auto"/>
          <w:sz w:val="24"/>
        </w:rPr>
      </w:pPr>
      <w:r>
        <w:rPr>
          <w:rFonts w:hint="eastAsia" w:ascii="Times New Roman" w:hAnsi="Times New Roman" w:cs="Times New Roman"/>
          <w:color w:val="auto"/>
          <w:sz w:val="22"/>
          <w:szCs w:val="28"/>
          <w:highlight w:val="none"/>
          <w:lang w:val="en-US" w:eastAsia="zh-CN"/>
        </w:rPr>
        <w:t xml:space="preserve">4.4.3 </w:t>
      </w:r>
      <w:r>
        <w:rPr>
          <w:rFonts w:hint="eastAsia" w:ascii="Times New Roman" w:hAnsi="Times New Roman" w:eastAsia="宋体" w:cs="Times New Roman"/>
          <w:b/>
          <w:bCs/>
          <w:color w:val="auto"/>
          <w:sz w:val="24"/>
          <w:lang w:val="en-US" w:eastAsia="zh-CN"/>
        </w:rPr>
        <w:t xml:space="preserve"> </w:t>
      </w:r>
      <w:r>
        <w:rPr>
          <w:rFonts w:ascii="Times New Roman" w:hAnsi="Times New Roman" w:eastAsia="宋体" w:cs="Times New Roman"/>
          <w:color w:val="auto"/>
          <w:sz w:val="24"/>
        </w:rPr>
        <w:t>屋面、楼面、平台的积灰荷载应调查积灰范围、厚度分布、积灰速度和清灰制度等，测试积灰厚度和干、湿重度，并应结合调查情况确定积灰荷载标准值。</w:t>
      </w:r>
    </w:p>
    <w:p w14:paraId="582E25B0">
      <w:pPr>
        <w:pStyle w:val="4"/>
        <w:keepNext/>
        <w:keepLines/>
        <w:pageBreakBefore w:val="0"/>
        <w:widowControl w:val="0"/>
        <w:kinsoku/>
        <w:wordWrap/>
        <w:overflowPunct/>
        <w:topLinePunct w:val="0"/>
        <w:autoSpaceDE/>
        <w:autoSpaceDN/>
        <w:bidi w:val="0"/>
        <w:adjustRightInd/>
        <w:snapToGrid/>
        <w:spacing w:before="120" w:after="120" w:line="360" w:lineRule="auto"/>
        <w:jc w:val="center"/>
        <w:textAlignment w:val="auto"/>
        <w:rPr>
          <w:rFonts w:hint="eastAsia" w:ascii="Times New Roman" w:hAnsi="Times New Roman" w:eastAsia="宋体" w:cs="Times New Roman"/>
          <w:color w:val="auto"/>
          <w:sz w:val="28"/>
          <w:szCs w:val="28"/>
          <w:lang w:val="en-US" w:eastAsia="zh-CN"/>
        </w:rPr>
      </w:pPr>
      <w:bookmarkStart w:id="31" w:name="_Toc32523"/>
      <w:r>
        <w:rPr>
          <w:rFonts w:hint="eastAsia" w:ascii="Times New Roman" w:hAnsi="Times New Roman" w:eastAsia="宋体" w:cs="Times New Roman"/>
          <w:color w:val="auto"/>
          <w:sz w:val="28"/>
          <w:szCs w:val="28"/>
          <w:lang w:val="en-US" w:eastAsia="zh-CN"/>
        </w:rPr>
        <w:t>4.5  使用环境、历史的调查</w:t>
      </w:r>
      <w:bookmarkEnd w:id="31"/>
    </w:p>
    <w:p w14:paraId="01D610F2">
      <w:pPr>
        <w:pStyle w:val="44"/>
        <w:spacing w:line="360" w:lineRule="auto"/>
        <w:ind w:left="0" w:leftChars="0" w:firstLine="0" w:firstLineChars="0"/>
        <w:rPr>
          <w:rFonts w:ascii="Times New Roman" w:hAnsi="Times New Roman" w:eastAsia="宋体" w:cs="Times New Roman"/>
          <w:color w:val="auto"/>
          <w:sz w:val="24"/>
        </w:rPr>
      </w:pPr>
      <w:r>
        <w:rPr>
          <w:rFonts w:hint="eastAsia" w:ascii="Times New Roman" w:hAnsi="Times New Roman" w:eastAsia="宋体" w:cs="Times New Roman"/>
          <w:b w:val="0"/>
          <w:bCs w:val="0"/>
          <w:color w:val="auto"/>
          <w:sz w:val="24"/>
          <w:lang w:val="en-US" w:eastAsia="zh-CN"/>
        </w:rPr>
        <w:t>4.5.1</w:t>
      </w:r>
      <w:r>
        <w:rPr>
          <w:rFonts w:hint="eastAsia" w:ascii="Times New Roman" w:hAnsi="Times New Roman" w:eastAsia="宋体" w:cs="Times New Roman"/>
          <w:color w:val="auto"/>
          <w:sz w:val="24"/>
          <w:lang w:val="en-US" w:eastAsia="zh-CN"/>
        </w:rPr>
        <w:t xml:space="preserve">  </w:t>
      </w:r>
      <w:r>
        <w:rPr>
          <w:rFonts w:ascii="Times New Roman" w:hAnsi="Times New Roman" w:eastAsia="宋体" w:cs="Times New Roman"/>
          <w:color w:val="auto"/>
          <w:sz w:val="24"/>
        </w:rPr>
        <w:t>工业建筑的使用环境可按《工业建筑可靠性鉴定标准》GB50144表</w:t>
      </w:r>
      <w:r>
        <w:rPr>
          <w:rFonts w:hint="eastAsia" w:ascii="Times New Roman" w:hAnsi="Times New Roman" w:eastAsia="宋体" w:cs="Times New Roman"/>
          <w:color w:val="auto"/>
          <w:sz w:val="24"/>
        </w:rPr>
        <w:t>4.1.8</w:t>
      </w:r>
      <w:r>
        <w:rPr>
          <w:rFonts w:ascii="Times New Roman" w:hAnsi="Times New Roman" w:eastAsia="宋体" w:cs="Times New Roman"/>
          <w:color w:val="auto"/>
          <w:sz w:val="24"/>
        </w:rPr>
        <w:t>所列的项目进行调查</w:t>
      </w:r>
      <w:r>
        <w:rPr>
          <w:rFonts w:hint="eastAsia" w:ascii="Times New Roman" w:hAnsi="Times New Roman" w:eastAsia="宋体" w:cs="Times New Roman"/>
          <w:color w:val="auto"/>
          <w:sz w:val="24"/>
        </w:rPr>
        <w:t>；</w:t>
      </w:r>
      <w:r>
        <w:rPr>
          <w:rFonts w:ascii="Times New Roman" w:hAnsi="Times New Roman" w:eastAsia="宋体" w:cs="Times New Roman"/>
          <w:color w:val="auto"/>
          <w:sz w:val="24"/>
        </w:rPr>
        <w:t>工业建筑所处的环境类别和作用等级，可依据</w:t>
      </w:r>
      <w:bookmarkStart w:id="32" w:name="OLE_LINK11"/>
      <w:r>
        <w:rPr>
          <w:rFonts w:ascii="Times New Roman" w:hAnsi="Times New Roman" w:eastAsia="宋体" w:cs="Times New Roman"/>
          <w:color w:val="auto"/>
          <w:sz w:val="24"/>
        </w:rPr>
        <w:t>《工业建筑可靠性鉴定标准》GB50144</w:t>
      </w:r>
      <w:bookmarkEnd w:id="32"/>
      <w:r>
        <w:rPr>
          <w:rFonts w:ascii="Times New Roman" w:hAnsi="Times New Roman" w:eastAsia="宋体" w:cs="Times New Roman"/>
          <w:color w:val="auto"/>
          <w:sz w:val="24"/>
        </w:rPr>
        <w:t>表</w:t>
      </w:r>
      <w:r>
        <w:rPr>
          <w:rFonts w:hint="eastAsia" w:ascii="Times New Roman" w:hAnsi="Times New Roman" w:eastAsia="宋体" w:cs="Times New Roman"/>
          <w:color w:val="auto"/>
          <w:sz w:val="24"/>
        </w:rPr>
        <w:t>4.1.9</w:t>
      </w:r>
      <w:r>
        <w:rPr>
          <w:rFonts w:ascii="Times New Roman" w:hAnsi="Times New Roman" w:eastAsia="宋体" w:cs="Times New Roman"/>
          <w:color w:val="auto"/>
          <w:sz w:val="24"/>
        </w:rPr>
        <w:t>的规定进行调查。</w:t>
      </w:r>
    </w:p>
    <w:p w14:paraId="6341B96A">
      <w:pPr>
        <w:pStyle w:val="44"/>
        <w:spacing w:line="360" w:lineRule="auto"/>
        <w:ind w:left="0" w:leftChars="0" w:firstLine="0" w:firstLineChars="0"/>
        <w:rPr>
          <w:rFonts w:ascii="Times New Roman" w:hAnsi="Times New Roman" w:eastAsia="宋体" w:cs="Times New Roman"/>
          <w:color w:val="auto"/>
          <w:sz w:val="24"/>
        </w:rPr>
      </w:pPr>
      <w:r>
        <w:rPr>
          <w:rFonts w:hint="eastAsia" w:ascii="Times New Roman" w:hAnsi="Times New Roman" w:eastAsia="宋体" w:cs="Times New Roman"/>
          <w:b w:val="0"/>
          <w:bCs w:val="0"/>
          <w:color w:val="auto"/>
          <w:sz w:val="24"/>
          <w:lang w:val="en-US" w:eastAsia="zh-CN"/>
        </w:rPr>
        <w:t xml:space="preserve">4.5.2 </w:t>
      </w:r>
      <w:r>
        <w:rPr>
          <w:rFonts w:hint="eastAsia" w:ascii="Times New Roman" w:hAnsi="Times New Roman" w:eastAsia="宋体" w:cs="Times New Roman"/>
          <w:color w:val="auto"/>
          <w:sz w:val="24"/>
          <w:lang w:val="en-US" w:eastAsia="zh-CN"/>
        </w:rPr>
        <w:t xml:space="preserve"> </w:t>
      </w:r>
      <w:r>
        <w:rPr>
          <w:rFonts w:ascii="Times New Roman" w:hAnsi="Times New Roman" w:eastAsia="宋体" w:cs="Times New Roman"/>
          <w:color w:val="auto"/>
          <w:sz w:val="24"/>
        </w:rPr>
        <w:t>当需要评估混凝土构件的耐久年限时，对大气环境普通混凝土结构可按</w:t>
      </w:r>
      <w:bookmarkStart w:id="33" w:name="OLE_LINK10"/>
      <w:r>
        <w:rPr>
          <w:rFonts w:ascii="Times New Roman" w:hAnsi="Times New Roman" w:eastAsia="宋体" w:cs="Times New Roman"/>
          <w:color w:val="auto"/>
          <w:sz w:val="24"/>
        </w:rPr>
        <w:t>《工业建筑可靠性鉴定标准》GB50144</w:t>
      </w:r>
      <w:bookmarkEnd w:id="33"/>
      <w:r>
        <w:rPr>
          <w:rFonts w:ascii="Times New Roman" w:hAnsi="Times New Roman" w:eastAsia="宋体" w:cs="Times New Roman"/>
          <w:color w:val="auto"/>
          <w:sz w:val="24"/>
        </w:rPr>
        <w:t>附录B的规定确定环境类别、环境作用等级和计算参数。其他环境可按现行国家标准《混凝土结构耐久性设计规范》GB /T50476的规定确定环境类别、环境作用等级和计算参数。</w:t>
      </w:r>
    </w:p>
    <w:p w14:paraId="5DA3FBD9">
      <w:pPr>
        <w:pStyle w:val="44"/>
        <w:spacing w:line="360" w:lineRule="auto"/>
        <w:ind w:left="0" w:leftChars="0" w:firstLine="0" w:firstLineChars="0"/>
        <w:rPr>
          <w:rFonts w:ascii="Times New Roman" w:hAnsi="Times New Roman" w:eastAsia="宋体" w:cs="Times New Roman"/>
          <w:color w:val="auto"/>
          <w:sz w:val="24"/>
        </w:rPr>
      </w:pPr>
      <w:r>
        <w:rPr>
          <w:rFonts w:hint="eastAsia" w:ascii="Times New Roman" w:hAnsi="Times New Roman" w:eastAsia="宋体" w:cs="Times New Roman"/>
          <w:b w:val="0"/>
          <w:bCs w:val="0"/>
          <w:color w:val="auto"/>
          <w:sz w:val="24"/>
          <w:lang w:val="en-US" w:eastAsia="zh-CN"/>
        </w:rPr>
        <w:t xml:space="preserve">4.5.3 </w:t>
      </w:r>
      <w:r>
        <w:rPr>
          <w:rFonts w:hint="eastAsia" w:ascii="Times New Roman" w:hAnsi="Times New Roman" w:eastAsia="宋体" w:cs="Times New Roman"/>
          <w:color w:val="auto"/>
          <w:sz w:val="24"/>
          <w:lang w:val="en-US" w:eastAsia="zh-CN"/>
        </w:rPr>
        <w:t xml:space="preserve"> </w:t>
      </w:r>
      <w:r>
        <w:rPr>
          <w:rFonts w:ascii="Times New Roman" w:hAnsi="Times New Roman" w:eastAsia="宋体" w:cs="Times New Roman"/>
          <w:color w:val="auto"/>
          <w:sz w:val="24"/>
        </w:rPr>
        <w:t>工业建筑的使用历史调查应包括工业建筑的设计、施工和验收情况；使用情况、用途变更；维修、加固、改扩建；灾害与事故；超载历史、动荷载作用历史等其他特殊使用情况。</w:t>
      </w:r>
    </w:p>
    <w:p w14:paraId="2848CA82">
      <w:pPr>
        <w:pStyle w:val="4"/>
        <w:keepNext/>
        <w:keepLines/>
        <w:pageBreakBefore w:val="0"/>
        <w:widowControl w:val="0"/>
        <w:kinsoku/>
        <w:wordWrap/>
        <w:overflowPunct/>
        <w:topLinePunct w:val="0"/>
        <w:autoSpaceDE/>
        <w:autoSpaceDN/>
        <w:bidi w:val="0"/>
        <w:adjustRightInd/>
        <w:snapToGrid/>
        <w:spacing w:before="120" w:after="120" w:line="360" w:lineRule="auto"/>
        <w:jc w:val="center"/>
        <w:textAlignment w:val="auto"/>
        <w:rPr>
          <w:rFonts w:hint="eastAsia" w:ascii="Times New Roman" w:hAnsi="Times New Roman" w:eastAsia="宋体" w:cs="Times New Roman"/>
          <w:color w:val="auto"/>
          <w:sz w:val="28"/>
          <w:szCs w:val="28"/>
          <w:lang w:val="en-US" w:eastAsia="zh-CN"/>
        </w:rPr>
      </w:pPr>
      <w:bookmarkStart w:id="34" w:name="_Toc3810"/>
      <w:r>
        <w:rPr>
          <w:rFonts w:hint="eastAsia" w:ascii="Times New Roman" w:hAnsi="Times New Roman" w:eastAsia="宋体" w:cs="Times New Roman"/>
          <w:color w:val="auto"/>
          <w:sz w:val="28"/>
          <w:szCs w:val="28"/>
          <w:lang w:val="en-US" w:eastAsia="zh-CN"/>
        </w:rPr>
        <w:t>4.6  检测</w:t>
      </w:r>
      <w:bookmarkEnd w:id="34"/>
    </w:p>
    <w:p w14:paraId="7816EE9D">
      <w:pPr>
        <w:pStyle w:val="44"/>
        <w:spacing w:line="360" w:lineRule="auto"/>
        <w:ind w:left="0"/>
        <w:rPr>
          <w:rFonts w:ascii="Times New Roman" w:hAnsi="Times New Roman" w:eastAsia="宋体" w:cs="Times New Roman"/>
          <w:color w:val="auto"/>
          <w:sz w:val="24"/>
        </w:rPr>
      </w:pPr>
      <w:r>
        <w:rPr>
          <w:rFonts w:hint="eastAsia" w:ascii="Times New Roman" w:hAnsi="Times New Roman" w:eastAsia="宋体" w:cs="Times New Roman"/>
          <w:color w:val="auto"/>
          <w:sz w:val="24"/>
        </w:rPr>
        <w:t>4</w:t>
      </w:r>
      <w:r>
        <w:rPr>
          <w:rFonts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6</w:t>
      </w:r>
      <w:r>
        <w:rPr>
          <w:rFonts w:ascii="Times New Roman" w:hAnsi="Times New Roman" w:eastAsia="宋体" w:cs="Times New Roman"/>
          <w:color w:val="auto"/>
          <w:sz w:val="24"/>
        </w:rPr>
        <w:t xml:space="preserve">.1 </w:t>
      </w:r>
      <w:r>
        <w:rPr>
          <w:rFonts w:hint="eastAsia" w:ascii="Times New Roman" w:hAnsi="Times New Roman" w:eastAsia="宋体" w:cs="Times New Roman"/>
          <w:color w:val="auto"/>
          <w:sz w:val="24"/>
        </w:rPr>
        <w:t xml:space="preserve"> 工</w:t>
      </w:r>
      <w:r>
        <w:rPr>
          <w:rFonts w:ascii="Times New Roman" w:hAnsi="Times New Roman" w:eastAsia="宋体" w:cs="Times New Roman"/>
          <w:color w:val="auto"/>
          <w:sz w:val="24"/>
        </w:rPr>
        <w:t>业建筑</w:t>
      </w:r>
      <w:r>
        <w:rPr>
          <w:rFonts w:hint="eastAsia" w:ascii="Times New Roman" w:hAnsi="Times New Roman" w:eastAsia="宋体" w:cs="Times New Roman"/>
          <w:color w:val="auto"/>
          <w:sz w:val="24"/>
        </w:rPr>
        <w:t>调查与检测</w:t>
      </w:r>
      <w:r>
        <w:rPr>
          <w:rFonts w:ascii="Times New Roman" w:hAnsi="Times New Roman" w:eastAsia="宋体" w:cs="Times New Roman"/>
          <w:color w:val="auto"/>
          <w:sz w:val="24"/>
        </w:rPr>
        <w:t>，可依据《工业建筑可靠性鉴定标准》GB50144</w:t>
      </w:r>
      <w:r>
        <w:rPr>
          <w:rFonts w:hint="eastAsia" w:ascii="Times New Roman" w:hAnsi="Times New Roman" w:eastAsia="宋体" w:cs="Times New Roman"/>
          <w:color w:val="auto"/>
          <w:sz w:val="24"/>
        </w:rPr>
        <w:t>中4.2条</w:t>
      </w:r>
      <w:r>
        <w:rPr>
          <w:rFonts w:ascii="Times New Roman" w:hAnsi="Times New Roman" w:eastAsia="宋体" w:cs="Times New Roman"/>
          <w:color w:val="auto"/>
          <w:sz w:val="24"/>
        </w:rPr>
        <w:t>的规定</w:t>
      </w:r>
      <w:r>
        <w:rPr>
          <w:rFonts w:hint="eastAsia" w:ascii="Times New Roman" w:hAnsi="Times New Roman" w:eastAsia="宋体" w:cs="Times New Roman"/>
          <w:color w:val="auto"/>
          <w:sz w:val="24"/>
        </w:rPr>
        <w:t>进行</w:t>
      </w:r>
      <w:r>
        <w:rPr>
          <w:rFonts w:ascii="Times New Roman" w:hAnsi="Times New Roman" w:eastAsia="宋体" w:cs="Times New Roman"/>
          <w:color w:val="auto"/>
          <w:sz w:val="24"/>
        </w:rPr>
        <w:t>。</w:t>
      </w:r>
    </w:p>
    <w:p w14:paraId="22347420">
      <w:pPr>
        <w:pStyle w:val="44"/>
        <w:spacing w:line="360" w:lineRule="auto"/>
        <w:ind w:left="0"/>
        <w:rPr>
          <w:rFonts w:ascii="Times New Roman" w:hAnsi="Times New Roman" w:eastAsia="宋体" w:cs="Times New Roman"/>
          <w:color w:val="auto"/>
          <w:sz w:val="24"/>
        </w:rPr>
      </w:pPr>
      <w:r>
        <w:rPr>
          <w:rFonts w:hint="eastAsia" w:ascii="Times New Roman" w:hAnsi="Times New Roman" w:eastAsia="宋体" w:cs="Times New Roman"/>
          <w:color w:val="auto"/>
          <w:sz w:val="24"/>
        </w:rPr>
        <w:t>4</w:t>
      </w:r>
      <w:r>
        <w:rPr>
          <w:rFonts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6</w:t>
      </w:r>
      <w:r>
        <w:rPr>
          <w:rFonts w:ascii="Times New Roman" w:hAnsi="Times New Roman" w:eastAsia="宋体" w:cs="Times New Roman"/>
          <w:color w:val="auto"/>
          <w:sz w:val="24"/>
        </w:rPr>
        <w:t xml:space="preserve">.2 </w:t>
      </w:r>
      <w:r>
        <w:rPr>
          <w:rFonts w:hint="eastAsia" w:ascii="Times New Roman" w:hAnsi="Times New Roman" w:eastAsia="宋体" w:cs="Times New Roman"/>
          <w:b/>
          <w:bCs/>
          <w:color w:val="auto"/>
          <w:sz w:val="24"/>
        </w:rPr>
        <w:t xml:space="preserve"> </w:t>
      </w:r>
      <w:r>
        <w:rPr>
          <w:rFonts w:ascii="Times New Roman" w:hAnsi="Times New Roman" w:eastAsia="宋体" w:cs="Times New Roman"/>
          <w:color w:val="auto"/>
          <w:sz w:val="24"/>
        </w:rPr>
        <w:t>工业建筑地基基础的调查，应查阅岩土工程勘察报告及有关图纸资料；应调查地基基础现状、荷载变化、沉降量和沉降稳定情况、不均匀沉降等情况；应调查上部结构倾斜、扭曲和裂损情况以及临近建筑、地下工程和管线等情况。当地基基础资料不足时，可根据国家现行有关标准的规定，对场地地基补充勘察或沉降观测。</w:t>
      </w:r>
    </w:p>
    <w:p w14:paraId="70D7837A">
      <w:pPr>
        <w:pStyle w:val="44"/>
        <w:spacing w:line="360" w:lineRule="auto"/>
        <w:ind w:left="0"/>
        <w:rPr>
          <w:rFonts w:ascii="Times New Roman" w:hAnsi="Times New Roman" w:eastAsia="宋体" w:cs="Times New Roman"/>
          <w:color w:val="auto"/>
          <w:sz w:val="24"/>
        </w:rPr>
      </w:pPr>
      <w:r>
        <w:rPr>
          <w:rFonts w:hint="eastAsia" w:ascii="Times New Roman" w:hAnsi="Times New Roman" w:eastAsia="宋体" w:cs="Times New Roman"/>
          <w:color w:val="auto"/>
          <w:sz w:val="24"/>
        </w:rPr>
        <w:t>4</w:t>
      </w:r>
      <w:r>
        <w:rPr>
          <w:rFonts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6</w:t>
      </w:r>
      <w:r>
        <w:rPr>
          <w:rFonts w:ascii="Times New Roman" w:hAnsi="Times New Roman" w:eastAsia="宋体" w:cs="Times New Roman"/>
          <w:color w:val="auto"/>
          <w:sz w:val="24"/>
        </w:rPr>
        <w:t>.</w:t>
      </w:r>
      <w:r>
        <w:rPr>
          <w:rFonts w:hint="eastAsia" w:ascii="Times New Roman" w:hAnsi="Times New Roman" w:eastAsia="宋体" w:cs="Times New Roman"/>
          <w:color w:val="auto"/>
          <w:sz w:val="24"/>
        </w:rPr>
        <w:t xml:space="preserve">3 </w:t>
      </w:r>
      <w:r>
        <w:rPr>
          <w:rFonts w:ascii="Times New Roman" w:hAnsi="Times New Roman" w:eastAsia="宋体" w:cs="Times New Roman"/>
          <w:b/>
          <w:bCs/>
          <w:color w:val="auto"/>
          <w:sz w:val="24"/>
        </w:rPr>
        <w:t xml:space="preserve"> </w:t>
      </w:r>
      <w:r>
        <w:rPr>
          <w:rFonts w:ascii="Times New Roman" w:hAnsi="Times New Roman" w:eastAsia="宋体" w:cs="Times New Roman"/>
          <w:color w:val="auto"/>
          <w:sz w:val="24"/>
        </w:rPr>
        <w:t>上部承重结构的调查和检测</w:t>
      </w:r>
      <w:r>
        <w:rPr>
          <w:rFonts w:hint="eastAsia" w:ascii="Times New Roman" w:hAnsi="Times New Roman" w:eastAsia="宋体" w:cs="Times New Roman"/>
          <w:color w:val="auto"/>
          <w:sz w:val="24"/>
        </w:rPr>
        <w:t>可根据建筑物的具体情况结合</w:t>
      </w:r>
      <w:r>
        <w:rPr>
          <w:rFonts w:ascii="Times New Roman" w:hAnsi="Times New Roman" w:eastAsia="宋体" w:cs="Times New Roman"/>
          <w:color w:val="auto"/>
          <w:sz w:val="24"/>
        </w:rPr>
        <w:t>《工业建筑可靠性鉴定标准》GB50144</w:t>
      </w:r>
      <w:r>
        <w:rPr>
          <w:rFonts w:hint="eastAsia" w:ascii="Times New Roman" w:hAnsi="Times New Roman" w:eastAsia="宋体" w:cs="Times New Roman"/>
          <w:color w:val="auto"/>
          <w:sz w:val="24"/>
        </w:rPr>
        <w:t>中表4.2.4进行，</w:t>
      </w:r>
      <w:r>
        <w:rPr>
          <w:rFonts w:ascii="Times New Roman" w:hAnsi="Times New Roman" w:eastAsia="宋体" w:cs="Times New Roman"/>
          <w:color w:val="auto"/>
          <w:sz w:val="24"/>
        </w:rPr>
        <w:t>检查中应注意对按原设计标准设计的建筑结构在结构布置、节点构造、材料强度等方面存在的差异，对不满足国家现行标准的应特别说明。</w:t>
      </w:r>
    </w:p>
    <w:p w14:paraId="6FC3D5CE">
      <w:pPr>
        <w:pStyle w:val="44"/>
        <w:spacing w:line="360" w:lineRule="auto"/>
        <w:ind w:left="0"/>
        <w:rPr>
          <w:rFonts w:ascii="Times New Roman" w:hAnsi="Times New Roman" w:eastAsia="宋体" w:cs="Times New Roman"/>
          <w:color w:val="auto"/>
          <w:sz w:val="24"/>
        </w:rPr>
      </w:pPr>
      <w:r>
        <w:rPr>
          <w:rFonts w:hint="eastAsia" w:ascii="Times New Roman" w:hAnsi="Times New Roman" w:eastAsia="宋体" w:cs="Times New Roman"/>
          <w:color w:val="auto"/>
          <w:sz w:val="24"/>
        </w:rPr>
        <w:t>4</w:t>
      </w:r>
      <w:r>
        <w:rPr>
          <w:rFonts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6</w:t>
      </w:r>
      <w:r>
        <w:rPr>
          <w:rFonts w:ascii="Times New Roman" w:hAnsi="Times New Roman" w:eastAsia="宋体" w:cs="Times New Roman"/>
          <w:color w:val="auto"/>
          <w:sz w:val="24"/>
        </w:rPr>
        <w:t>.</w:t>
      </w:r>
      <w:r>
        <w:rPr>
          <w:rFonts w:hint="eastAsia" w:ascii="Times New Roman" w:hAnsi="Times New Roman" w:eastAsia="宋体" w:cs="Times New Roman"/>
          <w:color w:val="auto"/>
          <w:sz w:val="24"/>
        </w:rPr>
        <w:t>4</w:t>
      </w:r>
      <w:r>
        <w:rPr>
          <w:rFonts w:ascii="Times New Roman" w:hAnsi="Times New Roman" w:eastAsia="宋体" w:cs="Times New Roman"/>
          <w:color w:val="auto"/>
          <w:sz w:val="24"/>
        </w:rPr>
        <w:t xml:space="preserve"> </w:t>
      </w:r>
      <w:r>
        <w:rPr>
          <w:rFonts w:hint="eastAsia" w:ascii="Times New Roman" w:hAnsi="Times New Roman" w:eastAsia="宋体" w:cs="Times New Roman"/>
          <w:b/>
          <w:bCs/>
          <w:color w:val="auto"/>
          <w:sz w:val="24"/>
        </w:rPr>
        <w:t xml:space="preserve"> </w:t>
      </w:r>
      <w:r>
        <w:rPr>
          <w:rFonts w:ascii="Times New Roman" w:hAnsi="Times New Roman" w:eastAsia="宋体" w:cs="Times New Roman"/>
          <w:color w:val="auto"/>
          <w:sz w:val="24"/>
        </w:rPr>
        <w:t>结构和材料性能、几何尺寸和变形、缺陷和损伤等检测，</w:t>
      </w:r>
      <w:r>
        <w:rPr>
          <w:rFonts w:hint="eastAsia" w:ascii="Times New Roman" w:hAnsi="Times New Roman" w:eastAsia="宋体" w:cs="Times New Roman"/>
          <w:color w:val="auto"/>
          <w:sz w:val="24"/>
        </w:rPr>
        <w:t>可按</w:t>
      </w:r>
      <w:r>
        <w:rPr>
          <w:rFonts w:ascii="Times New Roman" w:hAnsi="Times New Roman" w:eastAsia="宋体" w:cs="Times New Roman"/>
          <w:color w:val="auto"/>
          <w:sz w:val="24"/>
        </w:rPr>
        <w:t>《工业建筑可靠性鉴定标准》GB50144</w:t>
      </w:r>
      <w:r>
        <w:rPr>
          <w:rFonts w:hint="eastAsia" w:ascii="Times New Roman" w:hAnsi="Times New Roman" w:eastAsia="宋体" w:cs="Times New Roman"/>
          <w:color w:val="auto"/>
          <w:sz w:val="24"/>
        </w:rPr>
        <w:t>中4.2.5条进行。</w:t>
      </w:r>
    </w:p>
    <w:p w14:paraId="7B335C4B">
      <w:pPr>
        <w:pStyle w:val="44"/>
        <w:spacing w:line="360" w:lineRule="auto"/>
        <w:ind w:left="0"/>
        <w:rPr>
          <w:rFonts w:ascii="Times New Roman" w:hAnsi="Times New Roman" w:eastAsia="宋体" w:cs="Times New Roman"/>
          <w:b/>
          <w:color w:val="auto"/>
          <w:sz w:val="24"/>
        </w:rPr>
      </w:pPr>
      <w:r>
        <w:rPr>
          <w:rFonts w:hint="eastAsia" w:ascii="Times New Roman" w:hAnsi="Times New Roman" w:eastAsia="宋体" w:cs="Times New Roman"/>
          <w:bCs/>
          <w:color w:val="auto"/>
          <w:sz w:val="24"/>
        </w:rPr>
        <w:t>4</w:t>
      </w:r>
      <w:r>
        <w:rPr>
          <w:rFonts w:ascii="Times New Roman" w:hAnsi="Times New Roman" w:eastAsia="宋体" w:cs="Times New Roman"/>
          <w:bCs/>
          <w:color w:val="auto"/>
          <w:sz w:val="24"/>
        </w:rPr>
        <w:t>.</w:t>
      </w:r>
      <w:r>
        <w:rPr>
          <w:rFonts w:hint="eastAsia" w:ascii="Times New Roman" w:hAnsi="Times New Roman" w:eastAsia="宋体" w:cs="Times New Roman"/>
          <w:bCs/>
          <w:color w:val="auto"/>
          <w:sz w:val="24"/>
          <w:lang w:val="en-US" w:eastAsia="zh-CN"/>
        </w:rPr>
        <w:t>6</w:t>
      </w:r>
      <w:r>
        <w:rPr>
          <w:rFonts w:hint="eastAsia" w:ascii="Times New Roman" w:hAnsi="Times New Roman" w:eastAsia="宋体" w:cs="Times New Roman"/>
          <w:bCs/>
          <w:color w:val="auto"/>
          <w:sz w:val="24"/>
        </w:rPr>
        <w:t>.</w:t>
      </w:r>
      <w:r>
        <w:rPr>
          <w:rFonts w:ascii="Times New Roman" w:hAnsi="Times New Roman" w:eastAsia="宋体" w:cs="Times New Roman"/>
          <w:bCs/>
          <w:color w:val="auto"/>
          <w:sz w:val="24"/>
        </w:rPr>
        <w:t xml:space="preserve">5 </w:t>
      </w:r>
      <w:r>
        <w:rPr>
          <w:rFonts w:hint="eastAsia" w:ascii="Times New Roman" w:hAnsi="Times New Roman" w:eastAsia="宋体" w:cs="Times New Roman"/>
          <w:b/>
          <w:color w:val="auto"/>
          <w:sz w:val="24"/>
        </w:rPr>
        <w:t xml:space="preserve"> </w:t>
      </w:r>
      <w:r>
        <w:rPr>
          <w:rFonts w:ascii="Times New Roman" w:hAnsi="Times New Roman" w:eastAsia="宋体" w:cs="Times New Roman"/>
          <w:color w:val="auto"/>
          <w:sz w:val="24"/>
        </w:rPr>
        <w:t>构件缺失</w:t>
      </w:r>
      <w:r>
        <w:rPr>
          <w:rFonts w:hint="eastAsia" w:ascii="Times New Roman" w:hAnsi="Times New Roman" w:eastAsia="宋体" w:cs="Times New Roman"/>
          <w:color w:val="auto"/>
          <w:sz w:val="24"/>
        </w:rPr>
        <w:t>情况，可</w:t>
      </w:r>
      <w:r>
        <w:rPr>
          <w:rFonts w:ascii="Times New Roman" w:hAnsi="Times New Roman" w:eastAsia="宋体" w:cs="Times New Roman"/>
          <w:color w:val="auto"/>
          <w:sz w:val="24"/>
        </w:rPr>
        <w:t>依据附录B《工业建筑构件排查表》</w:t>
      </w:r>
      <w:r>
        <w:rPr>
          <w:rFonts w:hint="eastAsia" w:ascii="Times New Roman" w:hAnsi="Times New Roman" w:eastAsia="宋体" w:cs="Times New Roman"/>
          <w:color w:val="auto"/>
          <w:sz w:val="24"/>
        </w:rPr>
        <w:t>进行</w:t>
      </w:r>
      <w:r>
        <w:rPr>
          <w:rFonts w:ascii="Times New Roman" w:hAnsi="Times New Roman" w:eastAsia="宋体" w:cs="Times New Roman"/>
          <w:color w:val="auto"/>
          <w:sz w:val="24"/>
        </w:rPr>
        <w:t>。</w:t>
      </w:r>
    </w:p>
    <w:p w14:paraId="4EA78C11">
      <w:pPr>
        <w:pStyle w:val="44"/>
        <w:spacing w:line="360" w:lineRule="auto"/>
        <w:ind w:left="0"/>
        <w:rPr>
          <w:rFonts w:ascii="Times New Roman" w:hAnsi="Times New Roman" w:eastAsia="宋体" w:cs="Times New Roman"/>
          <w:color w:val="auto"/>
          <w:sz w:val="24"/>
        </w:rPr>
      </w:pPr>
      <w:r>
        <w:rPr>
          <w:rFonts w:hint="eastAsia" w:ascii="Times New Roman" w:hAnsi="Times New Roman" w:eastAsia="宋体" w:cs="Times New Roman"/>
          <w:bCs/>
          <w:color w:val="auto"/>
          <w:sz w:val="24"/>
        </w:rPr>
        <w:t>4.</w:t>
      </w:r>
      <w:r>
        <w:rPr>
          <w:rFonts w:hint="eastAsia" w:ascii="Times New Roman" w:hAnsi="Times New Roman" w:eastAsia="宋体" w:cs="Times New Roman"/>
          <w:bCs/>
          <w:color w:val="auto"/>
          <w:sz w:val="24"/>
          <w:lang w:val="en-US" w:eastAsia="zh-CN"/>
        </w:rPr>
        <w:t>6</w:t>
      </w:r>
      <w:r>
        <w:rPr>
          <w:rFonts w:hint="eastAsia" w:ascii="Times New Roman" w:hAnsi="Times New Roman" w:eastAsia="宋体" w:cs="Times New Roman"/>
          <w:bCs/>
          <w:color w:val="auto"/>
          <w:sz w:val="24"/>
        </w:rPr>
        <w:t>.6</w:t>
      </w:r>
      <w:r>
        <w:rPr>
          <w:rFonts w:hint="eastAsia" w:ascii="Times New Roman" w:hAnsi="Times New Roman" w:eastAsia="宋体" w:cs="Times New Roman"/>
          <w:b/>
          <w:color w:val="auto"/>
          <w:sz w:val="24"/>
        </w:rPr>
        <w:t xml:space="preserve"> </w:t>
      </w:r>
      <w:r>
        <w:rPr>
          <w:rFonts w:ascii="Times New Roman" w:hAnsi="Times New Roman" w:eastAsia="宋体" w:cs="Times New Roman"/>
          <w:b/>
          <w:color w:val="auto"/>
          <w:sz w:val="24"/>
        </w:rPr>
        <w:t xml:space="preserve"> </w:t>
      </w:r>
      <w:r>
        <w:rPr>
          <w:rFonts w:ascii="Times New Roman" w:hAnsi="Times New Roman" w:eastAsia="宋体" w:cs="Times New Roman"/>
          <w:color w:val="auto"/>
          <w:sz w:val="24"/>
        </w:rPr>
        <w:t>材料强度的标准值，应根据结构构件的实际状况和已获得的检测数据按下列原则取值：</w:t>
      </w:r>
    </w:p>
    <w:p w14:paraId="6CB7D780">
      <w:pPr>
        <w:pStyle w:val="44"/>
        <w:spacing w:line="360" w:lineRule="auto"/>
        <w:ind w:left="0"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 xml:space="preserve">1 </w:t>
      </w:r>
      <w:r>
        <w:rPr>
          <w:rFonts w:hint="eastAsia" w:ascii="Times New Roman" w:hAnsi="Times New Roman" w:eastAsia="宋体" w:cs="Times New Roman"/>
          <w:color w:val="auto"/>
          <w:sz w:val="24"/>
        </w:rPr>
        <w:t xml:space="preserve"> </w:t>
      </w:r>
      <w:r>
        <w:rPr>
          <w:rFonts w:ascii="Times New Roman" w:hAnsi="Times New Roman" w:eastAsia="宋体" w:cs="Times New Roman"/>
          <w:color w:val="auto"/>
          <w:sz w:val="24"/>
        </w:rPr>
        <w:t>当材料的种类和性能符合原设计要求时，可根据原设计取值；</w:t>
      </w:r>
    </w:p>
    <w:p w14:paraId="08DAD1CC">
      <w:pPr>
        <w:pStyle w:val="44"/>
        <w:spacing w:line="360" w:lineRule="auto"/>
        <w:ind w:left="0"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 xml:space="preserve">2 </w:t>
      </w:r>
      <w:r>
        <w:rPr>
          <w:rFonts w:hint="eastAsia" w:ascii="Times New Roman" w:hAnsi="Times New Roman" w:eastAsia="宋体" w:cs="Times New Roman"/>
          <w:color w:val="auto"/>
          <w:sz w:val="24"/>
        </w:rPr>
        <w:t xml:space="preserve"> </w:t>
      </w:r>
      <w:r>
        <w:rPr>
          <w:rFonts w:ascii="Times New Roman" w:hAnsi="Times New Roman" w:eastAsia="宋体" w:cs="Times New Roman"/>
          <w:color w:val="auto"/>
          <w:sz w:val="24"/>
        </w:rPr>
        <w:t>当材料的种类和性能与原设计不符，或材料性能已显著退化时，应根据实测数据按现行国家标准《建筑结构检测技术标准》GB/T50344等的规定确定</w:t>
      </w:r>
      <w:r>
        <w:rPr>
          <w:rFonts w:hint="eastAsia" w:ascii="Times New Roman" w:hAnsi="Times New Roman" w:eastAsia="宋体" w:cs="Times New Roman"/>
          <w:color w:val="auto"/>
          <w:sz w:val="24"/>
        </w:rPr>
        <w:t>；</w:t>
      </w:r>
    </w:p>
    <w:p w14:paraId="5CC73AB0">
      <w:pPr>
        <w:pStyle w:val="44"/>
        <w:spacing w:line="360" w:lineRule="auto"/>
        <w:ind w:left="0"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 xml:space="preserve">3 </w:t>
      </w:r>
      <w:r>
        <w:rPr>
          <w:rFonts w:hint="eastAsia" w:ascii="Times New Roman" w:hAnsi="Times New Roman" w:eastAsia="宋体" w:cs="Times New Roman"/>
          <w:color w:val="auto"/>
          <w:sz w:val="24"/>
        </w:rPr>
        <w:t xml:space="preserve"> </w:t>
      </w:r>
      <w:r>
        <w:rPr>
          <w:rFonts w:ascii="Times New Roman" w:hAnsi="Times New Roman" w:eastAsia="宋体" w:cs="Times New Roman"/>
          <w:color w:val="auto"/>
          <w:sz w:val="24"/>
        </w:rPr>
        <w:t>结构或构件的几何参数应取实测值，并应考虑结构实际的变形、偏差以及裂缝、缺陷、损伤、腐蚀、老化等影响</w:t>
      </w:r>
      <w:r>
        <w:rPr>
          <w:rFonts w:hint="eastAsia" w:ascii="Times New Roman" w:hAnsi="Times New Roman" w:eastAsia="宋体" w:cs="Times New Roman"/>
          <w:color w:val="auto"/>
          <w:sz w:val="24"/>
        </w:rPr>
        <w:t>；</w:t>
      </w:r>
    </w:p>
    <w:p w14:paraId="65DCAC45">
      <w:pPr>
        <w:pStyle w:val="44"/>
        <w:spacing w:line="360" w:lineRule="auto"/>
        <w:ind w:left="0"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 xml:space="preserve">4 </w:t>
      </w:r>
      <w:r>
        <w:rPr>
          <w:rFonts w:hint="eastAsia" w:ascii="Times New Roman" w:hAnsi="Times New Roman" w:eastAsia="宋体" w:cs="Times New Roman"/>
          <w:color w:val="auto"/>
          <w:sz w:val="24"/>
        </w:rPr>
        <w:t xml:space="preserve"> </w:t>
      </w:r>
      <w:r>
        <w:rPr>
          <w:rFonts w:ascii="Times New Roman" w:hAnsi="Times New Roman" w:eastAsia="宋体" w:cs="Times New Roman"/>
          <w:color w:val="auto"/>
          <w:sz w:val="24"/>
        </w:rPr>
        <w:t>当混凝土结构表面温度长期高于60</w:t>
      </w:r>
      <w:r>
        <w:rPr>
          <w:rFonts w:hint="eastAsia" w:ascii="宋体" w:hAnsi="宋体" w:eastAsia="宋体" w:cs="宋体"/>
          <w:color w:val="auto"/>
          <w:sz w:val="24"/>
          <w:lang w:eastAsia="ja-JP"/>
        </w:rPr>
        <w:t>℃</w:t>
      </w:r>
      <w:r>
        <w:rPr>
          <w:rFonts w:ascii="Times New Roman" w:hAnsi="Times New Roman" w:eastAsia="宋体" w:cs="Times New Roman"/>
          <w:color w:val="auto"/>
          <w:sz w:val="24"/>
        </w:rPr>
        <w:t>，应考虑材料性能的变化。钢结构表面温度高于100</w:t>
      </w:r>
      <w:r>
        <w:rPr>
          <w:rFonts w:hint="eastAsia" w:ascii="宋体" w:hAnsi="宋体" w:eastAsia="宋体" w:cs="宋体"/>
          <w:color w:val="auto"/>
          <w:sz w:val="24"/>
          <w:lang w:eastAsia="ja-JP"/>
        </w:rPr>
        <w:t>℃</w:t>
      </w:r>
      <w:r>
        <w:rPr>
          <w:rFonts w:ascii="Times New Roman" w:hAnsi="Times New Roman" w:eastAsia="宋体" w:cs="Times New Roman"/>
          <w:color w:val="auto"/>
          <w:sz w:val="24"/>
        </w:rPr>
        <w:t>时，应考虑其强度和刚度的降低；高强度螺栓连接处温度高于100</w:t>
      </w:r>
      <w:r>
        <w:rPr>
          <w:rFonts w:hint="eastAsia" w:ascii="宋体" w:hAnsi="宋体" w:eastAsia="宋体" w:cs="宋体"/>
          <w:color w:val="auto"/>
          <w:sz w:val="24"/>
          <w:lang w:eastAsia="ja-JP"/>
        </w:rPr>
        <w:t>℃</w:t>
      </w:r>
      <w:r>
        <w:rPr>
          <w:rFonts w:ascii="Times New Roman" w:hAnsi="Times New Roman" w:eastAsia="宋体" w:cs="Times New Roman"/>
          <w:color w:val="auto"/>
          <w:sz w:val="24"/>
        </w:rPr>
        <w:t>或者曾经历过高于100</w:t>
      </w:r>
      <w:r>
        <w:rPr>
          <w:rFonts w:hint="eastAsia" w:ascii="宋体" w:hAnsi="宋体" w:eastAsia="宋体" w:cs="宋体"/>
          <w:color w:val="auto"/>
          <w:sz w:val="24"/>
          <w:lang w:eastAsia="ja-JP"/>
        </w:rPr>
        <w:t>℃</w:t>
      </w:r>
      <w:r>
        <w:rPr>
          <w:rFonts w:ascii="Times New Roman" w:hAnsi="Times New Roman" w:eastAsia="宋体" w:cs="Times New Roman"/>
          <w:color w:val="auto"/>
          <w:sz w:val="24"/>
        </w:rPr>
        <w:t>的高温时，应考虑其抗滑移承载能力的降低</w:t>
      </w:r>
      <w:r>
        <w:rPr>
          <w:rFonts w:hint="eastAsia" w:ascii="Times New Roman" w:hAnsi="Times New Roman" w:eastAsia="宋体" w:cs="Times New Roman"/>
          <w:color w:val="auto"/>
          <w:sz w:val="24"/>
        </w:rPr>
        <w:t>；</w:t>
      </w:r>
    </w:p>
    <w:p w14:paraId="73A40B64">
      <w:pPr>
        <w:pStyle w:val="44"/>
        <w:spacing w:line="360" w:lineRule="auto"/>
        <w:ind w:left="0"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5</w:t>
      </w:r>
      <w:r>
        <w:rPr>
          <w:rFonts w:hint="eastAsia" w:ascii="Times New Roman" w:hAnsi="Times New Roman" w:eastAsia="宋体" w:cs="Times New Roman"/>
          <w:color w:val="auto"/>
          <w:sz w:val="24"/>
        </w:rPr>
        <w:t xml:space="preserve">  </w:t>
      </w:r>
      <w:r>
        <w:rPr>
          <w:rFonts w:ascii="Times New Roman" w:hAnsi="Times New Roman" w:eastAsia="宋体" w:cs="Times New Roman"/>
          <w:color w:val="auto"/>
          <w:sz w:val="24"/>
        </w:rPr>
        <w:t>当需要通过结构构件荷载试验检验其承载性能和使用性能时，应按现行国家标准《建筑结构检测技术标准》GB/T50344等的规定进行。</w:t>
      </w:r>
    </w:p>
    <w:p w14:paraId="2F44D2EB">
      <w:pPr>
        <w:pStyle w:val="18"/>
        <w:spacing w:beforeAutospacing="0" w:afterAutospacing="0" w:line="360" w:lineRule="auto"/>
        <w:rPr>
          <w:rFonts w:ascii="Times New Roman" w:hAnsi="Times New Roman" w:eastAsia="宋体"/>
          <w:color w:val="auto"/>
        </w:rPr>
      </w:pPr>
      <w:r>
        <w:rPr>
          <w:rFonts w:hint="eastAsia" w:ascii="Times New Roman" w:hAnsi="Times New Roman" w:eastAsia="宋体"/>
          <w:color w:val="auto"/>
          <w:kern w:val="2"/>
          <w:lang w:val="en-US" w:eastAsia="zh-CN"/>
        </w:rPr>
        <w:t>4</w:t>
      </w:r>
      <w:r>
        <w:rPr>
          <w:rFonts w:hint="eastAsia" w:ascii="Times New Roman" w:hAnsi="Times New Roman" w:eastAsia="宋体"/>
          <w:color w:val="auto"/>
          <w:kern w:val="2"/>
        </w:rPr>
        <w:t>.</w:t>
      </w:r>
      <w:r>
        <w:rPr>
          <w:rFonts w:hint="eastAsia" w:ascii="Times New Roman" w:hAnsi="Times New Roman" w:eastAsia="宋体"/>
          <w:color w:val="auto"/>
          <w:kern w:val="2"/>
          <w:lang w:val="en-US" w:eastAsia="zh-CN"/>
        </w:rPr>
        <w:t>6</w:t>
      </w:r>
      <w:r>
        <w:rPr>
          <w:rFonts w:hint="eastAsia" w:ascii="Times New Roman" w:hAnsi="Times New Roman" w:eastAsia="宋体"/>
          <w:color w:val="auto"/>
          <w:kern w:val="2"/>
        </w:rPr>
        <w:t xml:space="preserve">.7  </w:t>
      </w:r>
      <w:r>
        <w:rPr>
          <w:rFonts w:ascii="Times New Roman" w:hAnsi="Times New Roman" w:eastAsia="宋体"/>
          <w:color w:val="auto"/>
          <w:kern w:val="2"/>
        </w:rPr>
        <w:t>钢结构钢材检</w:t>
      </w:r>
      <w:r>
        <w:rPr>
          <w:rFonts w:ascii="Times New Roman" w:hAnsi="Times New Roman" w:eastAsia="宋体"/>
          <w:color w:val="auto"/>
        </w:rPr>
        <w:t>钢材屈服强度和抗拉强度等检验方法应符合现行国家标准《金属材料拉伸试验第1部分:室温试验方法》GB/T228.1的有关规定</w:t>
      </w:r>
      <w:r>
        <w:rPr>
          <w:rFonts w:hint="eastAsia" w:ascii="Times New Roman" w:hAnsi="Times New Roman" w:eastAsia="宋体"/>
          <w:color w:val="auto"/>
        </w:rPr>
        <w:t>；</w:t>
      </w:r>
      <w:r>
        <w:rPr>
          <w:rFonts w:ascii="Times New Roman" w:hAnsi="Times New Roman" w:eastAsia="宋体"/>
          <w:color w:val="auto"/>
        </w:rPr>
        <w:t>冷弯检验方法应符合现行国家标准《金属材料弯曲试验方法》GB/T232和《焊接接头弯曲试验方法》GB/T2653的有关规定。</w:t>
      </w:r>
    </w:p>
    <w:p w14:paraId="40AD86CC">
      <w:pPr>
        <w:pStyle w:val="18"/>
        <w:spacing w:beforeAutospacing="0" w:afterAutospacing="0" w:line="360" w:lineRule="auto"/>
        <w:rPr>
          <w:rFonts w:ascii="Times New Roman" w:hAnsi="Times New Roman" w:eastAsia="宋体"/>
          <w:color w:val="auto"/>
        </w:rPr>
      </w:pPr>
      <w:r>
        <w:rPr>
          <w:rFonts w:hint="eastAsia" w:ascii="Times New Roman" w:hAnsi="Times New Roman" w:eastAsia="宋体"/>
          <w:color w:val="auto"/>
          <w:kern w:val="2"/>
        </w:rPr>
        <w:t>4.</w:t>
      </w:r>
      <w:r>
        <w:rPr>
          <w:rFonts w:hint="eastAsia" w:ascii="Times New Roman" w:hAnsi="Times New Roman" w:eastAsia="宋体"/>
          <w:color w:val="auto"/>
          <w:kern w:val="2"/>
          <w:lang w:val="en-US" w:eastAsia="zh-CN"/>
        </w:rPr>
        <w:t>6</w:t>
      </w:r>
      <w:r>
        <w:rPr>
          <w:rFonts w:hint="eastAsia" w:ascii="Times New Roman" w:hAnsi="Times New Roman" w:eastAsia="宋体"/>
          <w:color w:val="auto"/>
          <w:kern w:val="2"/>
        </w:rPr>
        <w:t xml:space="preserve">.8 </w:t>
      </w:r>
      <w:r>
        <w:rPr>
          <w:rFonts w:hint="eastAsia" w:ascii="Times New Roman" w:hAnsi="Times New Roman" w:eastAsia="宋体"/>
          <w:color w:val="auto"/>
        </w:rPr>
        <w:t xml:space="preserve"> </w:t>
      </w:r>
      <w:r>
        <w:rPr>
          <w:rFonts w:ascii="Times New Roman" w:hAnsi="Times New Roman" w:eastAsia="宋体"/>
          <w:color w:val="auto"/>
          <w:kern w:val="2"/>
        </w:rPr>
        <w:t>钢结构</w:t>
      </w:r>
      <w:r>
        <w:rPr>
          <w:rFonts w:ascii="Times New Roman" w:hAnsi="Times New Roman" w:eastAsia="宋体"/>
          <w:color w:val="auto"/>
        </w:rPr>
        <w:t>从构件选取试样时，钢材的强度等级和钢材的品种可采用表面硬度或直读光谱法进行辅助检测。钢材表面硬度的检测操作应符合《建筑结构检测技术标准》GB/T50344附录N的规定</w:t>
      </w:r>
      <w:r>
        <w:rPr>
          <w:rFonts w:hint="eastAsia" w:ascii="Times New Roman" w:hAnsi="Times New Roman" w:eastAsia="宋体"/>
          <w:color w:val="auto"/>
        </w:rPr>
        <w:t>；</w:t>
      </w:r>
      <w:r>
        <w:rPr>
          <w:rFonts w:ascii="Times New Roman" w:hAnsi="Times New Roman" w:eastAsia="宋体"/>
          <w:color w:val="auto"/>
        </w:rPr>
        <w:t>发现明显的偏析、受到灾害的影响或需要了解钢材化学成分时，应进行钢材化学成分的分析。</w:t>
      </w:r>
    </w:p>
    <w:p w14:paraId="2F5C53DB">
      <w:pPr>
        <w:tabs>
          <w:tab w:val="center" w:pos="3240"/>
        </w:tabs>
        <w:spacing w:line="360" w:lineRule="auto"/>
        <w:rPr>
          <w:rFonts w:hint="eastAsia" w:ascii="Times New Roman" w:hAnsi="Times New Roman" w:eastAsia="宋体" w:cs="Times New Roman"/>
          <w:color w:val="auto"/>
          <w:sz w:val="24"/>
          <w:lang w:eastAsia="zh-CN"/>
        </w:rPr>
      </w:pPr>
      <w:r>
        <w:rPr>
          <w:rFonts w:hint="eastAsia" w:ascii="Times New Roman" w:hAnsi="Times New Roman" w:eastAsia="宋体"/>
          <w:color w:val="auto"/>
          <w:sz w:val="24"/>
          <w:lang w:bidi="ar"/>
        </w:rPr>
        <w:t>4.</w:t>
      </w:r>
      <w:r>
        <w:rPr>
          <w:rFonts w:hint="eastAsia" w:ascii="Times New Roman" w:hAnsi="Times New Roman" w:eastAsia="宋体"/>
          <w:color w:val="auto"/>
          <w:sz w:val="24"/>
          <w:lang w:val="en-US" w:eastAsia="zh-CN" w:bidi="ar"/>
        </w:rPr>
        <w:t>6</w:t>
      </w:r>
      <w:r>
        <w:rPr>
          <w:rFonts w:hint="eastAsia" w:ascii="Times New Roman" w:hAnsi="Times New Roman" w:eastAsia="宋体"/>
          <w:color w:val="auto"/>
          <w:sz w:val="24"/>
          <w:lang w:bidi="ar"/>
        </w:rPr>
        <w:t xml:space="preserve">.9  </w:t>
      </w:r>
      <w:r>
        <w:rPr>
          <w:rFonts w:hint="eastAsia" w:ascii="Times New Roman" w:hAnsi="Times New Roman" w:eastAsia="宋体" w:cs="Times New Roman"/>
          <w:color w:val="auto"/>
          <w:sz w:val="24"/>
        </w:rPr>
        <w:t>砌体构件中烧结普通砖和烧结多孔砖的抗压强度的检测可采用回弹法</w:t>
      </w:r>
      <w:r>
        <w:rPr>
          <w:rFonts w:hint="eastAsia" w:ascii="Times New Roman" w:hAnsi="Times New Roman" w:eastAsia="宋体" w:cs="Times New Roman"/>
          <w:color w:val="auto"/>
          <w:sz w:val="24"/>
          <w:lang w:eastAsia="zh-CN"/>
        </w:rPr>
        <w:t>。</w:t>
      </w:r>
    </w:p>
    <w:p w14:paraId="68CAA849">
      <w:pPr>
        <w:tabs>
          <w:tab w:val="center" w:pos="3240"/>
        </w:tabs>
        <w:spacing w:line="360" w:lineRule="auto"/>
        <w:rPr>
          <w:rFonts w:ascii="Times New Roman" w:hAnsi="Times New Roman" w:eastAsia="宋体" w:cs="Times New Roman"/>
          <w:color w:val="auto"/>
          <w:sz w:val="24"/>
        </w:rPr>
      </w:pPr>
      <w:r>
        <w:rPr>
          <w:rFonts w:hint="eastAsia" w:ascii="Times New Roman" w:hAnsi="Times New Roman" w:eastAsia="宋体"/>
          <w:color w:val="auto"/>
          <w:sz w:val="24"/>
          <w:lang w:bidi="ar"/>
        </w:rPr>
        <w:t>4.</w:t>
      </w:r>
      <w:r>
        <w:rPr>
          <w:rFonts w:hint="eastAsia" w:ascii="Times New Roman" w:hAnsi="Times New Roman" w:eastAsia="宋体"/>
          <w:color w:val="auto"/>
          <w:sz w:val="24"/>
          <w:lang w:val="en-US" w:eastAsia="zh-CN" w:bidi="ar"/>
        </w:rPr>
        <w:t>6</w:t>
      </w:r>
      <w:r>
        <w:rPr>
          <w:rFonts w:hint="eastAsia" w:ascii="Times New Roman" w:hAnsi="Times New Roman" w:eastAsia="宋体"/>
          <w:color w:val="auto"/>
          <w:sz w:val="24"/>
          <w:lang w:bidi="ar"/>
        </w:rPr>
        <w:t>.</w:t>
      </w:r>
      <w:r>
        <w:rPr>
          <w:rFonts w:ascii="Times New Roman" w:hAnsi="Times New Roman" w:eastAsia="宋体"/>
          <w:color w:val="auto"/>
          <w:sz w:val="24"/>
          <w:lang w:bidi="ar"/>
        </w:rPr>
        <w:t>10</w:t>
      </w:r>
      <w:r>
        <w:rPr>
          <w:rFonts w:hint="eastAsia" w:ascii="Times New Roman" w:hAnsi="Times New Roman" w:eastAsia="宋体"/>
          <w:color w:val="auto"/>
          <w:sz w:val="24"/>
          <w:lang w:bidi="ar"/>
        </w:rPr>
        <w:t xml:space="preserve">  </w:t>
      </w:r>
      <w:r>
        <w:rPr>
          <w:rFonts w:hint="eastAsia" w:ascii="Times New Roman" w:hAnsi="Times New Roman" w:eastAsia="宋体" w:cs="Times New Roman"/>
          <w:color w:val="auto"/>
          <w:sz w:val="24"/>
        </w:rPr>
        <w:t>砌筑砂浆的抗压强度的检测可采用贯入法或回弹法，必要时也可采用筒压法、点荷法；非烧结砖材料强度的检测可采用原位测试或取样检测法等。</w:t>
      </w:r>
    </w:p>
    <w:p w14:paraId="2C48DF3A">
      <w:pPr>
        <w:pStyle w:val="44"/>
        <w:spacing w:line="360" w:lineRule="auto"/>
        <w:ind w:left="0"/>
        <w:rPr>
          <w:rFonts w:ascii="Times New Roman" w:hAnsi="Times New Roman" w:eastAsia="宋体" w:cs="Times New Roman"/>
          <w:color w:val="auto"/>
          <w:kern w:val="0"/>
          <w:sz w:val="24"/>
        </w:rPr>
      </w:pPr>
      <w:r>
        <w:rPr>
          <w:rFonts w:hint="eastAsia" w:ascii="Times New Roman" w:hAnsi="Times New Roman" w:eastAsia="宋体"/>
          <w:color w:val="auto"/>
          <w:sz w:val="24"/>
          <w:lang w:bidi="ar"/>
        </w:rPr>
        <w:t>4.</w:t>
      </w:r>
      <w:r>
        <w:rPr>
          <w:rFonts w:hint="eastAsia" w:ascii="Times New Roman" w:hAnsi="Times New Roman" w:eastAsia="宋体"/>
          <w:color w:val="auto"/>
          <w:sz w:val="24"/>
          <w:lang w:val="en-US" w:eastAsia="zh-CN" w:bidi="ar"/>
        </w:rPr>
        <w:t>6</w:t>
      </w:r>
      <w:r>
        <w:rPr>
          <w:rFonts w:hint="eastAsia" w:ascii="Times New Roman" w:hAnsi="Times New Roman" w:eastAsia="宋体"/>
          <w:color w:val="auto"/>
          <w:sz w:val="24"/>
          <w:lang w:bidi="ar"/>
        </w:rPr>
        <w:t>.</w:t>
      </w:r>
      <w:r>
        <w:rPr>
          <w:rFonts w:ascii="Times New Roman" w:hAnsi="Times New Roman" w:eastAsia="宋体"/>
          <w:color w:val="auto"/>
          <w:sz w:val="24"/>
          <w:lang w:bidi="ar"/>
        </w:rPr>
        <w:t>11</w:t>
      </w:r>
      <w:r>
        <w:rPr>
          <w:rFonts w:hint="eastAsia" w:ascii="Times New Roman" w:hAnsi="Times New Roman" w:eastAsia="宋体"/>
          <w:color w:val="auto"/>
          <w:sz w:val="24"/>
          <w:lang w:bidi="ar"/>
        </w:rPr>
        <w:t xml:space="preserve">  钢结构的焊接及连接处探伤检测应注意以下几点：</w:t>
      </w:r>
    </w:p>
    <w:p w14:paraId="4B0F21C5">
      <w:pPr>
        <w:tabs>
          <w:tab w:val="center" w:pos="3240"/>
        </w:tabs>
        <w:spacing w:line="360" w:lineRule="auto"/>
        <w:ind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rPr>
        <w:t xml:space="preserve">1 </w:t>
      </w:r>
      <w:r>
        <w:rPr>
          <w:rFonts w:ascii="Times New Roman" w:hAnsi="Times New Roman" w:eastAsia="宋体" w:cs="Times New Roman"/>
          <w:color w:val="auto"/>
          <w:sz w:val="24"/>
        </w:rPr>
        <w:t xml:space="preserve"> 检验前</w:t>
      </w:r>
      <w:r>
        <w:rPr>
          <w:rFonts w:hint="eastAsia" w:ascii="Times New Roman" w:hAnsi="Times New Roman" w:eastAsia="宋体" w:cs="Times New Roman"/>
          <w:color w:val="auto"/>
          <w:sz w:val="24"/>
        </w:rPr>
        <w:t>，</w:t>
      </w:r>
      <w:r>
        <w:rPr>
          <w:rFonts w:ascii="Times New Roman" w:hAnsi="Times New Roman" w:eastAsia="宋体" w:cs="Times New Roman"/>
          <w:color w:val="auto"/>
          <w:sz w:val="24"/>
        </w:rPr>
        <w:t>检测区域</w:t>
      </w:r>
      <w:r>
        <w:rPr>
          <w:rFonts w:hint="eastAsia" w:ascii="Times New Roman" w:hAnsi="Times New Roman" w:eastAsia="宋体" w:cs="Times New Roman"/>
          <w:color w:val="auto"/>
          <w:sz w:val="24"/>
        </w:rPr>
        <w:t>应进行</w:t>
      </w:r>
      <w:r>
        <w:rPr>
          <w:rFonts w:ascii="Times New Roman" w:hAnsi="Times New Roman" w:eastAsia="宋体" w:cs="Times New Roman"/>
          <w:color w:val="auto"/>
          <w:sz w:val="24"/>
        </w:rPr>
        <w:t>预处理，探伤人员应了解受验工件的材质、结构、曲率、厚度、焊接方法、焊缝种类、坡口形式、焊缝余高及背面衬垫、沟槽等情况</w:t>
      </w:r>
      <w:r>
        <w:rPr>
          <w:rFonts w:hint="eastAsia" w:ascii="Times New Roman" w:hAnsi="Times New Roman" w:eastAsia="宋体" w:cs="Times New Roman"/>
          <w:color w:val="auto"/>
          <w:sz w:val="24"/>
        </w:rPr>
        <w:t>；</w:t>
      </w:r>
    </w:p>
    <w:p w14:paraId="5DD54D97">
      <w:pPr>
        <w:tabs>
          <w:tab w:val="center" w:pos="3240"/>
        </w:tabs>
        <w:spacing w:line="360" w:lineRule="auto"/>
        <w:ind w:firstLine="480" w:firstLineChars="200"/>
        <w:jc w:val="left"/>
        <w:rPr>
          <w:rFonts w:ascii="Times New Roman" w:hAnsi="Times New Roman" w:eastAsia="宋体" w:cs="Times New Roman"/>
          <w:color w:val="auto"/>
          <w:sz w:val="24"/>
        </w:rPr>
      </w:pPr>
      <w:r>
        <w:rPr>
          <w:rFonts w:hint="eastAsia" w:ascii="Times New Roman" w:hAnsi="Times New Roman" w:eastAsia="宋体" w:cs="Times New Roman"/>
          <w:color w:val="auto"/>
          <w:sz w:val="24"/>
        </w:rPr>
        <w:t xml:space="preserve">2 </w:t>
      </w:r>
      <w:r>
        <w:rPr>
          <w:rFonts w:ascii="Times New Roman" w:hAnsi="Times New Roman" w:eastAsia="宋体" w:cs="Times New Roman"/>
          <w:color w:val="auto"/>
          <w:sz w:val="24"/>
        </w:rPr>
        <w:t xml:space="preserve"> 探头移动区应清除焊接飞溅、铁屑、油垢及其他外部杂技.探伤表面应平整光滑</w:t>
      </w:r>
      <w:r>
        <w:rPr>
          <w:rFonts w:hint="eastAsia" w:ascii="Times New Roman" w:hAnsi="Times New Roman" w:eastAsia="宋体" w:cs="Times New Roman"/>
          <w:color w:val="auto"/>
          <w:sz w:val="24"/>
        </w:rPr>
        <w:t>，</w:t>
      </w:r>
      <w:r>
        <w:rPr>
          <w:rFonts w:ascii="Times New Roman" w:hAnsi="Times New Roman" w:eastAsia="宋体" w:cs="Times New Roman"/>
          <w:color w:val="auto"/>
          <w:sz w:val="24"/>
        </w:rPr>
        <w:t>便于探头的自由扫查其表面粗糙度不应超过6.3μm必要时应进行打磨</w:t>
      </w:r>
      <w:r>
        <w:rPr>
          <w:rFonts w:hint="eastAsia" w:ascii="Times New Roman" w:hAnsi="Times New Roman" w:eastAsia="宋体" w:cs="Times New Roman"/>
          <w:color w:val="auto"/>
          <w:sz w:val="24"/>
        </w:rPr>
        <w:t>；</w:t>
      </w:r>
    </w:p>
    <w:p w14:paraId="39FA4F15">
      <w:pPr>
        <w:tabs>
          <w:tab w:val="center" w:pos="3240"/>
        </w:tabs>
        <w:spacing w:line="360" w:lineRule="auto"/>
        <w:ind w:firstLine="480" w:firstLineChars="200"/>
        <w:jc w:val="left"/>
        <w:rPr>
          <w:rFonts w:ascii="Times New Roman" w:hAnsi="Times New Roman" w:eastAsia="宋体" w:cs="Times New Roman"/>
          <w:color w:val="auto"/>
          <w:sz w:val="24"/>
        </w:rPr>
      </w:pPr>
      <w:r>
        <w:rPr>
          <w:rFonts w:hint="eastAsia" w:ascii="Times New Roman" w:hAnsi="Times New Roman" w:eastAsia="宋体" w:cs="Times New Roman"/>
          <w:color w:val="auto"/>
          <w:sz w:val="24"/>
        </w:rPr>
        <w:t xml:space="preserve">3 </w:t>
      </w:r>
      <w:r>
        <w:rPr>
          <w:rFonts w:hint="eastAsia" w:ascii="Times New Roman" w:hAnsi="Times New Roman" w:eastAsia="宋体" w:cs="Times New Roman"/>
          <w:b/>
          <w:bCs/>
          <w:color w:val="auto"/>
          <w:sz w:val="24"/>
        </w:rPr>
        <w:t xml:space="preserve"> </w:t>
      </w:r>
      <w:r>
        <w:rPr>
          <w:rFonts w:ascii="Times New Roman" w:hAnsi="Times New Roman" w:eastAsia="宋体" w:cs="Times New Roman"/>
          <w:color w:val="auto"/>
          <w:sz w:val="24"/>
        </w:rPr>
        <w:t>去除余高的焊缝，应将余高打磨到与邻近母材平齐。保留余高的焊缝</w:t>
      </w:r>
      <w:r>
        <w:rPr>
          <w:rFonts w:hint="eastAsia" w:ascii="Times New Roman" w:hAnsi="Times New Roman" w:eastAsia="宋体" w:cs="Times New Roman"/>
          <w:color w:val="auto"/>
          <w:sz w:val="24"/>
        </w:rPr>
        <w:t>，</w:t>
      </w:r>
      <w:r>
        <w:rPr>
          <w:rFonts w:ascii="Times New Roman" w:hAnsi="Times New Roman" w:eastAsia="宋体" w:cs="Times New Roman"/>
          <w:color w:val="auto"/>
          <w:sz w:val="24"/>
        </w:rPr>
        <w:t>如焊缝表面有咬边</w:t>
      </w:r>
      <w:r>
        <w:rPr>
          <w:rFonts w:hint="eastAsia" w:ascii="Times New Roman" w:hAnsi="Times New Roman" w:eastAsia="宋体" w:cs="Times New Roman"/>
          <w:color w:val="auto"/>
          <w:sz w:val="24"/>
        </w:rPr>
        <w:t>，</w:t>
      </w:r>
      <w:r>
        <w:rPr>
          <w:rFonts w:ascii="Times New Roman" w:hAnsi="Times New Roman" w:eastAsia="宋体" w:cs="Times New Roman"/>
          <w:color w:val="auto"/>
          <w:sz w:val="24"/>
        </w:rPr>
        <w:t>较大的隆起凹陷等也应进行适当的修磨，并作圆滑过渡以影响检验结果的评定</w:t>
      </w:r>
      <w:r>
        <w:rPr>
          <w:rFonts w:hint="eastAsia" w:ascii="Times New Roman" w:hAnsi="Times New Roman" w:eastAsia="宋体" w:cs="Times New Roman"/>
          <w:color w:val="auto"/>
          <w:sz w:val="24"/>
        </w:rPr>
        <w:t>；</w:t>
      </w:r>
    </w:p>
    <w:p w14:paraId="4D31676F">
      <w:pPr>
        <w:tabs>
          <w:tab w:val="center" w:pos="3240"/>
        </w:tabs>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4</w:t>
      </w:r>
      <w:r>
        <w:rPr>
          <w:rFonts w:hint="eastAsia" w:ascii="Times New Roman" w:hAnsi="Times New Roman" w:eastAsia="宋体" w:cs="Times New Roman"/>
          <w:color w:val="auto"/>
          <w:sz w:val="24"/>
        </w:rPr>
        <w:t xml:space="preserve">  </w:t>
      </w:r>
      <w:r>
        <w:rPr>
          <w:rFonts w:ascii="Times New Roman" w:hAnsi="Times New Roman" w:eastAsia="宋体" w:cs="Times New Roman"/>
          <w:color w:val="auto"/>
          <w:sz w:val="24"/>
        </w:rPr>
        <w:t>超声检验应在焊缝及探伤表面经外观检查合格后进行。先在处理好的探伤面上涂抹上耦合剂，再将超声波探头贴合在上面扫查</w:t>
      </w:r>
      <w:r>
        <w:rPr>
          <w:rFonts w:hint="eastAsia" w:ascii="Times New Roman" w:hAnsi="Times New Roman" w:eastAsia="宋体" w:cs="Times New Roman"/>
          <w:color w:val="auto"/>
          <w:sz w:val="24"/>
        </w:rPr>
        <w:t>，</w:t>
      </w:r>
      <w:r>
        <w:rPr>
          <w:rFonts w:ascii="Times New Roman" w:hAnsi="Times New Roman" w:eastAsia="宋体" w:cs="Times New Roman"/>
          <w:color w:val="auto"/>
          <w:sz w:val="24"/>
        </w:rPr>
        <w:t>同时观察超声波显示器.为确定缺陷的位置、方向、形状、观察缺陷动态波形或区分缺陷讯号与伪讯号，可采用前后、左右、转角、环绕等四种探头基本扫查方式。探伤灵敏度应不低于评定线灵敏度，扫查速度不应大于150mm/s</w:t>
      </w:r>
      <w:r>
        <w:rPr>
          <w:rFonts w:hint="eastAsia" w:ascii="Times New Roman" w:hAnsi="Times New Roman" w:eastAsia="宋体" w:cs="Times New Roman"/>
          <w:color w:val="auto"/>
          <w:sz w:val="24"/>
        </w:rPr>
        <w:t>，</w:t>
      </w:r>
      <w:r>
        <w:rPr>
          <w:rFonts w:ascii="Times New Roman" w:hAnsi="Times New Roman" w:eastAsia="宋体" w:cs="Times New Roman"/>
          <w:color w:val="auto"/>
          <w:sz w:val="24"/>
        </w:rPr>
        <w:t>相邻两次探头移动间隔保证至少有探头宽度10%的重叠。</w:t>
      </w:r>
    </w:p>
    <w:p w14:paraId="6FC614F0">
      <w:pPr>
        <w:pStyle w:val="44"/>
        <w:spacing w:line="360" w:lineRule="auto"/>
        <w:ind w:left="0"/>
        <w:rPr>
          <w:rFonts w:ascii="Times New Roman" w:hAnsi="Times New Roman" w:eastAsia="宋体" w:cs="Times New Roman"/>
          <w:color w:val="auto"/>
          <w:sz w:val="24"/>
        </w:rPr>
      </w:pPr>
      <w:r>
        <w:rPr>
          <w:rFonts w:hint="eastAsia" w:ascii="Times New Roman" w:hAnsi="Times New Roman" w:eastAsia="宋体" w:cs="Times New Roman"/>
          <w:bCs/>
          <w:color w:val="auto"/>
          <w:sz w:val="24"/>
        </w:rPr>
        <w:t>4.</w:t>
      </w:r>
      <w:r>
        <w:rPr>
          <w:rFonts w:hint="eastAsia" w:ascii="Times New Roman" w:hAnsi="Times New Roman" w:eastAsia="宋体" w:cs="Times New Roman"/>
          <w:bCs/>
          <w:color w:val="auto"/>
          <w:sz w:val="24"/>
          <w:lang w:val="en-US" w:eastAsia="zh-CN"/>
        </w:rPr>
        <w:t>6</w:t>
      </w:r>
      <w:r>
        <w:rPr>
          <w:rFonts w:hint="eastAsia" w:ascii="Times New Roman" w:hAnsi="Times New Roman" w:eastAsia="宋体" w:cs="Times New Roman"/>
          <w:bCs/>
          <w:color w:val="auto"/>
          <w:sz w:val="24"/>
        </w:rPr>
        <w:t>.1</w:t>
      </w:r>
      <w:r>
        <w:rPr>
          <w:rFonts w:ascii="Times New Roman" w:hAnsi="Times New Roman" w:eastAsia="宋体" w:cs="Times New Roman"/>
          <w:bCs/>
          <w:color w:val="auto"/>
          <w:sz w:val="24"/>
        </w:rPr>
        <w:t>2</w:t>
      </w:r>
      <w:r>
        <w:rPr>
          <w:rFonts w:hint="eastAsia" w:ascii="Times New Roman" w:hAnsi="Times New Roman" w:eastAsia="宋体" w:cs="Times New Roman"/>
          <w:bCs/>
          <w:color w:val="auto"/>
          <w:sz w:val="24"/>
        </w:rPr>
        <w:t xml:space="preserve">  </w:t>
      </w:r>
      <w:r>
        <w:rPr>
          <w:rFonts w:ascii="Times New Roman" w:hAnsi="Times New Roman" w:eastAsia="宋体" w:cs="Times New Roman"/>
          <w:bCs/>
          <w:color w:val="auto"/>
          <w:sz w:val="24"/>
        </w:rPr>
        <w:t>钢结构锈蚀及涂层检测依据《钢结构工程施工质量验收规范》GB50205的相关规定，采用数字式涂层测厚仪、测针、钢尺等对钢构件涂层厚度进行检测</w:t>
      </w:r>
      <w:r>
        <w:rPr>
          <w:rFonts w:hint="eastAsia" w:ascii="Times New Roman" w:hAnsi="Times New Roman" w:eastAsia="宋体" w:cs="Times New Roman"/>
          <w:bCs/>
          <w:color w:val="auto"/>
          <w:sz w:val="24"/>
        </w:rPr>
        <w:t>。</w:t>
      </w:r>
    </w:p>
    <w:p w14:paraId="5D35F790">
      <w:pPr>
        <w:pStyle w:val="44"/>
        <w:spacing w:line="360" w:lineRule="auto"/>
        <w:ind w:left="0"/>
        <w:rPr>
          <w:rFonts w:ascii="Times New Roman" w:hAnsi="Times New Roman" w:eastAsia="宋体" w:cs="Times New Roman"/>
          <w:color w:val="auto"/>
          <w:sz w:val="24"/>
        </w:rPr>
      </w:pPr>
      <w:bookmarkStart w:id="35" w:name="OLE_LINK7"/>
      <w:r>
        <w:rPr>
          <w:rFonts w:hint="eastAsia" w:ascii="Times New Roman" w:hAnsi="Times New Roman" w:eastAsia="宋体" w:cs="Times New Roman"/>
          <w:color w:val="auto"/>
          <w:sz w:val="24"/>
        </w:rPr>
        <w:t>4</w:t>
      </w:r>
      <w:r>
        <w:rPr>
          <w:rFonts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6</w:t>
      </w:r>
      <w:r>
        <w:rPr>
          <w:rFonts w:ascii="Times New Roman" w:hAnsi="Times New Roman" w:eastAsia="宋体" w:cs="Times New Roman"/>
          <w:color w:val="auto"/>
          <w:sz w:val="24"/>
        </w:rPr>
        <w:t>.</w:t>
      </w:r>
      <w:r>
        <w:rPr>
          <w:rFonts w:hint="eastAsia" w:ascii="Times New Roman" w:hAnsi="Times New Roman" w:eastAsia="宋体" w:cs="Times New Roman"/>
          <w:color w:val="auto"/>
          <w:sz w:val="24"/>
        </w:rPr>
        <w:t>1</w:t>
      </w:r>
      <w:r>
        <w:rPr>
          <w:rFonts w:ascii="Times New Roman" w:hAnsi="Times New Roman" w:eastAsia="宋体" w:cs="Times New Roman"/>
          <w:color w:val="auto"/>
          <w:sz w:val="24"/>
        </w:rPr>
        <w:t>3</w:t>
      </w:r>
      <w:r>
        <w:rPr>
          <w:rFonts w:hint="eastAsia" w:ascii="Times New Roman" w:hAnsi="Times New Roman" w:eastAsia="宋体" w:cs="Times New Roman"/>
          <w:color w:val="auto"/>
          <w:sz w:val="24"/>
        </w:rPr>
        <w:t xml:space="preserve">  </w:t>
      </w:r>
      <w:r>
        <w:rPr>
          <w:rFonts w:ascii="Times New Roman" w:hAnsi="Times New Roman" w:eastAsia="宋体" w:cs="Times New Roman"/>
          <w:color w:val="auto"/>
          <w:sz w:val="24"/>
        </w:rPr>
        <w:t>混凝土构件的构造和连接项目包括</w:t>
      </w:r>
      <w:bookmarkStart w:id="36" w:name="OLE_LINK9"/>
      <w:r>
        <w:rPr>
          <w:rFonts w:ascii="Times New Roman" w:hAnsi="Times New Roman" w:eastAsia="宋体" w:cs="Times New Roman"/>
          <w:color w:val="auto"/>
          <w:sz w:val="24"/>
        </w:rPr>
        <w:t>构件构造</w:t>
      </w:r>
      <w:bookmarkEnd w:id="36"/>
      <w:r>
        <w:rPr>
          <w:rFonts w:ascii="Times New Roman" w:hAnsi="Times New Roman" w:eastAsia="宋体" w:cs="Times New Roman"/>
          <w:color w:val="auto"/>
          <w:sz w:val="24"/>
        </w:rPr>
        <w:t>、粘结锚固或预埋件、连接节点的焊缝或螺栓等构件构造检测</w:t>
      </w:r>
      <w:r>
        <w:rPr>
          <w:rFonts w:hint="eastAsia" w:ascii="Times New Roman" w:hAnsi="Times New Roman" w:eastAsia="宋体" w:cs="Times New Roman"/>
          <w:color w:val="auto"/>
          <w:sz w:val="24"/>
        </w:rPr>
        <w:t>。现场检测中应注意以下几点：</w:t>
      </w:r>
    </w:p>
    <w:p w14:paraId="25DD2ADC">
      <w:pPr>
        <w:pStyle w:val="44"/>
        <w:spacing w:line="360" w:lineRule="auto"/>
        <w:ind w:left="0"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rPr>
        <w:t xml:space="preserve">1  </w:t>
      </w:r>
      <w:r>
        <w:rPr>
          <w:rFonts w:ascii="Times New Roman" w:hAnsi="Times New Roman" w:eastAsia="宋体" w:cs="Times New Roman"/>
          <w:color w:val="auto"/>
          <w:sz w:val="24"/>
        </w:rPr>
        <w:t>结构构件的构造合理，符合或基本符合国家现行标准规定</w:t>
      </w:r>
      <w:r>
        <w:rPr>
          <w:rFonts w:hint="eastAsia" w:ascii="Times New Roman" w:hAnsi="Times New Roman" w:eastAsia="宋体" w:cs="Times New Roman"/>
          <w:color w:val="auto"/>
          <w:sz w:val="24"/>
        </w:rPr>
        <w:t>；</w:t>
      </w:r>
      <w:r>
        <w:rPr>
          <w:rFonts w:ascii="Times New Roman" w:hAnsi="Times New Roman" w:eastAsia="宋体" w:cs="Times New Roman"/>
          <w:color w:val="auto"/>
          <w:sz w:val="24"/>
        </w:rPr>
        <w:t>无缺陷或仅有局部表面缺陷</w:t>
      </w:r>
      <w:r>
        <w:rPr>
          <w:rFonts w:hint="eastAsia" w:ascii="Times New Roman" w:hAnsi="Times New Roman" w:eastAsia="宋体" w:cs="Times New Roman"/>
          <w:color w:val="auto"/>
          <w:sz w:val="24"/>
        </w:rPr>
        <w:t>；</w:t>
      </w:r>
      <w:r>
        <w:rPr>
          <w:rFonts w:ascii="Times New Roman" w:hAnsi="Times New Roman" w:eastAsia="宋体" w:cs="Times New Roman"/>
          <w:color w:val="auto"/>
          <w:sz w:val="24"/>
        </w:rPr>
        <w:t>工作无异常</w:t>
      </w:r>
      <w:r>
        <w:rPr>
          <w:rFonts w:hint="eastAsia" w:ascii="Times New Roman" w:hAnsi="Times New Roman" w:eastAsia="宋体" w:cs="Times New Roman"/>
          <w:color w:val="auto"/>
          <w:sz w:val="24"/>
        </w:rPr>
        <w:t>；</w:t>
      </w:r>
    </w:p>
    <w:p w14:paraId="6F4E2C64">
      <w:pPr>
        <w:pStyle w:val="44"/>
        <w:spacing w:line="360" w:lineRule="auto"/>
        <w:ind w:left="0"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rPr>
        <w:t xml:space="preserve">2  </w:t>
      </w:r>
      <w:r>
        <w:rPr>
          <w:rFonts w:ascii="Times New Roman" w:hAnsi="Times New Roman" w:eastAsia="宋体" w:cs="Times New Roman"/>
          <w:color w:val="auto"/>
          <w:sz w:val="24"/>
        </w:rPr>
        <w:t>粘结锚固或预埋件的锚板和锚筋构造合理、受力可靠，符合或基本符合国家现行标准规定</w:t>
      </w:r>
      <w:r>
        <w:rPr>
          <w:rFonts w:hint="eastAsia" w:ascii="Times New Roman" w:hAnsi="Times New Roman" w:eastAsia="宋体" w:cs="Times New Roman"/>
          <w:color w:val="auto"/>
          <w:sz w:val="24"/>
        </w:rPr>
        <w:t>；</w:t>
      </w:r>
      <w:r>
        <w:rPr>
          <w:rFonts w:ascii="Times New Roman" w:hAnsi="Times New Roman" w:eastAsia="宋体" w:cs="Times New Roman"/>
          <w:color w:val="auto"/>
          <w:sz w:val="24"/>
        </w:rPr>
        <w:t>经检查无变形或位移等异常情况</w:t>
      </w:r>
      <w:r>
        <w:rPr>
          <w:rFonts w:hint="eastAsia" w:ascii="Times New Roman" w:hAnsi="Times New Roman" w:eastAsia="宋体" w:cs="Times New Roman"/>
          <w:color w:val="auto"/>
          <w:sz w:val="24"/>
        </w:rPr>
        <w:t>；</w:t>
      </w:r>
    </w:p>
    <w:p w14:paraId="60C3221F">
      <w:pPr>
        <w:pStyle w:val="44"/>
        <w:spacing w:line="360" w:lineRule="auto"/>
        <w:ind w:left="0" w:firstLine="480" w:firstLineChars="200"/>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rPr>
        <w:t xml:space="preserve">3  </w:t>
      </w:r>
      <w:r>
        <w:rPr>
          <w:rFonts w:ascii="Times New Roman" w:hAnsi="Times New Roman" w:eastAsia="宋体" w:cs="Times New Roman"/>
          <w:color w:val="auto"/>
          <w:sz w:val="24"/>
        </w:rPr>
        <w:t>连接节点的焊缝或螺栓连接方式正确，构造符合或基本符合国家现行标准规定和使用要求</w:t>
      </w:r>
      <w:r>
        <w:rPr>
          <w:rFonts w:hint="eastAsia" w:ascii="Times New Roman" w:hAnsi="Times New Roman" w:eastAsia="宋体" w:cs="Times New Roman"/>
          <w:color w:val="auto"/>
          <w:sz w:val="24"/>
        </w:rPr>
        <w:t>；</w:t>
      </w:r>
      <w:r>
        <w:rPr>
          <w:rFonts w:ascii="Times New Roman" w:hAnsi="Times New Roman" w:eastAsia="宋体" w:cs="Times New Roman"/>
          <w:color w:val="auto"/>
          <w:sz w:val="24"/>
        </w:rPr>
        <w:t>无缺陷或仅有局部表面缺陷，工作无异常</w:t>
      </w:r>
      <w:r>
        <w:rPr>
          <w:rFonts w:hint="eastAsia" w:ascii="Times New Roman" w:hAnsi="Times New Roman" w:eastAsia="宋体" w:cs="Times New Roman"/>
          <w:color w:val="auto"/>
          <w:sz w:val="24"/>
          <w:lang w:eastAsia="zh-CN"/>
        </w:rPr>
        <w:t>。</w:t>
      </w:r>
    </w:p>
    <w:p w14:paraId="42544905">
      <w:pPr>
        <w:pStyle w:val="44"/>
        <w:spacing w:line="360" w:lineRule="auto"/>
        <w:ind w:left="0"/>
        <w:rPr>
          <w:rFonts w:ascii="Times New Roman" w:hAnsi="Times New Roman" w:eastAsia="宋体" w:cs="Times New Roman"/>
          <w:color w:val="auto"/>
          <w:sz w:val="24"/>
        </w:rPr>
      </w:pPr>
      <w:r>
        <w:rPr>
          <w:rFonts w:hint="eastAsia" w:ascii="Times New Roman" w:hAnsi="Times New Roman" w:eastAsia="宋体" w:cs="Times New Roman"/>
          <w:color w:val="auto"/>
          <w:sz w:val="24"/>
        </w:rPr>
        <w:t>4.</w:t>
      </w:r>
      <w:r>
        <w:rPr>
          <w:rFonts w:hint="eastAsia" w:ascii="Times New Roman" w:hAnsi="Times New Roman" w:eastAsia="宋体" w:cs="Times New Roman"/>
          <w:color w:val="auto"/>
          <w:sz w:val="24"/>
          <w:lang w:val="en-US" w:eastAsia="zh-CN"/>
        </w:rPr>
        <w:t>6</w:t>
      </w:r>
      <w:r>
        <w:rPr>
          <w:rFonts w:hint="eastAsia" w:ascii="Times New Roman" w:hAnsi="Times New Roman" w:eastAsia="宋体" w:cs="Times New Roman"/>
          <w:color w:val="auto"/>
          <w:sz w:val="24"/>
        </w:rPr>
        <w:t>.1</w:t>
      </w:r>
      <w:r>
        <w:rPr>
          <w:rFonts w:ascii="Times New Roman" w:hAnsi="Times New Roman" w:eastAsia="宋体" w:cs="Times New Roman"/>
          <w:color w:val="auto"/>
          <w:sz w:val="24"/>
        </w:rPr>
        <w:t>4</w:t>
      </w:r>
      <w:r>
        <w:rPr>
          <w:rFonts w:hint="eastAsia" w:ascii="Times New Roman" w:hAnsi="Times New Roman" w:eastAsia="宋体" w:cs="Times New Roman"/>
          <w:color w:val="auto"/>
          <w:sz w:val="24"/>
        </w:rPr>
        <w:t xml:space="preserve"> </w:t>
      </w:r>
      <w:r>
        <w:rPr>
          <w:rFonts w:hint="eastAsia" w:ascii="Times New Roman" w:hAnsi="Times New Roman" w:eastAsia="宋体" w:cs="Times New Roman"/>
          <w:b/>
          <w:bCs/>
          <w:color w:val="auto"/>
          <w:sz w:val="24"/>
        </w:rPr>
        <w:t xml:space="preserve"> </w:t>
      </w:r>
      <w:r>
        <w:rPr>
          <w:rFonts w:ascii="Times New Roman" w:hAnsi="Times New Roman" w:eastAsia="宋体" w:cs="Times New Roman"/>
          <w:color w:val="auto"/>
          <w:sz w:val="24"/>
        </w:rPr>
        <w:t>钢结构的连接可分为焊接连接、螺栓和铆钉连接、高强螺栓连接等。焊接连接的检测可分为焊缝外观检查、焊缝构造及其尺寸、焊缝缺陷和焊缝力学性能等检测。</w:t>
      </w:r>
    </w:p>
    <w:p w14:paraId="16E9CA40">
      <w:pPr>
        <w:pStyle w:val="44"/>
        <w:spacing w:line="360" w:lineRule="auto"/>
        <w:ind w:left="0"/>
        <w:rPr>
          <w:rFonts w:ascii="Times New Roman" w:hAnsi="Times New Roman" w:eastAsia="宋体" w:cs="Times New Roman"/>
          <w:color w:val="auto"/>
          <w:sz w:val="24"/>
        </w:rPr>
      </w:pPr>
      <w:r>
        <w:rPr>
          <w:rFonts w:hint="eastAsia" w:ascii="Times New Roman" w:hAnsi="Times New Roman" w:eastAsia="宋体" w:cs="Times New Roman"/>
          <w:color w:val="auto"/>
          <w:sz w:val="24"/>
        </w:rPr>
        <w:t>4.</w:t>
      </w:r>
      <w:r>
        <w:rPr>
          <w:rFonts w:hint="eastAsia" w:ascii="Times New Roman" w:hAnsi="Times New Roman" w:eastAsia="宋体" w:cs="Times New Roman"/>
          <w:color w:val="auto"/>
          <w:sz w:val="24"/>
          <w:lang w:val="en-US" w:eastAsia="zh-CN"/>
        </w:rPr>
        <w:t>6</w:t>
      </w:r>
      <w:r>
        <w:rPr>
          <w:rFonts w:hint="eastAsia" w:ascii="Times New Roman" w:hAnsi="Times New Roman" w:eastAsia="宋体" w:cs="Times New Roman"/>
          <w:color w:val="auto"/>
          <w:sz w:val="24"/>
        </w:rPr>
        <w:t>.1</w:t>
      </w:r>
      <w:r>
        <w:rPr>
          <w:rFonts w:ascii="Times New Roman" w:hAnsi="Times New Roman" w:eastAsia="宋体" w:cs="Times New Roman"/>
          <w:color w:val="auto"/>
          <w:sz w:val="24"/>
        </w:rPr>
        <w:t>5</w:t>
      </w:r>
      <w:r>
        <w:rPr>
          <w:rFonts w:hint="eastAsia" w:ascii="Times New Roman" w:hAnsi="Times New Roman" w:eastAsia="宋体" w:cs="Times New Roman"/>
          <w:color w:val="auto"/>
          <w:sz w:val="24"/>
        </w:rPr>
        <w:t xml:space="preserve">  </w:t>
      </w:r>
      <w:r>
        <w:rPr>
          <w:rFonts w:ascii="Times New Roman" w:hAnsi="Times New Roman" w:eastAsia="宋体" w:cs="Times New Roman"/>
          <w:color w:val="auto"/>
          <w:sz w:val="24"/>
        </w:rPr>
        <w:t>钢结构支撑体系的连接可</w:t>
      </w:r>
      <w:r>
        <w:rPr>
          <w:rFonts w:ascii="Times New Roman" w:hAnsi="Times New Roman" w:eastAsia="宋体" w:cs="Times New Roman"/>
          <w:color w:val="auto"/>
          <w:kern w:val="0"/>
          <w:sz w:val="24"/>
        </w:rPr>
        <w:t>按《建筑结构检测技术标准》GB/T50344第</w:t>
      </w:r>
      <w:r>
        <w:rPr>
          <w:rFonts w:ascii="Times New Roman" w:hAnsi="Times New Roman" w:eastAsia="宋体" w:cs="Times New Roman"/>
          <w:color w:val="auto"/>
          <w:sz w:val="24"/>
        </w:rPr>
        <w:t>6.3节的规定进行检测，构件和杆件的尺寸可按第6.4节的规定进行测定。</w:t>
      </w:r>
    </w:p>
    <w:p w14:paraId="7EE535C1">
      <w:pPr>
        <w:pStyle w:val="44"/>
        <w:spacing w:line="360" w:lineRule="auto"/>
        <w:ind w:left="0"/>
        <w:rPr>
          <w:rFonts w:ascii="Times New Roman" w:hAnsi="Times New Roman" w:eastAsia="宋体" w:cs="Times New Roman"/>
          <w:color w:val="auto"/>
          <w:sz w:val="24"/>
        </w:rPr>
      </w:pPr>
      <w:r>
        <w:rPr>
          <w:rFonts w:hint="eastAsia" w:ascii="Times New Roman" w:hAnsi="Times New Roman" w:eastAsia="宋体" w:cs="Times New Roman"/>
          <w:color w:val="auto"/>
          <w:sz w:val="24"/>
        </w:rPr>
        <w:t>4.</w:t>
      </w:r>
      <w:r>
        <w:rPr>
          <w:rFonts w:hint="eastAsia" w:ascii="Times New Roman" w:hAnsi="Times New Roman" w:eastAsia="宋体" w:cs="Times New Roman"/>
          <w:color w:val="auto"/>
          <w:sz w:val="24"/>
          <w:lang w:val="en-US" w:eastAsia="zh-CN"/>
        </w:rPr>
        <w:t>6</w:t>
      </w:r>
      <w:r>
        <w:rPr>
          <w:rFonts w:hint="eastAsia" w:ascii="Times New Roman" w:hAnsi="Times New Roman" w:eastAsia="宋体" w:cs="Times New Roman"/>
          <w:color w:val="auto"/>
          <w:sz w:val="24"/>
        </w:rPr>
        <w:t>.1</w:t>
      </w:r>
      <w:r>
        <w:rPr>
          <w:rFonts w:ascii="Times New Roman" w:hAnsi="Times New Roman" w:eastAsia="宋体" w:cs="Times New Roman"/>
          <w:color w:val="auto"/>
          <w:sz w:val="24"/>
        </w:rPr>
        <w:t>6</w:t>
      </w:r>
      <w:r>
        <w:rPr>
          <w:rFonts w:hint="eastAsia" w:ascii="Times New Roman" w:hAnsi="Times New Roman" w:eastAsia="宋体" w:cs="Times New Roman"/>
          <w:color w:val="auto"/>
          <w:sz w:val="24"/>
        </w:rPr>
        <w:t xml:space="preserve">  </w:t>
      </w:r>
      <w:r>
        <w:rPr>
          <w:rFonts w:ascii="Times New Roman" w:hAnsi="Times New Roman" w:eastAsia="宋体" w:cs="Times New Roman"/>
          <w:color w:val="auto"/>
          <w:sz w:val="24"/>
        </w:rPr>
        <w:t>钢结构构件截面的宽厚比应按构件的实测尺寸进行核算</w:t>
      </w:r>
      <w:r>
        <w:rPr>
          <w:rFonts w:hint="eastAsia" w:ascii="Times New Roman" w:hAnsi="Times New Roman" w:eastAsia="宋体" w:cs="Times New Roman"/>
          <w:color w:val="auto"/>
          <w:sz w:val="24"/>
        </w:rPr>
        <w:t>，</w:t>
      </w:r>
      <w:r>
        <w:rPr>
          <w:rFonts w:ascii="Times New Roman" w:hAnsi="Times New Roman" w:eastAsia="宋体" w:cs="Times New Roman"/>
          <w:color w:val="auto"/>
          <w:sz w:val="24"/>
        </w:rPr>
        <w:t>钢构件腹板出现侧弯时，应评定为局部稳定问题。</w:t>
      </w:r>
    </w:p>
    <w:p w14:paraId="65CE0AC2">
      <w:pPr>
        <w:pStyle w:val="44"/>
        <w:spacing w:line="360" w:lineRule="auto"/>
        <w:ind w:left="0"/>
        <w:rPr>
          <w:rFonts w:ascii="Times New Roman" w:hAnsi="Times New Roman" w:eastAsia="宋体" w:cs="Times New Roman"/>
          <w:color w:val="auto"/>
          <w:sz w:val="24"/>
        </w:rPr>
      </w:pPr>
      <w:r>
        <w:rPr>
          <w:rFonts w:hint="eastAsia" w:ascii="Times New Roman" w:hAnsi="Times New Roman" w:eastAsia="宋体" w:cs="Times New Roman"/>
          <w:color w:val="auto"/>
          <w:sz w:val="24"/>
        </w:rPr>
        <w:t>4.</w:t>
      </w:r>
      <w:r>
        <w:rPr>
          <w:rFonts w:hint="eastAsia" w:ascii="Times New Roman" w:hAnsi="Times New Roman" w:eastAsia="宋体" w:cs="Times New Roman"/>
          <w:color w:val="auto"/>
          <w:sz w:val="24"/>
          <w:lang w:val="en-US" w:eastAsia="zh-CN"/>
        </w:rPr>
        <w:t>6</w:t>
      </w:r>
      <w:r>
        <w:rPr>
          <w:rFonts w:hint="eastAsia" w:ascii="Times New Roman" w:hAnsi="Times New Roman" w:eastAsia="宋体" w:cs="Times New Roman"/>
          <w:color w:val="auto"/>
          <w:sz w:val="24"/>
        </w:rPr>
        <w:t>.1</w:t>
      </w:r>
      <w:r>
        <w:rPr>
          <w:rFonts w:ascii="Times New Roman" w:hAnsi="Times New Roman" w:eastAsia="宋体" w:cs="Times New Roman"/>
          <w:color w:val="auto"/>
          <w:sz w:val="24"/>
        </w:rPr>
        <w:t>7</w:t>
      </w:r>
      <w:r>
        <w:rPr>
          <w:rFonts w:hint="eastAsia" w:ascii="Times New Roman" w:hAnsi="Times New Roman" w:eastAsia="宋体" w:cs="Times New Roman"/>
          <w:color w:val="auto"/>
          <w:sz w:val="24"/>
        </w:rPr>
        <w:t xml:space="preserve"> </w:t>
      </w:r>
      <w:r>
        <w:rPr>
          <w:rFonts w:ascii="Times New Roman" w:hAnsi="Times New Roman" w:eastAsia="宋体" w:cs="Times New Roman"/>
          <w:color w:val="auto"/>
          <w:sz w:val="24"/>
        </w:rPr>
        <w:t xml:space="preserve"> 钢结构支撑杆件和构件杆件宜按受压杆件考虑长细比，平面类杆件尚应考虑平面内和平面外长细比的区别。</w:t>
      </w:r>
    </w:p>
    <w:p w14:paraId="5BF9CCBD">
      <w:pPr>
        <w:pStyle w:val="44"/>
        <w:spacing w:line="360" w:lineRule="auto"/>
        <w:ind w:left="0"/>
        <w:rPr>
          <w:rFonts w:ascii="Times New Roman" w:hAnsi="Times New Roman" w:eastAsia="宋体" w:cs="Times New Roman"/>
          <w:color w:val="auto"/>
          <w:sz w:val="24"/>
        </w:rPr>
      </w:pPr>
      <w:r>
        <w:rPr>
          <w:rFonts w:hint="eastAsia" w:ascii="Times New Roman" w:hAnsi="Times New Roman" w:eastAsia="宋体" w:cs="Times New Roman"/>
          <w:color w:val="auto"/>
          <w:sz w:val="24"/>
        </w:rPr>
        <w:t>4.</w:t>
      </w:r>
      <w:r>
        <w:rPr>
          <w:rFonts w:hint="eastAsia" w:ascii="Times New Roman" w:hAnsi="Times New Roman" w:eastAsia="宋体" w:cs="Times New Roman"/>
          <w:color w:val="auto"/>
          <w:sz w:val="24"/>
          <w:lang w:val="en-US" w:eastAsia="zh-CN"/>
        </w:rPr>
        <w:t>6</w:t>
      </w:r>
      <w:r>
        <w:rPr>
          <w:rFonts w:hint="eastAsia" w:ascii="Times New Roman" w:hAnsi="Times New Roman" w:eastAsia="宋体" w:cs="Times New Roman"/>
          <w:color w:val="auto"/>
          <w:sz w:val="24"/>
        </w:rPr>
        <w:t>.1</w:t>
      </w:r>
      <w:r>
        <w:rPr>
          <w:rFonts w:ascii="Times New Roman" w:hAnsi="Times New Roman" w:eastAsia="宋体" w:cs="Times New Roman"/>
          <w:color w:val="auto"/>
          <w:sz w:val="24"/>
        </w:rPr>
        <w:t>8</w:t>
      </w:r>
      <w:r>
        <w:rPr>
          <w:rFonts w:hint="eastAsia" w:ascii="Times New Roman" w:hAnsi="Times New Roman" w:eastAsia="宋体" w:cs="Times New Roman"/>
          <w:color w:val="auto"/>
          <w:sz w:val="24"/>
        </w:rPr>
        <w:t xml:space="preserve">  </w:t>
      </w:r>
      <w:r>
        <w:rPr>
          <w:rFonts w:ascii="Times New Roman" w:hAnsi="Times New Roman" w:eastAsia="宋体" w:cs="Times New Roman"/>
          <w:color w:val="auto"/>
          <w:sz w:val="24"/>
        </w:rPr>
        <w:t>网架球节点间的杆件出现弯曲宜初步判定尚存在稳定性问题，在进行计算分析时，应考虑不同荷载组合下杆件的内力，以及施工过程造成的附加内力等。</w:t>
      </w:r>
    </w:p>
    <w:p w14:paraId="53F33EDD">
      <w:pPr>
        <w:pStyle w:val="44"/>
        <w:spacing w:line="360" w:lineRule="auto"/>
        <w:ind w:left="0"/>
        <w:rPr>
          <w:rFonts w:ascii="Times New Roman" w:hAnsi="Times New Roman" w:eastAsia="宋体" w:cs="Times New Roman"/>
          <w:color w:val="auto"/>
          <w:sz w:val="24"/>
        </w:rPr>
      </w:pPr>
      <w:r>
        <w:rPr>
          <w:rFonts w:hint="eastAsia" w:ascii="Times New Roman" w:hAnsi="Times New Roman" w:eastAsia="宋体" w:cs="Times New Roman"/>
          <w:color w:val="auto"/>
          <w:sz w:val="24"/>
        </w:rPr>
        <w:t>4.</w:t>
      </w:r>
      <w:r>
        <w:rPr>
          <w:rFonts w:hint="eastAsia" w:ascii="Times New Roman" w:hAnsi="Times New Roman" w:eastAsia="宋体" w:cs="Times New Roman"/>
          <w:color w:val="auto"/>
          <w:sz w:val="24"/>
          <w:lang w:val="en-US" w:eastAsia="zh-CN"/>
        </w:rPr>
        <w:t>6</w:t>
      </w:r>
      <w:r>
        <w:rPr>
          <w:rFonts w:hint="eastAsia" w:ascii="Times New Roman" w:hAnsi="Times New Roman" w:eastAsia="宋体" w:cs="Times New Roman"/>
          <w:color w:val="auto"/>
          <w:sz w:val="24"/>
        </w:rPr>
        <w:t>.1</w:t>
      </w:r>
      <w:r>
        <w:rPr>
          <w:rFonts w:ascii="Times New Roman" w:hAnsi="Times New Roman" w:eastAsia="宋体" w:cs="Times New Roman"/>
          <w:color w:val="auto"/>
          <w:sz w:val="24"/>
        </w:rPr>
        <w:t>9</w:t>
      </w:r>
      <w:r>
        <w:rPr>
          <w:rFonts w:hint="eastAsia" w:ascii="Times New Roman" w:hAnsi="Times New Roman" w:eastAsia="宋体" w:cs="Times New Roman"/>
          <w:color w:val="auto"/>
          <w:sz w:val="24"/>
        </w:rPr>
        <w:t xml:space="preserve">  </w:t>
      </w:r>
      <w:r>
        <w:rPr>
          <w:rFonts w:ascii="Times New Roman" w:hAnsi="Times New Roman" w:eastAsia="宋体" w:cs="Times New Roman"/>
          <w:color w:val="auto"/>
          <w:sz w:val="24"/>
        </w:rPr>
        <w:t>平面屋架的杆件出现平面外的弯曲，节点板出现平面外的位移或变形时，可初步评价存在失稳的问题。</w:t>
      </w:r>
    </w:p>
    <w:bookmarkEnd w:id="35"/>
    <w:p w14:paraId="7EA7FE9B">
      <w:pPr>
        <w:pStyle w:val="44"/>
        <w:spacing w:line="360" w:lineRule="auto"/>
        <w:ind w:left="0"/>
        <w:rPr>
          <w:rFonts w:ascii="Times New Roman" w:hAnsi="Times New Roman" w:eastAsia="宋体" w:cs="Times New Roman"/>
          <w:color w:val="auto"/>
          <w:sz w:val="24"/>
        </w:rPr>
      </w:pPr>
      <w:r>
        <w:rPr>
          <w:rFonts w:hint="eastAsia" w:ascii="Times New Roman" w:hAnsi="Times New Roman" w:eastAsia="宋体" w:cs="Times New Roman"/>
          <w:color w:val="auto"/>
          <w:sz w:val="24"/>
        </w:rPr>
        <w:t>4.</w:t>
      </w:r>
      <w:r>
        <w:rPr>
          <w:rFonts w:hint="eastAsia" w:ascii="Times New Roman" w:hAnsi="Times New Roman" w:eastAsia="宋体" w:cs="Times New Roman"/>
          <w:color w:val="auto"/>
          <w:sz w:val="24"/>
          <w:lang w:val="en-US" w:eastAsia="zh-CN"/>
        </w:rPr>
        <w:t>6</w:t>
      </w:r>
      <w:r>
        <w:rPr>
          <w:rFonts w:hint="eastAsia" w:ascii="Times New Roman" w:hAnsi="Times New Roman" w:eastAsia="宋体" w:cs="Times New Roman"/>
          <w:color w:val="auto"/>
          <w:sz w:val="24"/>
        </w:rPr>
        <w:t>.</w:t>
      </w:r>
      <w:r>
        <w:rPr>
          <w:rFonts w:ascii="Times New Roman" w:hAnsi="Times New Roman" w:eastAsia="宋体" w:cs="Times New Roman"/>
          <w:color w:val="auto"/>
          <w:sz w:val="24"/>
        </w:rPr>
        <w:t>20</w:t>
      </w:r>
      <w:r>
        <w:rPr>
          <w:rFonts w:hint="eastAsia" w:ascii="Times New Roman" w:hAnsi="Times New Roman" w:eastAsia="宋体" w:cs="Times New Roman"/>
          <w:b/>
          <w:bCs/>
          <w:color w:val="auto"/>
          <w:sz w:val="24"/>
        </w:rPr>
        <w:t xml:space="preserve">  </w:t>
      </w:r>
      <w:r>
        <w:rPr>
          <w:rFonts w:ascii="Times New Roman" w:hAnsi="Times New Roman" w:eastAsia="宋体" w:cs="Times New Roman"/>
          <w:color w:val="auto"/>
          <w:sz w:val="24"/>
        </w:rPr>
        <w:t>砌体结构的构造可分为基本构造、结构构造和配筋砌体构造等检测分项。</w:t>
      </w:r>
    </w:p>
    <w:p w14:paraId="1CAE6B84">
      <w:pPr>
        <w:pStyle w:val="44"/>
        <w:spacing w:line="360" w:lineRule="auto"/>
        <w:ind w:left="0"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rPr>
        <w:t xml:space="preserve">1  </w:t>
      </w:r>
      <w:r>
        <w:rPr>
          <w:rFonts w:ascii="Times New Roman" w:hAnsi="Times New Roman" w:eastAsia="宋体" w:cs="Times New Roman"/>
          <w:color w:val="auto"/>
          <w:sz w:val="24"/>
        </w:rPr>
        <w:t>砌体结构基本构造的构件高厚比、梁垫的设置、构件搁置长度和构件间的连接可采用观察、剔凿检查、尺量和使用专用仪器测试等方法进行检测</w:t>
      </w:r>
      <w:r>
        <w:rPr>
          <w:rFonts w:hint="eastAsia" w:ascii="Times New Roman" w:hAnsi="Times New Roman" w:eastAsia="宋体" w:cs="Times New Roman"/>
          <w:color w:val="auto"/>
          <w:sz w:val="24"/>
        </w:rPr>
        <w:t>；</w:t>
      </w:r>
    </w:p>
    <w:p w14:paraId="314C4177">
      <w:pPr>
        <w:pStyle w:val="44"/>
        <w:spacing w:line="360" w:lineRule="auto"/>
        <w:ind w:left="0"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rPr>
        <w:t xml:space="preserve">2  </w:t>
      </w:r>
      <w:r>
        <w:rPr>
          <w:rFonts w:ascii="Times New Roman" w:hAnsi="Times New Roman" w:eastAsia="宋体" w:cs="Times New Roman"/>
          <w:color w:val="auto"/>
          <w:sz w:val="24"/>
        </w:rPr>
        <w:t>结构构造中的圈梁、构造柱或芯柱的设置可通过观察、测定构件中的钢筋和局部剔凿方法判定;混凝土构造的质量或性能可按本标准《</w:t>
      </w:r>
      <w:r>
        <w:rPr>
          <w:rFonts w:ascii="Times New Roman" w:hAnsi="Times New Roman" w:eastAsia="宋体" w:cs="Times New Roman"/>
          <w:bCs/>
          <w:color w:val="auto"/>
          <w:sz w:val="24"/>
        </w:rPr>
        <w:t>建筑结构检测技术标准》GB∕T 50344</w:t>
      </w:r>
      <w:r>
        <w:rPr>
          <w:rFonts w:ascii="Times New Roman" w:hAnsi="Times New Roman" w:eastAsia="宋体" w:cs="Times New Roman"/>
          <w:color w:val="auto"/>
          <w:sz w:val="24"/>
        </w:rPr>
        <w:t>的相关规定进行检测。</w:t>
      </w:r>
    </w:p>
    <w:p w14:paraId="1422993A">
      <w:pPr>
        <w:pStyle w:val="44"/>
        <w:spacing w:line="360" w:lineRule="auto"/>
        <w:ind w:left="0"/>
        <w:rPr>
          <w:rFonts w:ascii="Times New Roman" w:hAnsi="Times New Roman" w:eastAsia="宋体" w:cs="Times New Roman"/>
          <w:color w:val="auto"/>
          <w:sz w:val="24"/>
        </w:rPr>
      </w:pPr>
      <w:r>
        <w:rPr>
          <w:rFonts w:hint="eastAsia" w:ascii="Times New Roman" w:hAnsi="Times New Roman" w:eastAsia="宋体" w:cs="Times New Roman"/>
          <w:bCs/>
          <w:color w:val="auto"/>
          <w:sz w:val="24"/>
        </w:rPr>
        <w:t>4.</w:t>
      </w:r>
      <w:r>
        <w:rPr>
          <w:rFonts w:hint="eastAsia" w:ascii="Times New Roman" w:hAnsi="Times New Roman" w:eastAsia="宋体" w:cs="Times New Roman"/>
          <w:bCs/>
          <w:color w:val="auto"/>
          <w:sz w:val="24"/>
          <w:lang w:val="en-US" w:eastAsia="zh-CN"/>
        </w:rPr>
        <w:t>6</w:t>
      </w:r>
      <w:r>
        <w:rPr>
          <w:rFonts w:hint="eastAsia" w:ascii="Times New Roman" w:hAnsi="Times New Roman" w:eastAsia="宋体" w:cs="Times New Roman"/>
          <w:bCs/>
          <w:color w:val="auto"/>
          <w:sz w:val="24"/>
        </w:rPr>
        <w:t>.</w:t>
      </w:r>
      <w:r>
        <w:rPr>
          <w:rFonts w:ascii="Times New Roman" w:hAnsi="Times New Roman" w:eastAsia="宋体" w:cs="Times New Roman"/>
          <w:bCs/>
          <w:color w:val="auto"/>
          <w:sz w:val="24"/>
        </w:rPr>
        <w:t xml:space="preserve">21 </w:t>
      </w:r>
      <w:r>
        <w:rPr>
          <w:rFonts w:hint="eastAsia" w:ascii="Times New Roman" w:hAnsi="Times New Roman" w:eastAsia="宋体" w:cs="Times New Roman"/>
          <w:bCs/>
          <w:color w:val="auto"/>
          <w:sz w:val="24"/>
        </w:rPr>
        <w:t xml:space="preserve"> </w:t>
      </w:r>
      <w:r>
        <w:rPr>
          <w:rFonts w:ascii="Times New Roman" w:hAnsi="Times New Roman" w:eastAsia="宋体" w:cs="Times New Roman"/>
          <w:color w:val="auto"/>
          <w:sz w:val="24"/>
        </w:rPr>
        <w:t>建筑结构水平构件跨中点的挠度可按</w:t>
      </w:r>
      <w:bookmarkStart w:id="37" w:name="OLE_LINK8"/>
      <w:bookmarkStart w:id="38" w:name="OLE_LINK6"/>
      <w:r>
        <w:rPr>
          <w:rFonts w:ascii="Times New Roman" w:hAnsi="Times New Roman" w:eastAsia="宋体" w:cs="Times New Roman"/>
          <w:color w:val="auto"/>
          <w:sz w:val="24"/>
        </w:rPr>
        <w:t>《建筑结构检测技术标准》GB∕T 50344</w:t>
      </w:r>
      <w:bookmarkEnd w:id="37"/>
      <w:r>
        <w:rPr>
          <w:rFonts w:ascii="Times New Roman" w:hAnsi="Times New Roman" w:eastAsia="宋体" w:cs="Times New Roman"/>
          <w:color w:val="auto"/>
          <w:sz w:val="24"/>
        </w:rPr>
        <w:t>标准</w:t>
      </w:r>
      <w:bookmarkEnd w:id="38"/>
      <w:r>
        <w:rPr>
          <w:rFonts w:ascii="Times New Roman" w:hAnsi="Times New Roman" w:eastAsia="宋体" w:cs="Times New Roman"/>
          <w:color w:val="auto"/>
          <w:sz w:val="24"/>
        </w:rPr>
        <w:t>附录D规定的方法进行检测。在检测时，应考虑施工偏差和施工起拱等的影响。当需要确定水平构件适用性极限状态的挠度时，宜采用静力荷载检验的方法。</w:t>
      </w:r>
    </w:p>
    <w:p w14:paraId="4C1E742C">
      <w:pPr>
        <w:pStyle w:val="44"/>
        <w:spacing w:line="360" w:lineRule="auto"/>
        <w:ind w:left="0"/>
        <w:rPr>
          <w:rFonts w:ascii="Times New Roman" w:hAnsi="Times New Roman" w:eastAsia="宋体" w:cs="Times New Roman"/>
          <w:color w:val="auto"/>
          <w:sz w:val="24"/>
        </w:rPr>
      </w:pPr>
      <w:r>
        <w:rPr>
          <w:rFonts w:hint="eastAsia" w:ascii="Times New Roman" w:hAnsi="Times New Roman" w:eastAsia="宋体" w:cs="Times New Roman"/>
          <w:color w:val="auto"/>
          <w:sz w:val="24"/>
        </w:rPr>
        <w:t>4.</w:t>
      </w:r>
      <w:r>
        <w:rPr>
          <w:rFonts w:hint="eastAsia" w:ascii="Times New Roman" w:hAnsi="Times New Roman" w:eastAsia="宋体" w:cs="Times New Roman"/>
          <w:color w:val="auto"/>
          <w:sz w:val="24"/>
          <w:lang w:val="en-US" w:eastAsia="zh-CN"/>
        </w:rPr>
        <w:t>6</w:t>
      </w:r>
      <w:r>
        <w:rPr>
          <w:rFonts w:ascii="Times New Roman" w:hAnsi="Times New Roman" w:eastAsia="宋体" w:cs="Times New Roman"/>
          <w:color w:val="auto"/>
          <w:sz w:val="24"/>
        </w:rPr>
        <w:t>.</w:t>
      </w:r>
      <w:r>
        <w:rPr>
          <w:rFonts w:hint="eastAsia" w:ascii="Times New Roman" w:hAnsi="Times New Roman" w:eastAsia="宋体" w:cs="Times New Roman"/>
          <w:color w:val="auto"/>
          <w:sz w:val="24"/>
        </w:rPr>
        <w:t>2</w:t>
      </w:r>
      <w:r>
        <w:rPr>
          <w:rFonts w:ascii="Times New Roman" w:hAnsi="Times New Roman" w:eastAsia="宋体" w:cs="Times New Roman"/>
          <w:color w:val="auto"/>
          <w:sz w:val="24"/>
        </w:rPr>
        <w:t>2</w:t>
      </w:r>
      <w:r>
        <w:rPr>
          <w:rFonts w:hint="eastAsia" w:ascii="Times New Roman" w:hAnsi="Times New Roman" w:eastAsia="宋体" w:cs="Times New Roman"/>
          <w:color w:val="auto"/>
          <w:sz w:val="24"/>
        </w:rPr>
        <w:t xml:space="preserve"> </w:t>
      </w:r>
      <w:r>
        <w:rPr>
          <w:rFonts w:ascii="Times New Roman" w:hAnsi="Times New Roman" w:eastAsia="宋体" w:cs="Times New Roman"/>
          <w:color w:val="auto"/>
          <w:sz w:val="24"/>
        </w:rPr>
        <w:t xml:space="preserve"> 结构垂直构件的倾斜宜按本《建筑结构检测技术标准》GB∕T 50344标准附录D规定的方法进行检测。在检测中应区分尺寸偏差与构件倾斜之间的差别。</w:t>
      </w:r>
    </w:p>
    <w:p w14:paraId="0ACC806C">
      <w:pPr>
        <w:pStyle w:val="18"/>
        <w:spacing w:beforeAutospacing="0" w:afterAutospacing="0" w:line="360" w:lineRule="auto"/>
        <w:rPr>
          <w:rFonts w:ascii="Times New Roman" w:hAnsi="Times New Roman" w:eastAsia="宋体"/>
          <w:color w:val="auto"/>
        </w:rPr>
      </w:pPr>
      <w:r>
        <w:rPr>
          <w:rFonts w:hint="eastAsia" w:ascii="Times New Roman" w:hAnsi="Times New Roman" w:eastAsia="宋体"/>
          <w:bCs/>
          <w:color w:val="auto"/>
        </w:rPr>
        <w:t>4.</w:t>
      </w:r>
      <w:r>
        <w:rPr>
          <w:rFonts w:hint="eastAsia" w:ascii="Times New Roman" w:hAnsi="Times New Roman" w:eastAsia="宋体"/>
          <w:bCs/>
          <w:color w:val="auto"/>
          <w:lang w:val="en-US" w:eastAsia="zh-CN"/>
        </w:rPr>
        <w:t>6</w:t>
      </w:r>
      <w:r>
        <w:rPr>
          <w:rFonts w:hint="eastAsia" w:ascii="Times New Roman" w:hAnsi="Times New Roman" w:eastAsia="宋体"/>
          <w:bCs/>
          <w:color w:val="auto"/>
        </w:rPr>
        <w:t>.2</w:t>
      </w:r>
      <w:r>
        <w:rPr>
          <w:rFonts w:ascii="Times New Roman" w:hAnsi="Times New Roman" w:eastAsia="宋体"/>
          <w:bCs/>
          <w:color w:val="auto"/>
        </w:rPr>
        <w:t xml:space="preserve">3 </w:t>
      </w:r>
      <w:r>
        <w:rPr>
          <w:rFonts w:hint="eastAsia" w:ascii="Times New Roman" w:hAnsi="Times New Roman" w:eastAsia="宋体"/>
          <w:bCs/>
          <w:color w:val="auto"/>
        </w:rPr>
        <w:t xml:space="preserve"> </w:t>
      </w:r>
      <w:r>
        <w:rPr>
          <w:rFonts w:ascii="Times New Roman" w:hAnsi="Times New Roman" w:eastAsia="宋体"/>
          <w:color w:val="auto"/>
        </w:rPr>
        <w:t>混凝土构件的缺陷可分为外观缺陷、内部缺陷和裂缝</w:t>
      </w:r>
      <w:r>
        <w:rPr>
          <w:rFonts w:hint="eastAsia" w:ascii="Times New Roman" w:hAnsi="Times New Roman" w:eastAsia="宋体"/>
          <w:color w:val="auto"/>
        </w:rPr>
        <w:t>：</w:t>
      </w:r>
    </w:p>
    <w:p w14:paraId="299DBD1C">
      <w:pPr>
        <w:pStyle w:val="44"/>
        <w:spacing w:line="360" w:lineRule="auto"/>
        <w:ind w:left="0" w:firstLine="549" w:firstLineChars="229"/>
        <w:rPr>
          <w:rFonts w:ascii="Times New Roman" w:hAnsi="Times New Roman" w:eastAsia="宋体" w:cs="Times New Roman"/>
          <w:color w:val="auto"/>
          <w:sz w:val="24"/>
        </w:rPr>
      </w:pPr>
      <w:r>
        <w:rPr>
          <w:rFonts w:hint="eastAsia" w:ascii="Times New Roman" w:hAnsi="Times New Roman" w:eastAsia="宋体" w:cs="Times New Roman"/>
          <w:color w:val="auto"/>
          <w:sz w:val="24"/>
        </w:rPr>
        <w:t xml:space="preserve">1  </w:t>
      </w:r>
      <w:r>
        <w:rPr>
          <w:rFonts w:ascii="Times New Roman" w:hAnsi="Times New Roman" w:eastAsia="宋体" w:cs="Times New Roman"/>
          <w:color w:val="auto"/>
          <w:sz w:val="24"/>
        </w:rPr>
        <w:t>混凝土外观缺陷可采用现行国家标准《混凝土结构工程施工质量验收规范》GB 50204规定的适用方法进行检测，对工程构件外观缺陷进行全数检查，是否有蜂窝、麻面、孔洞、夹渣、露筋、裂缝等缺陷。对地下室顶板、底板、侧板进行渗漏情况检查</w:t>
      </w:r>
      <w:r>
        <w:rPr>
          <w:rFonts w:hint="eastAsia" w:ascii="Times New Roman" w:hAnsi="Times New Roman" w:eastAsia="宋体" w:cs="Times New Roman"/>
          <w:color w:val="auto"/>
          <w:sz w:val="24"/>
        </w:rPr>
        <w:t>；</w:t>
      </w:r>
    </w:p>
    <w:p w14:paraId="45144B94">
      <w:pPr>
        <w:pStyle w:val="44"/>
        <w:spacing w:line="360" w:lineRule="auto"/>
        <w:ind w:left="0" w:firstLine="549" w:firstLineChars="229"/>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rPr>
        <w:t xml:space="preserve">2  </w:t>
      </w:r>
      <w:r>
        <w:rPr>
          <w:rFonts w:ascii="Times New Roman" w:hAnsi="Times New Roman" w:eastAsia="宋体" w:cs="Times New Roman"/>
          <w:color w:val="auto"/>
          <w:sz w:val="24"/>
        </w:rPr>
        <w:t>混凝土构件的内部缺陷可采用超声波综合因子判定法或国家现行标准《混凝土结构现场检测技术标准》GB/T50784和《冲击回波法检测混凝土缺陷技术规程》JGJ/T411规定的超声波法、电磁波反射法或冲击回波法进行探测</w:t>
      </w:r>
      <w:r>
        <w:rPr>
          <w:rFonts w:hint="eastAsia" w:ascii="Times New Roman" w:hAnsi="Times New Roman" w:eastAsia="宋体" w:cs="Times New Roman"/>
          <w:color w:val="auto"/>
          <w:sz w:val="24"/>
          <w:lang w:eastAsia="zh-CN"/>
        </w:rPr>
        <w:t>；</w:t>
      </w:r>
    </w:p>
    <w:p w14:paraId="7D7BCF30">
      <w:pPr>
        <w:pStyle w:val="44"/>
        <w:spacing w:line="360" w:lineRule="auto"/>
        <w:ind w:left="0" w:firstLine="549" w:firstLineChars="229"/>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rPr>
        <w:t xml:space="preserve">3  </w:t>
      </w:r>
      <w:r>
        <w:rPr>
          <w:rFonts w:ascii="Times New Roman" w:hAnsi="Times New Roman" w:eastAsia="宋体" w:cs="Times New Roman"/>
          <w:color w:val="auto"/>
          <w:sz w:val="24"/>
        </w:rPr>
        <w:t>混凝土内部缺陷探测结果应进行局部钻孔、开凿等方法验证</w:t>
      </w:r>
      <w:r>
        <w:rPr>
          <w:rFonts w:hint="eastAsia" w:ascii="Times New Roman" w:hAnsi="Times New Roman" w:eastAsia="宋体" w:cs="Times New Roman"/>
          <w:color w:val="auto"/>
          <w:sz w:val="24"/>
          <w:lang w:eastAsia="zh-CN"/>
        </w:rPr>
        <w:t>；</w:t>
      </w:r>
    </w:p>
    <w:p w14:paraId="1A3F0D3D">
      <w:pPr>
        <w:pStyle w:val="44"/>
        <w:spacing w:line="360" w:lineRule="auto"/>
        <w:ind w:left="0" w:firstLine="549" w:firstLineChars="229"/>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rPr>
        <w:t xml:space="preserve">4  </w:t>
      </w:r>
      <w:r>
        <w:rPr>
          <w:rFonts w:ascii="Times New Roman" w:hAnsi="Times New Roman" w:eastAsia="宋体" w:cs="Times New Roman"/>
          <w:color w:val="auto"/>
          <w:sz w:val="24"/>
        </w:rPr>
        <w:t>当需要确定缺陷处混凝土的强度或性能时，可按现行国家标准《混凝土结构现场检测技术标准》GB/T50784的规定进行检测</w:t>
      </w:r>
      <w:r>
        <w:rPr>
          <w:rFonts w:hint="eastAsia" w:ascii="Times New Roman" w:hAnsi="Times New Roman" w:eastAsia="宋体" w:cs="Times New Roman"/>
          <w:color w:val="auto"/>
          <w:sz w:val="24"/>
          <w:lang w:eastAsia="zh-CN"/>
        </w:rPr>
        <w:t>；</w:t>
      </w:r>
    </w:p>
    <w:p w14:paraId="4E41540D">
      <w:pPr>
        <w:pStyle w:val="44"/>
        <w:spacing w:line="360" w:lineRule="auto"/>
        <w:ind w:left="0" w:firstLine="549" w:firstLineChars="229"/>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rPr>
        <w:t xml:space="preserve">5  </w:t>
      </w:r>
      <w:r>
        <w:rPr>
          <w:rFonts w:ascii="Times New Roman" w:hAnsi="Times New Roman" w:eastAsia="宋体" w:cs="Times New Roman"/>
          <w:color w:val="auto"/>
          <w:sz w:val="24"/>
        </w:rPr>
        <w:t>工程质量的检测应按工程施工时依据的国家有关标准对缺陷进行符合性判定，对构件性能或能力进行评定时，宜考虑缺陷的实际影响</w:t>
      </w:r>
      <w:r>
        <w:rPr>
          <w:rFonts w:hint="eastAsia" w:ascii="Times New Roman" w:hAnsi="Times New Roman" w:eastAsia="宋体" w:cs="Times New Roman"/>
          <w:color w:val="auto"/>
          <w:sz w:val="24"/>
          <w:lang w:eastAsia="zh-CN"/>
        </w:rPr>
        <w:t>；</w:t>
      </w:r>
    </w:p>
    <w:p w14:paraId="1AFE66A3">
      <w:pPr>
        <w:pStyle w:val="44"/>
        <w:spacing w:line="360" w:lineRule="auto"/>
        <w:ind w:left="0" w:firstLine="549" w:firstLineChars="229"/>
        <w:rPr>
          <w:rFonts w:ascii="Times New Roman" w:hAnsi="Times New Roman" w:eastAsia="宋体" w:cs="Times New Roman"/>
          <w:color w:val="auto"/>
          <w:sz w:val="24"/>
        </w:rPr>
      </w:pPr>
      <w:r>
        <w:rPr>
          <w:rFonts w:hint="eastAsia" w:ascii="Times New Roman" w:hAnsi="Times New Roman" w:eastAsia="宋体" w:cs="Times New Roman"/>
          <w:color w:val="auto"/>
          <w:sz w:val="24"/>
        </w:rPr>
        <w:t xml:space="preserve">6  </w:t>
      </w:r>
      <w:r>
        <w:rPr>
          <w:rFonts w:ascii="Times New Roman" w:hAnsi="Times New Roman" w:eastAsia="宋体" w:cs="Times New Roman"/>
          <w:color w:val="auto"/>
          <w:sz w:val="24"/>
        </w:rPr>
        <w:t>结构构件的裂缝可按下列规定进行检测</w:t>
      </w:r>
      <w:r>
        <w:rPr>
          <w:rFonts w:hint="eastAsia" w:ascii="Times New Roman" w:hAnsi="Times New Roman" w:eastAsia="宋体" w:cs="Times New Roman"/>
          <w:color w:val="auto"/>
          <w:sz w:val="24"/>
        </w:rPr>
        <w:t>：</w:t>
      </w:r>
    </w:p>
    <w:p w14:paraId="7496AFA3">
      <w:pPr>
        <w:pStyle w:val="44"/>
        <w:spacing w:line="360" w:lineRule="auto"/>
        <w:ind w:left="0" w:firstLine="720" w:firstLineChars="300"/>
        <w:rPr>
          <w:rFonts w:ascii="Times New Roman" w:hAnsi="Times New Roman" w:eastAsia="宋体" w:cs="Times New Roman"/>
          <w:color w:val="auto"/>
          <w:sz w:val="24"/>
        </w:rPr>
      </w:pPr>
      <w:r>
        <w:rPr>
          <w:rFonts w:hint="eastAsia" w:ascii="Times New Roman" w:hAnsi="Times New Roman" w:eastAsia="宋体" w:cs="Times New Roman"/>
          <w:color w:val="auto"/>
          <w:sz w:val="24"/>
        </w:rPr>
        <w:t>1）</w:t>
      </w:r>
      <w:r>
        <w:rPr>
          <w:rFonts w:ascii="Times New Roman" w:hAnsi="Times New Roman" w:eastAsia="宋体" w:cs="Times New Roman"/>
          <w:color w:val="auto"/>
          <w:sz w:val="24"/>
        </w:rPr>
        <w:t>检测应包括裂缝的位置、长度、宽度、深度、形态和数量</w:t>
      </w:r>
      <w:r>
        <w:rPr>
          <w:rFonts w:hint="eastAsia" w:ascii="Times New Roman" w:hAnsi="Times New Roman" w:eastAsia="宋体" w:cs="Times New Roman"/>
          <w:color w:val="auto"/>
          <w:sz w:val="24"/>
        </w:rPr>
        <w:t>；</w:t>
      </w:r>
    </w:p>
    <w:p w14:paraId="22497FAE">
      <w:pPr>
        <w:pStyle w:val="44"/>
        <w:spacing w:line="360" w:lineRule="auto"/>
        <w:rPr>
          <w:rFonts w:ascii="Times New Roman" w:hAnsi="Times New Roman" w:eastAsia="宋体" w:cs="Times New Roman"/>
          <w:color w:val="auto"/>
          <w:sz w:val="24"/>
        </w:rPr>
      </w:pPr>
      <w:r>
        <w:rPr>
          <w:rFonts w:hint="eastAsia" w:ascii="Times New Roman" w:hAnsi="Times New Roman" w:eastAsia="宋体" w:cs="Times New Roman"/>
          <w:color w:val="auto"/>
          <w:sz w:val="24"/>
        </w:rPr>
        <w:t>2）</w:t>
      </w:r>
      <w:r>
        <w:rPr>
          <w:rFonts w:ascii="Times New Roman" w:hAnsi="Times New Roman" w:eastAsia="宋体" w:cs="Times New Roman"/>
          <w:color w:val="auto"/>
          <w:sz w:val="24"/>
        </w:rPr>
        <w:t>裂缝深度可采用超声波法或钻取芯样方法进行检测</w:t>
      </w:r>
      <w:r>
        <w:rPr>
          <w:rFonts w:hint="eastAsia" w:ascii="Times New Roman" w:hAnsi="Times New Roman" w:eastAsia="宋体" w:cs="Times New Roman"/>
          <w:color w:val="auto"/>
          <w:sz w:val="24"/>
        </w:rPr>
        <w:t>；</w:t>
      </w:r>
    </w:p>
    <w:p w14:paraId="2FE126CE">
      <w:pPr>
        <w:pStyle w:val="44"/>
        <w:spacing w:line="360" w:lineRule="auto"/>
        <w:rPr>
          <w:rFonts w:ascii="Times New Roman" w:hAnsi="Times New Roman" w:eastAsia="宋体" w:cs="Times New Roman"/>
          <w:color w:val="auto"/>
          <w:sz w:val="24"/>
        </w:rPr>
      </w:pPr>
      <w:r>
        <w:rPr>
          <w:rFonts w:hint="eastAsia" w:ascii="Times New Roman" w:hAnsi="Times New Roman" w:eastAsia="宋体" w:cs="Times New Roman"/>
          <w:color w:val="auto"/>
          <w:sz w:val="24"/>
        </w:rPr>
        <w:t>3）</w:t>
      </w:r>
      <w:r>
        <w:rPr>
          <w:rFonts w:ascii="Times New Roman" w:hAnsi="Times New Roman" w:eastAsia="宋体" w:cs="Times New Roman"/>
          <w:color w:val="auto"/>
          <w:sz w:val="24"/>
        </w:rPr>
        <w:t>记录可采用表格或图形的形式</w:t>
      </w:r>
      <w:r>
        <w:rPr>
          <w:rFonts w:hint="eastAsia" w:ascii="Times New Roman" w:hAnsi="Times New Roman" w:eastAsia="宋体" w:cs="Times New Roman"/>
          <w:color w:val="auto"/>
          <w:sz w:val="24"/>
        </w:rPr>
        <w:t>；</w:t>
      </w:r>
    </w:p>
    <w:p w14:paraId="53458035">
      <w:pPr>
        <w:pStyle w:val="44"/>
        <w:spacing w:line="360" w:lineRule="auto"/>
        <w:ind w:left="1198" w:leftChars="342" w:hanging="480" w:hangingChars="200"/>
        <w:rPr>
          <w:rFonts w:ascii="Times New Roman" w:hAnsi="Times New Roman" w:eastAsia="宋体" w:cs="Times New Roman"/>
          <w:color w:val="auto"/>
          <w:sz w:val="24"/>
        </w:rPr>
      </w:pPr>
      <w:r>
        <w:rPr>
          <w:rFonts w:hint="eastAsia" w:ascii="Times New Roman" w:hAnsi="Times New Roman" w:eastAsia="宋体" w:cs="Times New Roman"/>
          <w:color w:val="auto"/>
          <w:sz w:val="24"/>
        </w:rPr>
        <w:t>4）</w:t>
      </w:r>
      <w:r>
        <w:rPr>
          <w:rFonts w:ascii="Times New Roman" w:hAnsi="Times New Roman" w:eastAsia="宋体" w:cs="Times New Roman"/>
          <w:color w:val="auto"/>
          <w:sz w:val="24"/>
        </w:rPr>
        <w:t>混凝土结构工程的裂缝应按现行行业标准《建筑工程裂缝防治技术规程》JGJ/T 317判定裂缝的原因</w:t>
      </w:r>
      <w:r>
        <w:rPr>
          <w:rFonts w:hint="eastAsia" w:ascii="Times New Roman" w:hAnsi="Times New Roman" w:eastAsia="宋体" w:cs="Times New Roman"/>
          <w:color w:val="auto"/>
          <w:sz w:val="24"/>
        </w:rPr>
        <w:t>。</w:t>
      </w:r>
    </w:p>
    <w:p w14:paraId="7BF9E533">
      <w:pPr>
        <w:pStyle w:val="44"/>
        <w:spacing w:line="360" w:lineRule="auto"/>
        <w:ind w:left="0"/>
        <w:rPr>
          <w:rFonts w:ascii="Times New Roman" w:hAnsi="Times New Roman" w:eastAsia="宋体" w:cs="Times New Roman"/>
          <w:color w:val="auto"/>
          <w:sz w:val="24"/>
        </w:rPr>
      </w:pPr>
      <w:r>
        <w:rPr>
          <w:rFonts w:hint="eastAsia" w:ascii="Times New Roman" w:hAnsi="Times New Roman" w:eastAsia="宋体" w:cs="Times New Roman"/>
          <w:color w:val="auto"/>
          <w:sz w:val="24"/>
        </w:rPr>
        <w:t>4.</w:t>
      </w:r>
      <w:r>
        <w:rPr>
          <w:rFonts w:hint="eastAsia" w:ascii="Times New Roman" w:hAnsi="Times New Roman" w:eastAsia="宋体" w:cs="Times New Roman"/>
          <w:color w:val="auto"/>
          <w:sz w:val="24"/>
          <w:lang w:val="en-US" w:eastAsia="zh-CN"/>
        </w:rPr>
        <w:t>6</w:t>
      </w:r>
      <w:r>
        <w:rPr>
          <w:rFonts w:hint="eastAsia" w:ascii="Times New Roman" w:hAnsi="Times New Roman" w:eastAsia="宋体" w:cs="Times New Roman"/>
          <w:color w:val="auto"/>
          <w:sz w:val="24"/>
        </w:rPr>
        <w:t>.2</w:t>
      </w:r>
      <w:r>
        <w:rPr>
          <w:rFonts w:ascii="Times New Roman" w:hAnsi="Times New Roman" w:eastAsia="宋体" w:cs="Times New Roman"/>
          <w:color w:val="auto"/>
          <w:sz w:val="24"/>
        </w:rPr>
        <w:t>4</w:t>
      </w:r>
      <w:r>
        <w:rPr>
          <w:rFonts w:hint="eastAsia" w:ascii="Times New Roman" w:hAnsi="Times New Roman" w:eastAsia="宋体" w:cs="Times New Roman"/>
          <w:color w:val="auto"/>
          <w:sz w:val="24"/>
        </w:rPr>
        <w:t xml:space="preserve"> </w:t>
      </w:r>
      <w:r>
        <w:rPr>
          <w:rFonts w:ascii="Times New Roman" w:hAnsi="Times New Roman" w:eastAsia="宋体" w:cs="Times New Roman"/>
          <w:color w:val="auto"/>
          <w:sz w:val="24"/>
        </w:rPr>
        <w:t xml:space="preserve"> 钢结构构件的损伤应包括</w:t>
      </w:r>
      <w:r>
        <w:rPr>
          <w:rFonts w:hint="eastAsia" w:ascii="Times New Roman" w:hAnsi="Times New Roman" w:eastAsia="宋体" w:cs="Times New Roman"/>
          <w:color w:val="auto"/>
          <w:sz w:val="24"/>
        </w:rPr>
        <w:t>：</w:t>
      </w:r>
      <w:r>
        <w:rPr>
          <w:rFonts w:ascii="Times New Roman" w:hAnsi="Times New Roman" w:eastAsia="宋体" w:cs="Times New Roman"/>
          <w:color w:val="auto"/>
          <w:sz w:val="24"/>
        </w:rPr>
        <w:t>锈蚀程度、碰撞变形与撞击痕迹、火灾后强度损失与损伤，以及累积损伤等造成的裂纹等。</w:t>
      </w:r>
    </w:p>
    <w:p w14:paraId="38FB9530">
      <w:pPr>
        <w:pStyle w:val="44"/>
        <w:spacing w:line="360" w:lineRule="auto"/>
        <w:ind w:left="0"/>
        <w:rPr>
          <w:rFonts w:ascii="Times New Roman" w:hAnsi="Times New Roman" w:eastAsia="宋体" w:cs="Times New Roman"/>
          <w:color w:val="auto"/>
          <w:sz w:val="24"/>
        </w:rPr>
      </w:pPr>
      <w:r>
        <w:rPr>
          <w:rFonts w:hint="eastAsia" w:ascii="Times New Roman" w:hAnsi="Times New Roman" w:eastAsia="宋体" w:cs="Times New Roman"/>
          <w:color w:val="auto"/>
          <w:sz w:val="24"/>
        </w:rPr>
        <w:t>4.</w:t>
      </w:r>
      <w:r>
        <w:rPr>
          <w:rFonts w:hint="eastAsia" w:ascii="Times New Roman" w:hAnsi="Times New Roman" w:eastAsia="宋体" w:cs="Times New Roman"/>
          <w:color w:val="auto"/>
          <w:sz w:val="24"/>
          <w:lang w:val="en-US" w:eastAsia="zh-CN"/>
        </w:rPr>
        <w:t>6</w:t>
      </w:r>
      <w:r>
        <w:rPr>
          <w:rFonts w:hint="eastAsia" w:ascii="Times New Roman" w:hAnsi="Times New Roman" w:eastAsia="宋体" w:cs="Times New Roman"/>
          <w:color w:val="auto"/>
          <w:sz w:val="24"/>
        </w:rPr>
        <w:t>.2</w:t>
      </w:r>
      <w:r>
        <w:rPr>
          <w:rFonts w:ascii="Times New Roman" w:hAnsi="Times New Roman" w:eastAsia="宋体" w:cs="Times New Roman"/>
          <w:color w:val="auto"/>
          <w:sz w:val="24"/>
        </w:rPr>
        <w:t>5</w:t>
      </w:r>
      <w:r>
        <w:rPr>
          <w:rFonts w:hint="eastAsia" w:ascii="Times New Roman" w:hAnsi="Times New Roman" w:eastAsia="宋体" w:cs="Times New Roman"/>
          <w:color w:val="auto"/>
          <w:sz w:val="24"/>
        </w:rPr>
        <w:t xml:space="preserve"> </w:t>
      </w:r>
      <w:r>
        <w:rPr>
          <w:rFonts w:ascii="Times New Roman" w:hAnsi="Times New Roman" w:eastAsia="宋体" w:cs="Times New Roman"/>
          <w:b/>
          <w:bCs/>
          <w:color w:val="auto"/>
          <w:sz w:val="24"/>
        </w:rPr>
        <w:t xml:space="preserve"> </w:t>
      </w:r>
      <w:r>
        <w:rPr>
          <w:rFonts w:ascii="Times New Roman" w:hAnsi="Times New Roman" w:eastAsia="宋体" w:cs="Times New Roman"/>
          <w:color w:val="auto"/>
          <w:sz w:val="24"/>
        </w:rPr>
        <w:t>砌体结构的损伤可分为裂缝、环境侵蚀损伤和灾害损伤、钢筋和钢配件锈蚀等检测分项。砌体结构的裂缝可按下列方法进行检测：</w:t>
      </w:r>
    </w:p>
    <w:p w14:paraId="1C901B86">
      <w:pPr>
        <w:pStyle w:val="44"/>
        <w:spacing w:line="360" w:lineRule="auto"/>
        <w:ind w:left="0"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rPr>
        <w:t xml:space="preserve">1  </w:t>
      </w:r>
      <w:r>
        <w:rPr>
          <w:rFonts w:ascii="Times New Roman" w:hAnsi="Times New Roman" w:eastAsia="宋体" w:cs="Times New Roman"/>
          <w:color w:val="auto"/>
          <w:sz w:val="24"/>
        </w:rPr>
        <w:t>裂缝的长度可采用尺量、数砖的皮数等方法确定，裂缝的宽度可采用裂缝卡</w:t>
      </w:r>
      <w:r>
        <w:rPr>
          <w:rFonts w:hint="eastAsia" w:ascii="Times New Roman" w:hAnsi="Times New Roman" w:eastAsia="宋体" w:cs="Times New Roman"/>
          <w:color w:val="auto"/>
          <w:sz w:val="24"/>
        </w:rPr>
        <w:t>尺</w:t>
      </w:r>
      <w:r>
        <w:rPr>
          <w:rFonts w:ascii="Times New Roman" w:hAnsi="Times New Roman" w:eastAsia="宋体" w:cs="Times New Roman"/>
          <w:color w:val="auto"/>
          <w:sz w:val="24"/>
        </w:rPr>
        <w:t>、裂缝检测仪确定，裂缝的深度可通过观察、打孔或取样的方法确定</w:t>
      </w:r>
      <w:r>
        <w:rPr>
          <w:rFonts w:hint="eastAsia" w:ascii="Times New Roman" w:hAnsi="Times New Roman" w:eastAsia="宋体" w:cs="Times New Roman"/>
          <w:color w:val="auto"/>
          <w:sz w:val="24"/>
        </w:rPr>
        <w:t>；</w:t>
      </w:r>
    </w:p>
    <w:p w14:paraId="411CCD00">
      <w:pPr>
        <w:pStyle w:val="44"/>
        <w:spacing w:line="360" w:lineRule="auto"/>
        <w:ind w:left="0"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rPr>
        <w:t xml:space="preserve">2  </w:t>
      </w:r>
      <w:r>
        <w:rPr>
          <w:rFonts w:ascii="Times New Roman" w:hAnsi="Times New Roman" w:eastAsia="宋体" w:cs="Times New Roman"/>
          <w:color w:val="auto"/>
          <w:sz w:val="24"/>
        </w:rPr>
        <w:t>裂缝的位置、数量和实测情况应予以记录</w:t>
      </w:r>
      <w:r>
        <w:rPr>
          <w:rFonts w:hint="eastAsia" w:ascii="Times New Roman" w:hAnsi="Times New Roman" w:eastAsia="宋体" w:cs="Times New Roman"/>
          <w:color w:val="auto"/>
          <w:sz w:val="24"/>
        </w:rPr>
        <w:t>；</w:t>
      </w:r>
    </w:p>
    <w:p w14:paraId="3F5C1E77">
      <w:pPr>
        <w:pStyle w:val="44"/>
        <w:spacing w:line="360" w:lineRule="auto"/>
        <w:ind w:left="0"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rPr>
        <w:t xml:space="preserve">3  </w:t>
      </w:r>
      <w:r>
        <w:rPr>
          <w:rFonts w:ascii="Times New Roman" w:hAnsi="Times New Roman" w:eastAsia="宋体" w:cs="Times New Roman"/>
          <w:color w:val="auto"/>
          <w:sz w:val="24"/>
        </w:rPr>
        <w:t>砌筑方法、留槎、洞口、线管及预制构件影响产生的裂缝应剔除构件抹灰确定</w:t>
      </w:r>
      <w:r>
        <w:rPr>
          <w:rFonts w:hint="eastAsia" w:ascii="Times New Roman" w:hAnsi="Times New Roman" w:eastAsia="宋体" w:cs="Times New Roman"/>
          <w:color w:val="auto"/>
          <w:sz w:val="24"/>
        </w:rPr>
        <w:t>；</w:t>
      </w:r>
    </w:p>
    <w:p w14:paraId="6B4DEA8C">
      <w:pPr>
        <w:pStyle w:val="44"/>
        <w:spacing w:line="360" w:lineRule="auto"/>
        <w:ind w:left="0"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rPr>
        <w:t xml:space="preserve">4  </w:t>
      </w:r>
      <w:r>
        <w:rPr>
          <w:rFonts w:ascii="Times New Roman" w:hAnsi="Times New Roman" w:eastAsia="宋体" w:cs="Times New Roman"/>
          <w:color w:val="auto"/>
          <w:sz w:val="24"/>
        </w:rPr>
        <w:t>砌体结构的裂缝可按现行行业标准《建筑工程裂缝防治技术规程》JGJ/T317的规定判定原因和后续检测项目</w:t>
      </w:r>
      <w:r>
        <w:rPr>
          <w:rFonts w:hint="eastAsia" w:ascii="Times New Roman" w:hAnsi="Times New Roman" w:eastAsia="宋体" w:cs="Times New Roman"/>
          <w:color w:val="auto"/>
          <w:sz w:val="24"/>
        </w:rPr>
        <w:t>；</w:t>
      </w:r>
    </w:p>
    <w:p w14:paraId="146B2E90">
      <w:pPr>
        <w:pStyle w:val="44"/>
        <w:spacing w:line="360" w:lineRule="auto"/>
        <w:ind w:left="0"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rPr>
        <w:t xml:space="preserve">5  </w:t>
      </w:r>
      <w:r>
        <w:rPr>
          <w:rFonts w:ascii="Times New Roman" w:hAnsi="Times New Roman" w:eastAsia="宋体" w:cs="Times New Roman"/>
          <w:color w:val="auto"/>
          <w:sz w:val="24"/>
        </w:rPr>
        <w:t>当判定为地基不均匀变形造成的裂缝时，应进行下列检测</w:t>
      </w:r>
      <w:r>
        <w:rPr>
          <w:rFonts w:hint="eastAsia" w:ascii="Times New Roman" w:hAnsi="Times New Roman" w:eastAsia="宋体" w:cs="Times New Roman"/>
          <w:color w:val="auto"/>
          <w:sz w:val="24"/>
        </w:rPr>
        <w:t>：</w:t>
      </w:r>
    </w:p>
    <w:p w14:paraId="246675AA">
      <w:pPr>
        <w:pStyle w:val="44"/>
        <w:spacing w:line="360" w:lineRule="auto"/>
        <w:ind w:left="958" w:leftChars="342" w:hanging="240" w:hangingChars="100"/>
        <w:rPr>
          <w:rFonts w:ascii="Times New Roman" w:hAnsi="Times New Roman" w:eastAsia="宋体" w:cs="Times New Roman"/>
          <w:color w:val="auto"/>
          <w:sz w:val="24"/>
        </w:rPr>
      </w:pPr>
      <w:r>
        <w:rPr>
          <w:rFonts w:ascii="Times New Roman" w:hAnsi="Times New Roman" w:eastAsia="宋体" w:cs="Times New Roman"/>
          <w:color w:val="auto"/>
          <w:sz w:val="24"/>
        </w:rPr>
        <w:t>1）进行结构沉降</w:t>
      </w:r>
      <w:r>
        <w:rPr>
          <w:rFonts w:hint="eastAsia" w:ascii="Times New Roman" w:hAnsi="Times New Roman" w:eastAsia="宋体" w:cs="Times New Roman"/>
          <w:color w:val="auto"/>
          <w:sz w:val="24"/>
        </w:rPr>
        <w:t>、</w:t>
      </w:r>
      <w:r>
        <w:rPr>
          <w:rFonts w:ascii="Times New Roman" w:hAnsi="Times New Roman" w:eastAsia="宋体" w:cs="Times New Roman"/>
          <w:color w:val="auto"/>
          <w:sz w:val="24"/>
        </w:rPr>
        <w:t>倾斜的观测，可按</w:t>
      </w:r>
      <w:bookmarkStart w:id="39" w:name="OLE_LINK2"/>
      <w:r>
        <w:rPr>
          <w:rFonts w:ascii="Times New Roman" w:hAnsi="Times New Roman" w:eastAsia="宋体" w:cs="Times New Roman"/>
          <w:color w:val="auto"/>
          <w:sz w:val="24"/>
        </w:rPr>
        <w:t>《建筑结构检测技术标准》GB/T50344第3章</w:t>
      </w:r>
      <w:bookmarkEnd w:id="39"/>
      <w:r>
        <w:rPr>
          <w:rFonts w:ascii="Times New Roman" w:hAnsi="Times New Roman" w:eastAsia="宋体" w:cs="Times New Roman"/>
          <w:color w:val="auto"/>
          <w:sz w:val="24"/>
        </w:rPr>
        <w:t>规定的方法进行观测</w:t>
      </w:r>
      <w:r>
        <w:rPr>
          <w:rFonts w:hint="eastAsia" w:ascii="Times New Roman" w:hAnsi="Times New Roman" w:eastAsia="宋体" w:cs="Times New Roman"/>
          <w:color w:val="auto"/>
          <w:sz w:val="24"/>
        </w:rPr>
        <w:t>；</w:t>
      </w:r>
    </w:p>
    <w:p w14:paraId="3D751B53">
      <w:pPr>
        <w:pStyle w:val="44"/>
        <w:spacing w:line="360" w:lineRule="auto"/>
        <w:ind w:left="958" w:leftChars="342" w:hanging="240" w:hangingChars="100"/>
        <w:rPr>
          <w:rFonts w:ascii="Times New Roman" w:hAnsi="Times New Roman" w:eastAsia="宋体" w:cs="Times New Roman"/>
          <w:color w:val="auto"/>
          <w:sz w:val="24"/>
        </w:rPr>
      </w:pPr>
      <w:r>
        <w:rPr>
          <w:rFonts w:hint="eastAsia" w:ascii="Times New Roman" w:hAnsi="Times New Roman" w:eastAsia="宋体" w:cs="Times New Roman"/>
          <w:color w:val="auto"/>
          <w:sz w:val="24"/>
        </w:rPr>
        <w:t>2</w:t>
      </w:r>
      <w:r>
        <w:rPr>
          <w:rFonts w:ascii="Times New Roman" w:hAnsi="Times New Roman" w:eastAsia="宋体" w:cs="Times New Roman"/>
          <w:color w:val="auto"/>
          <w:sz w:val="24"/>
        </w:rPr>
        <w:t>）测定结构的累计沉降差,裂缝的发展情况，可采取监测或持续观察的方法</w:t>
      </w:r>
      <w:r>
        <w:rPr>
          <w:rFonts w:hint="eastAsia" w:ascii="Times New Roman" w:hAnsi="Times New Roman" w:eastAsia="宋体" w:cs="Times New Roman"/>
          <w:color w:val="auto"/>
          <w:sz w:val="24"/>
        </w:rPr>
        <w:t>；</w:t>
      </w:r>
    </w:p>
    <w:p w14:paraId="6EED386B">
      <w:pPr>
        <w:pStyle w:val="44"/>
        <w:spacing w:line="360" w:lineRule="auto"/>
        <w:ind w:left="958" w:leftChars="342" w:hanging="240" w:hangingChars="100"/>
        <w:rPr>
          <w:rFonts w:ascii="Times New Roman" w:hAnsi="Times New Roman" w:eastAsia="宋体" w:cs="Times New Roman"/>
          <w:color w:val="auto"/>
          <w:sz w:val="24"/>
        </w:rPr>
      </w:pPr>
      <w:r>
        <w:rPr>
          <w:rFonts w:hint="eastAsia" w:ascii="Times New Roman" w:hAnsi="Times New Roman" w:eastAsia="宋体" w:cs="Times New Roman"/>
          <w:color w:val="auto"/>
          <w:sz w:val="24"/>
        </w:rPr>
        <w:t>3</w:t>
      </w:r>
      <w:r>
        <w:rPr>
          <w:rFonts w:ascii="Times New Roman" w:hAnsi="Times New Roman" w:eastAsia="宋体" w:cs="Times New Roman"/>
          <w:color w:val="auto"/>
          <w:sz w:val="24"/>
        </w:rPr>
        <w:t>）当判定为结构承载力不足造成的竖向受压贯通裂缝时，应进行构件承载力的验算</w:t>
      </w:r>
      <w:r>
        <w:rPr>
          <w:rFonts w:hint="eastAsia" w:ascii="Times New Roman" w:hAnsi="Times New Roman" w:eastAsia="宋体" w:cs="Times New Roman"/>
          <w:color w:val="auto"/>
          <w:sz w:val="24"/>
        </w:rPr>
        <w:t>；</w:t>
      </w:r>
    </w:p>
    <w:p w14:paraId="268B4B08">
      <w:pPr>
        <w:pStyle w:val="44"/>
        <w:spacing w:line="360" w:lineRule="auto"/>
        <w:ind w:left="0" w:firstLine="720" w:firstLineChars="300"/>
        <w:rPr>
          <w:rFonts w:ascii="Times New Roman" w:hAnsi="Times New Roman" w:eastAsia="宋体" w:cs="Times New Roman"/>
          <w:color w:val="auto"/>
          <w:sz w:val="24"/>
        </w:rPr>
      </w:pPr>
      <w:r>
        <w:rPr>
          <w:rFonts w:hint="eastAsia" w:ascii="Times New Roman" w:hAnsi="Times New Roman" w:eastAsia="宋体" w:cs="Times New Roman"/>
          <w:color w:val="auto"/>
          <w:sz w:val="24"/>
        </w:rPr>
        <w:t>4</w:t>
      </w:r>
      <w:r>
        <w:rPr>
          <w:rFonts w:ascii="Times New Roman" w:hAnsi="Times New Roman" w:eastAsia="宋体" w:cs="Times New Roman"/>
          <w:color w:val="auto"/>
          <w:sz w:val="24"/>
        </w:rPr>
        <w:t>）对于判定为局部承压的裂缝，应进行砌体局部承压的验算。</w:t>
      </w:r>
    </w:p>
    <w:p w14:paraId="2FC4AA69">
      <w:pPr>
        <w:pStyle w:val="44"/>
        <w:spacing w:line="360" w:lineRule="auto"/>
        <w:ind w:left="0"/>
        <w:rPr>
          <w:rFonts w:ascii="Times New Roman" w:hAnsi="Times New Roman" w:eastAsia="宋体" w:cs="Times New Roman"/>
          <w:color w:val="auto"/>
          <w:sz w:val="24"/>
        </w:rPr>
      </w:pPr>
      <w:r>
        <w:rPr>
          <w:rFonts w:hint="eastAsia" w:ascii="Times New Roman" w:hAnsi="Times New Roman" w:eastAsia="宋体" w:cs="Times New Roman"/>
          <w:color w:val="auto"/>
          <w:sz w:val="24"/>
        </w:rPr>
        <w:t>4</w:t>
      </w:r>
      <w:r>
        <w:rPr>
          <w:rFonts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6</w:t>
      </w:r>
      <w:r>
        <w:rPr>
          <w:rFonts w:ascii="Times New Roman" w:hAnsi="Times New Roman" w:eastAsia="宋体" w:cs="Times New Roman"/>
          <w:color w:val="auto"/>
          <w:sz w:val="24"/>
        </w:rPr>
        <w:t>.</w:t>
      </w:r>
      <w:r>
        <w:rPr>
          <w:rFonts w:hint="eastAsia" w:ascii="Times New Roman" w:hAnsi="Times New Roman" w:eastAsia="宋体" w:cs="Times New Roman"/>
          <w:color w:val="auto"/>
          <w:sz w:val="24"/>
        </w:rPr>
        <w:t>2</w:t>
      </w:r>
      <w:r>
        <w:rPr>
          <w:rFonts w:ascii="Times New Roman" w:hAnsi="Times New Roman" w:eastAsia="宋体" w:cs="Times New Roman"/>
          <w:color w:val="auto"/>
          <w:sz w:val="24"/>
        </w:rPr>
        <w:t xml:space="preserve">6 </w:t>
      </w:r>
      <w:r>
        <w:rPr>
          <w:rFonts w:hint="eastAsia" w:ascii="Times New Roman" w:hAnsi="Times New Roman" w:eastAsia="宋体" w:cs="Times New Roman"/>
          <w:color w:val="auto"/>
          <w:sz w:val="24"/>
        </w:rPr>
        <w:t xml:space="preserve"> </w:t>
      </w:r>
      <w:r>
        <w:rPr>
          <w:rFonts w:ascii="Times New Roman" w:hAnsi="Times New Roman" w:eastAsia="宋体" w:cs="Times New Roman"/>
          <w:color w:val="auto"/>
          <w:sz w:val="24"/>
        </w:rPr>
        <w:t>构件的层间位移应通过计算分析确定。在结构的评定中不得将垂直构件的倾斜作为层间位移使用。</w:t>
      </w:r>
    </w:p>
    <w:p w14:paraId="0F08F989">
      <w:pPr>
        <w:pStyle w:val="44"/>
        <w:spacing w:line="360" w:lineRule="auto"/>
        <w:ind w:left="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sz w:val="24"/>
        </w:rPr>
        <w:t>4</w:t>
      </w:r>
      <w:r>
        <w:rPr>
          <w:rFonts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6</w:t>
      </w:r>
      <w:r>
        <w:rPr>
          <w:rFonts w:ascii="Times New Roman" w:hAnsi="Times New Roman" w:eastAsia="宋体" w:cs="Times New Roman"/>
          <w:color w:val="auto"/>
          <w:sz w:val="24"/>
        </w:rPr>
        <w:t>.</w:t>
      </w:r>
      <w:r>
        <w:rPr>
          <w:rFonts w:hint="eastAsia" w:ascii="Times New Roman" w:hAnsi="Times New Roman" w:eastAsia="宋体" w:cs="Times New Roman"/>
          <w:color w:val="auto"/>
          <w:sz w:val="24"/>
        </w:rPr>
        <w:t>2</w:t>
      </w:r>
      <w:r>
        <w:rPr>
          <w:rFonts w:ascii="Times New Roman" w:hAnsi="Times New Roman" w:eastAsia="宋体" w:cs="Times New Roman"/>
          <w:color w:val="auto"/>
          <w:sz w:val="24"/>
        </w:rPr>
        <w:t xml:space="preserve">7 </w:t>
      </w:r>
      <w:r>
        <w:rPr>
          <w:rFonts w:hint="eastAsia" w:ascii="Times New Roman" w:hAnsi="Times New Roman" w:eastAsia="宋体" w:cs="Times New Roman"/>
          <w:color w:val="auto"/>
          <w:sz w:val="24"/>
        </w:rPr>
        <w:t xml:space="preserve"> </w:t>
      </w:r>
      <w:r>
        <w:rPr>
          <w:rFonts w:ascii="Times New Roman" w:hAnsi="Times New Roman" w:eastAsia="宋体" w:cs="Times New Roman"/>
          <w:color w:val="auto"/>
          <w:sz w:val="24"/>
        </w:rPr>
        <w:t>构件的动力特性可结合结构动力特性的测试方法、构件荷载的检验方法和构件应力的测试方法等确定。</w:t>
      </w:r>
      <w:r>
        <w:rPr>
          <w:rFonts w:hint="default" w:ascii="Times New Roman" w:hAnsi="Times New Roman" w:eastAsia="宋体" w:cs="Times New Roman"/>
          <w:color w:val="auto"/>
          <w:lang w:val="en-US" w:eastAsia="zh-CN"/>
        </w:rPr>
        <w:br w:type="page"/>
      </w:r>
    </w:p>
    <w:p w14:paraId="31FEA365">
      <w:pPr>
        <w:pStyle w:val="3"/>
        <w:jc w:val="center"/>
        <w:rPr>
          <w:rFonts w:ascii="Times New Roman" w:hAnsi="Times New Roman" w:eastAsia="宋体" w:cs="Times New Roman"/>
          <w:color w:val="auto"/>
        </w:rPr>
      </w:pPr>
      <w:bookmarkStart w:id="40" w:name="_Toc3133"/>
      <w:bookmarkStart w:id="41" w:name="_Toc24039"/>
      <w:bookmarkStart w:id="42" w:name="_Toc12248"/>
      <w:r>
        <w:rPr>
          <w:rFonts w:hint="eastAsia" w:ascii="Times New Roman" w:hAnsi="Times New Roman" w:eastAsia="宋体" w:cs="Times New Roman"/>
          <w:color w:val="auto"/>
        </w:rPr>
        <w:t>5</w:t>
      </w:r>
      <w:r>
        <w:rPr>
          <w:rFonts w:ascii="Times New Roman" w:hAnsi="Times New Roman" w:eastAsia="宋体" w:cs="Times New Roman"/>
          <w:color w:val="auto"/>
        </w:rPr>
        <w:t xml:space="preserve"> </w:t>
      </w:r>
      <w:r>
        <w:rPr>
          <w:rFonts w:hint="eastAsia" w:ascii="Times New Roman" w:hAnsi="Times New Roman" w:eastAsia="宋体" w:cs="Times New Roman"/>
          <w:color w:val="auto"/>
        </w:rPr>
        <w:t xml:space="preserve"> 结构验算分析</w:t>
      </w:r>
      <w:bookmarkEnd w:id="40"/>
      <w:bookmarkEnd w:id="41"/>
    </w:p>
    <w:p w14:paraId="617E4121">
      <w:pPr>
        <w:pStyle w:val="4"/>
        <w:keepNext/>
        <w:keepLines/>
        <w:pageBreakBefore w:val="0"/>
        <w:widowControl w:val="0"/>
        <w:kinsoku/>
        <w:wordWrap/>
        <w:overflowPunct/>
        <w:topLinePunct w:val="0"/>
        <w:autoSpaceDE/>
        <w:autoSpaceDN/>
        <w:bidi w:val="0"/>
        <w:adjustRightInd/>
        <w:snapToGrid/>
        <w:spacing w:before="120" w:after="120" w:line="360" w:lineRule="auto"/>
        <w:jc w:val="center"/>
        <w:textAlignment w:val="auto"/>
        <w:rPr>
          <w:color w:val="auto"/>
        </w:rPr>
      </w:pPr>
      <w:bookmarkStart w:id="43" w:name="_Toc24875"/>
      <w:r>
        <w:rPr>
          <w:rFonts w:hint="eastAsia" w:ascii="Times New Roman" w:hAnsi="Times New Roman" w:eastAsia="宋体" w:cs="Times New Roman"/>
          <w:color w:val="auto"/>
          <w:sz w:val="28"/>
          <w:szCs w:val="28"/>
        </w:rPr>
        <w:t>5.1  一般规定</w:t>
      </w:r>
      <w:bookmarkEnd w:id="43"/>
    </w:p>
    <w:p w14:paraId="5E67442B">
      <w:pPr>
        <w:spacing w:line="360" w:lineRule="auto"/>
        <w:jc w:val="left"/>
        <w:rPr>
          <w:rFonts w:ascii="Times New Roman" w:hAnsi="Times New Roman" w:cs="Times New Roman"/>
          <w:color w:val="auto"/>
          <w:sz w:val="24"/>
        </w:rPr>
      </w:pPr>
      <w:r>
        <w:rPr>
          <w:rFonts w:hint="eastAsia" w:ascii="Times New Roman" w:hAnsi="Times New Roman" w:cs="Times New Roman"/>
          <w:color w:val="auto"/>
          <w:sz w:val="24"/>
        </w:rPr>
        <w:t>5</w:t>
      </w:r>
      <w:r>
        <w:rPr>
          <w:rFonts w:ascii="Times New Roman" w:hAnsi="Times New Roman" w:cs="Times New Roman"/>
          <w:color w:val="auto"/>
          <w:sz w:val="24"/>
        </w:rPr>
        <w:t>.1.1  当鉴定进行结构分析与验算时，要掌握实际结构的基本参数（整体抗力模型、构件及连接构造、材料参数、几何参数等）</w:t>
      </w:r>
      <w:r>
        <w:rPr>
          <w:rFonts w:hint="eastAsia" w:ascii="Times New Roman" w:hAnsi="Times New Roman" w:cs="Times New Roman"/>
          <w:color w:val="auto"/>
          <w:sz w:val="24"/>
        </w:rPr>
        <w:t>、</w:t>
      </w:r>
      <w:r>
        <w:rPr>
          <w:rFonts w:ascii="Times New Roman" w:hAnsi="Times New Roman" w:cs="Times New Roman"/>
          <w:color w:val="auto"/>
          <w:sz w:val="24"/>
        </w:rPr>
        <w:t>结构上的作用</w:t>
      </w:r>
      <w:r>
        <w:rPr>
          <w:rFonts w:hint="eastAsia" w:ascii="Times New Roman" w:hAnsi="Times New Roman" w:cs="Times New Roman"/>
          <w:color w:val="auto"/>
          <w:sz w:val="24"/>
        </w:rPr>
        <w:t>和</w:t>
      </w:r>
      <w:r>
        <w:rPr>
          <w:rFonts w:ascii="Times New Roman" w:hAnsi="Times New Roman" w:cs="Times New Roman"/>
          <w:color w:val="auto"/>
          <w:sz w:val="24"/>
        </w:rPr>
        <w:t>作用变迁、使用管理</w:t>
      </w:r>
      <w:r>
        <w:rPr>
          <w:rFonts w:hint="eastAsia" w:ascii="Times New Roman" w:hAnsi="Times New Roman" w:cs="Times New Roman"/>
          <w:color w:val="auto"/>
          <w:sz w:val="24"/>
        </w:rPr>
        <w:t>、</w:t>
      </w:r>
      <w:r>
        <w:rPr>
          <w:rFonts w:ascii="Times New Roman" w:hAnsi="Times New Roman" w:cs="Times New Roman"/>
          <w:color w:val="auto"/>
          <w:sz w:val="24"/>
        </w:rPr>
        <w:t>内力和抗力的分析（分析深入程度要超过设计计算）</w:t>
      </w:r>
      <w:r>
        <w:rPr>
          <w:rFonts w:hint="eastAsia" w:ascii="Times New Roman" w:hAnsi="Times New Roman" w:cs="Times New Roman"/>
          <w:color w:val="auto"/>
          <w:sz w:val="24"/>
        </w:rPr>
        <w:t>、</w:t>
      </w:r>
      <w:r>
        <w:rPr>
          <w:rFonts w:ascii="Times New Roman" w:hAnsi="Times New Roman" w:cs="Times New Roman"/>
          <w:color w:val="auto"/>
          <w:sz w:val="24"/>
        </w:rPr>
        <w:t>作用效应组合等。</w:t>
      </w:r>
    </w:p>
    <w:p w14:paraId="1F45AECE">
      <w:pPr>
        <w:spacing w:line="360" w:lineRule="auto"/>
        <w:jc w:val="left"/>
        <w:rPr>
          <w:rFonts w:hint="eastAsia" w:ascii="Times New Roman" w:hAnsi="Times New Roman" w:cs="Times New Roman"/>
          <w:color w:val="auto"/>
          <w:sz w:val="24"/>
        </w:rPr>
      </w:pPr>
      <w:r>
        <w:rPr>
          <w:rFonts w:hint="eastAsia" w:ascii="Times New Roman" w:hAnsi="Times New Roman" w:cs="Times New Roman"/>
          <w:color w:val="auto"/>
          <w:sz w:val="24"/>
        </w:rPr>
        <w:t>5</w:t>
      </w:r>
      <w:r>
        <w:rPr>
          <w:rFonts w:ascii="Times New Roman" w:hAnsi="Times New Roman" w:cs="Times New Roman"/>
          <w:color w:val="auto"/>
          <w:sz w:val="24"/>
        </w:rPr>
        <w:t xml:space="preserve">.1.2  </w:t>
      </w:r>
      <w:r>
        <w:rPr>
          <w:rFonts w:hint="eastAsia" w:ascii="Times New Roman" w:hAnsi="Times New Roman" w:cs="Times New Roman"/>
          <w:color w:val="auto"/>
          <w:sz w:val="24"/>
        </w:rPr>
        <w:t>结构分析所采用的计算模型，应符合结构的实际受力、构造状况和边界条</w:t>
      </w:r>
    </w:p>
    <w:p w14:paraId="48190BA5">
      <w:pPr>
        <w:spacing w:line="360" w:lineRule="auto"/>
        <w:jc w:val="left"/>
        <w:rPr>
          <w:rFonts w:ascii="Times New Roman" w:hAnsi="Times New Roman" w:cs="Times New Roman"/>
          <w:color w:val="auto"/>
          <w:sz w:val="24"/>
        </w:rPr>
      </w:pPr>
      <w:r>
        <w:rPr>
          <w:rFonts w:hint="eastAsia" w:ascii="Times New Roman" w:hAnsi="Times New Roman" w:cs="Times New Roman"/>
          <w:color w:val="auto"/>
          <w:sz w:val="24"/>
        </w:rPr>
        <w:t>件，并考虑结构损伤及施工偏差等因素。当发现检测数据出现异常情况时，应补充检测。</w:t>
      </w:r>
    </w:p>
    <w:p w14:paraId="50198222">
      <w:pPr>
        <w:spacing w:line="360" w:lineRule="auto"/>
        <w:jc w:val="left"/>
        <w:rPr>
          <w:rFonts w:ascii="Times New Roman" w:hAnsi="Times New Roman" w:cs="Times New Roman"/>
          <w:color w:val="auto"/>
          <w:sz w:val="24"/>
        </w:rPr>
      </w:pPr>
      <w:r>
        <w:rPr>
          <w:rFonts w:hint="eastAsia" w:ascii="Times New Roman" w:hAnsi="Times New Roman" w:cs="Times New Roman"/>
          <w:color w:val="auto"/>
          <w:sz w:val="24"/>
        </w:rPr>
        <w:t>5.</w:t>
      </w:r>
      <w:r>
        <w:rPr>
          <w:rFonts w:ascii="Times New Roman" w:hAnsi="Times New Roman" w:cs="Times New Roman"/>
          <w:color w:val="auto"/>
          <w:sz w:val="24"/>
        </w:rPr>
        <w:t>1</w:t>
      </w:r>
      <w:r>
        <w:rPr>
          <w:rFonts w:hint="eastAsia" w:ascii="Times New Roman" w:hAnsi="Times New Roman" w:cs="Times New Roman"/>
          <w:color w:val="auto"/>
          <w:sz w:val="24"/>
        </w:rPr>
        <w:t>.</w:t>
      </w:r>
      <w:r>
        <w:rPr>
          <w:rFonts w:ascii="Times New Roman" w:hAnsi="Times New Roman" w:cs="Times New Roman"/>
          <w:color w:val="auto"/>
          <w:sz w:val="24"/>
        </w:rPr>
        <w:t>3</w:t>
      </w:r>
      <w:r>
        <w:rPr>
          <w:rFonts w:hint="eastAsia" w:ascii="Times New Roman" w:hAnsi="Times New Roman" w:cs="Times New Roman"/>
          <w:color w:val="auto"/>
          <w:sz w:val="24"/>
        </w:rPr>
        <w:t xml:space="preserve"> </w:t>
      </w:r>
      <w:r>
        <w:rPr>
          <w:rFonts w:hint="eastAsia" w:ascii="Times New Roman" w:hAnsi="Times New Roman" w:cs="Times New Roman"/>
          <w:color w:val="auto"/>
          <w:sz w:val="24"/>
          <w:lang w:val="en-US" w:eastAsia="zh-CN"/>
        </w:rPr>
        <w:t xml:space="preserve"> </w:t>
      </w:r>
      <w:r>
        <w:rPr>
          <w:rFonts w:ascii="Times New Roman" w:hAnsi="Times New Roman" w:cs="Times New Roman"/>
          <w:color w:val="auto"/>
          <w:sz w:val="24"/>
        </w:rPr>
        <w:t>结构、构件的承载能力验算所采用设计规范和荷载的选择应符合下列规定：</w:t>
      </w:r>
    </w:p>
    <w:p w14:paraId="20CC7A5B">
      <w:pPr>
        <w:spacing w:line="360" w:lineRule="auto"/>
        <w:ind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rPr>
        <w:t xml:space="preserve">1  </w:t>
      </w:r>
      <w:r>
        <w:rPr>
          <w:rFonts w:ascii="Times New Roman" w:hAnsi="Times New Roman" w:eastAsia="宋体" w:cs="Times New Roman"/>
          <w:color w:val="auto"/>
          <w:sz w:val="24"/>
        </w:rPr>
        <w:t>当为鉴定原结构、构件在剩余设计工作年限内的安全性时，应按不低于原建造时的荷载规范和设计规范进行验算；如原结构、构件出现过与永久荷载和可变荷载相关的较大变形或损伤，则相关性能指标应按现行规范与标准的规定进行验算</w:t>
      </w:r>
      <w:r>
        <w:rPr>
          <w:rFonts w:hint="eastAsia" w:ascii="Times New Roman" w:hAnsi="Times New Roman" w:eastAsia="宋体" w:cs="Times New Roman"/>
          <w:color w:val="auto"/>
          <w:sz w:val="24"/>
        </w:rPr>
        <w:t>；</w:t>
      </w:r>
    </w:p>
    <w:p w14:paraId="72C0162A">
      <w:pPr>
        <w:spacing w:line="360" w:lineRule="auto"/>
        <w:ind w:firstLine="480" w:firstLineChars="200"/>
        <w:rPr>
          <w:rFonts w:hint="eastAsia"/>
          <w:color w:val="auto"/>
        </w:rPr>
      </w:pPr>
      <w:r>
        <w:rPr>
          <w:rFonts w:hint="eastAsia" w:ascii="Times New Roman" w:hAnsi="Times New Roman" w:eastAsia="宋体" w:cs="Times New Roman"/>
          <w:color w:val="auto"/>
          <w:sz w:val="24"/>
        </w:rPr>
        <w:t xml:space="preserve">2  </w:t>
      </w:r>
      <w:r>
        <w:rPr>
          <w:rFonts w:ascii="Times New Roman" w:hAnsi="Times New Roman" w:eastAsia="宋体" w:cs="Times New Roman"/>
          <w:color w:val="auto"/>
          <w:sz w:val="24"/>
        </w:rPr>
        <w:t>当为结构加固、改变用途或延长工作年限的目的而鉴定原结构、构件的安全性时，应在调查结构上实际作用的荷载及拟新增荷载的基础上，按现行规范与标准的规定进行验算。</w:t>
      </w:r>
    </w:p>
    <w:p w14:paraId="4265AE4F">
      <w:pPr>
        <w:pStyle w:val="4"/>
        <w:keepNext/>
        <w:keepLines/>
        <w:pageBreakBefore w:val="0"/>
        <w:widowControl w:val="0"/>
        <w:kinsoku/>
        <w:wordWrap/>
        <w:overflowPunct/>
        <w:topLinePunct w:val="0"/>
        <w:autoSpaceDE/>
        <w:autoSpaceDN/>
        <w:bidi w:val="0"/>
        <w:adjustRightInd/>
        <w:snapToGrid/>
        <w:spacing w:before="120" w:after="120" w:line="360" w:lineRule="auto"/>
        <w:jc w:val="center"/>
        <w:textAlignment w:val="auto"/>
        <w:rPr>
          <w:rFonts w:hint="eastAsia" w:ascii="Times New Roman" w:hAnsi="Times New Roman" w:eastAsia="宋体" w:cs="Times New Roman"/>
          <w:color w:val="auto"/>
          <w:sz w:val="28"/>
          <w:szCs w:val="28"/>
        </w:rPr>
      </w:pPr>
      <w:bookmarkStart w:id="44" w:name="_Toc667"/>
      <w:r>
        <w:rPr>
          <w:rFonts w:hint="eastAsia" w:ascii="Times New Roman" w:hAnsi="Times New Roman" w:eastAsia="宋体" w:cs="Times New Roman"/>
          <w:color w:val="auto"/>
          <w:sz w:val="28"/>
          <w:szCs w:val="28"/>
        </w:rPr>
        <w:t>5.2  结构验算分析</w:t>
      </w:r>
      <w:bookmarkEnd w:id="44"/>
    </w:p>
    <w:p w14:paraId="2AACAB80">
      <w:pPr>
        <w:spacing w:line="360" w:lineRule="auto"/>
        <w:rPr>
          <w:rFonts w:ascii="Times New Roman" w:hAnsi="Times New Roman" w:eastAsia="宋体" w:cs="Times New Roman"/>
          <w:color w:val="auto"/>
          <w:sz w:val="24"/>
        </w:rPr>
      </w:pPr>
      <w:r>
        <w:rPr>
          <w:rFonts w:hint="eastAsia" w:ascii="Times New Roman" w:hAnsi="Times New Roman" w:cs="Times New Roman"/>
          <w:color w:val="auto"/>
          <w:sz w:val="24"/>
        </w:rPr>
        <w:t>5</w:t>
      </w:r>
      <w:r>
        <w:rPr>
          <w:rFonts w:ascii="Times New Roman" w:hAnsi="Times New Roman" w:cs="Times New Roman"/>
          <w:color w:val="auto"/>
          <w:sz w:val="24"/>
        </w:rPr>
        <w:t>.2.</w:t>
      </w:r>
      <w:r>
        <w:rPr>
          <w:rFonts w:hint="eastAsia" w:ascii="Times New Roman" w:hAnsi="Times New Roman" w:cs="Times New Roman"/>
          <w:color w:val="auto"/>
          <w:sz w:val="24"/>
        </w:rPr>
        <w:t xml:space="preserve">1  </w:t>
      </w:r>
      <w:r>
        <w:rPr>
          <w:rFonts w:ascii="Times New Roman" w:hAnsi="Times New Roman" w:cs="Times New Roman"/>
          <w:color w:val="auto"/>
          <w:sz w:val="24"/>
        </w:rPr>
        <w:t>构件验算是以柱</w:t>
      </w:r>
      <w:r>
        <w:rPr>
          <w:rFonts w:hint="eastAsia" w:ascii="Times New Roman" w:hAnsi="Times New Roman" w:cs="Times New Roman"/>
          <w:color w:val="auto"/>
          <w:sz w:val="24"/>
        </w:rPr>
        <w:t>、</w:t>
      </w:r>
      <w:r>
        <w:rPr>
          <w:rFonts w:ascii="Times New Roman" w:hAnsi="Times New Roman" w:cs="Times New Roman"/>
          <w:color w:val="auto"/>
          <w:sz w:val="24"/>
        </w:rPr>
        <w:t>墙</w:t>
      </w:r>
      <w:r>
        <w:rPr>
          <w:rFonts w:hint="eastAsia" w:ascii="Times New Roman" w:hAnsi="Times New Roman" w:cs="Times New Roman"/>
          <w:color w:val="auto"/>
          <w:sz w:val="24"/>
        </w:rPr>
        <w:t>、</w:t>
      </w:r>
      <w:r>
        <w:rPr>
          <w:rFonts w:ascii="Times New Roman" w:hAnsi="Times New Roman" w:cs="Times New Roman"/>
          <w:color w:val="auto"/>
          <w:sz w:val="24"/>
        </w:rPr>
        <w:t>梁、板</w:t>
      </w:r>
      <w:r>
        <w:rPr>
          <w:rFonts w:hint="eastAsia" w:ascii="Times New Roman" w:hAnsi="Times New Roman" w:cs="Times New Roman"/>
          <w:color w:val="auto"/>
          <w:sz w:val="24"/>
        </w:rPr>
        <w:t>、围护构件</w:t>
      </w:r>
      <w:r>
        <w:rPr>
          <w:rFonts w:ascii="Times New Roman" w:hAnsi="Times New Roman" w:cs="Times New Roman"/>
          <w:color w:val="auto"/>
          <w:sz w:val="24"/>
        </w:rPr>
        <w:t>为主要对象的承载能力验算。</w:t>
      </w:r>
      <w:r>
        <w:rPr>
          <w:rFonts w:hint="eastAsia" w:ascii="Times New Roman" w:hAnsi="Times New Roman" w:cs="Times New Roman"/>
          <w:color w:val="auto"/>
          <w:sz w:val="24"/>
        </w:rPr>
        <w:t>构件验算需要考虑</w:t>
      </w:r>
      <w:r>
        <w:rPr>
          <w:rFonts w:ascii="Times New Roman" w:hAnsi="Times New Roman" w:cs="Times New Roman"/>
          <w:color w:val="auto"/>
          <w:sz w:val="24"/>
        </w:rPr>
        <w:t>强度、刚</w:t>
      </w:r>
      <w:r>
        <w:rPr>
          <w:rFonts w:ascii="Times New Roman" w:hAnsi="Times New Roman" w:eastAsia="宋体" w:cs="Times New Roman"/>
          <w:color w:val="auto"/>
          <w:sz w:val="24"/>
        </w:rPr>
        <w:t>度验算两个部分。强度验算主要包括构件受压、受弯、受剪、受拉等是否具有足够的强度；刚度验算主要包括构件位移、变形是否具有足够的稳定性</w:t>
      </w:r>
      <w:r>
        <w:rPr>
          <w:rFonts w:hint="eastAsia" w:ascii="Times New Roman" w:hAnsi="Times New Roman" w:eastAsia="宋体" w:cs="Times New Roman"/>
          <w:color w:val="auto"/>
          <w:sz w:val="24"/>
        </w:rPr>
        <w:t>。</w:t>
      </w:r>
      <w:r>
        <w:rPr>
          <w:rFonts w:ascii="Times New Roman" w:hAnsi="Times New Roman" w:eastAsia="宋体" w:cs="Times New Roman"/>
          <w:color w:val="auto"/>
          <w:sz w:val="24"/>
        </w:rPr>
        <w:t>目的是验算构件上最大等效应力是否超过材料允许应力，构件上给定点的变形是否超出设定的限度。</w:t>
      </w:r>
    </w:p>
    <w:p w14:paraId="1B7F3ED4">
      <w:pPr>
        <w:spacing w:line="360" w:lineRule="auto"/>
        <w:jc w:val="left"/>
        <w:rPr>
          <w:rFonts w:hint="default" w:ascii="Times New Roman" w:hAnsi="Times New Roman" w:eastAsia="宋体" w:cs="Times New Roman"/>
          <w:color w:val="auto"/>
          <w:sz w:val="24"/>
        </w:rPr>
      </w:pPr>
      <w:r>
        <w:rPr>
          <w:rFonts w:hint="eastAsia" w:ascii="Times New Roman" w:hAnsi="Times New Roman" w:cs="Times New Roman"/>
          <w:color w:val="auto"/>
          <w:sz w:val="24"/>
        </w:rPr>
        <w:t>5</w:t>
      </w:r>
      <w:r>
        <w:rPr>
          <w:rFonts w:ascii="Times New Roman" w:hAnsi="Times New Roman" w:cs="Times New Roman"/>
          <w:color w:val="auto"/>
          <w:sz w:val="24"/>
        </w:rPr>
        <w:t>.2.2</w:t>
      </w:r>
      <w:r>
        <w:rPr>
          <w:rFonts w:hint="eastAsia" w:ascii="Times New Roman" w:hAnsi="Times New Roman" w:cs="Times New Roman"/>
          <w:color w:val="auto"/>
          <w:sz w:val="24"/>
        </w:rPr>
        <w:t xml:space="preserve">  </w:t>
      </w:r>
      <w:r>
        <w:rPr>
          <w:rFonts w:ascii="Times New Roman" w:hAnsi="Times New Roman" w:cs="Times New Roman"/>
          <w:color w:val="auto"/>
          <w:sz w:val="24"/>
        </w:rPr>
        <w:t>结构整体验算应包括：上部承重结构的承载力和变形验算</w:t>
      </w:r>
      <w:r>
        <w:rPr>
          <w:rFonts w:hint="eastAsia" w:ascii="Times New Roman" w:hAnsi="Times New Roman" w:cs="Times New Roman"/>
          <w:color w:val="auto"/>
          <w:sz w:val="24"/>
        </w:rPr>
        <w:t>，围护系统的承载力的验算，</w:t>
      </w:r>
      <w:r>
        <w:rPr>
          <w:rFonts w:ascii="Times New Roman" w:hAnsi="Times New Roman" w:cs="Times New Roman"/>
          <w:color w:val="auto"/>
          <w:sz w:val="24"/>
        </w:rPr>
        <w:t>有</w:t>
      </w:r>
      <w:r>
        <w:rPr>
          <w:rFonts w:hint="default" w:ascii="Times New Roman" w:hAnsi="Times New Roman" w:cs="Times New Roman"/>
          <w:color w:val="auto"/>
          <w:sz w:val="24"/>
        </w:rPr>
        <w:t>必要时可对地基基础</w:t>
      </w:r>
      <w:r>
        <w:rPr>
          <w:rFonts w:hint="default" w:ascii="Times New Roman" w:hAnsi="Times New Roman" w:eastAsia="宋体" w:cs="Times New Roman"/>
          <w:color w:val="auto"/>
          <w:sz w:val="24"/>
        </w:rPr>
        <w:t>进行承载力和变形验算。</w:t>
      </w:r>
    </w:p>
    <w:p w14:paraId="74EF3950">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w:t>
      </w:r>
      <w:r>
        <w:rPr>
          <w:rFonts w:hint="default" w:ascii="Times New Roman" w:hAnsi="Times New Roman" w:eastAsia="宋体" w:cs="Times New Roman"/>
          <w:color w:val="auto"/>
          <w:sz w:val="24"/>
          <w:lang w:val="en-US" w:eastAsia="zh-CN"/>
        </w:rPr>
        <w:t xml:space="preserve">  </w:t>
      </w:r>
      <w:r>
        <w:rPr>
          <w:rFonts w:hint="default" w:ascii="Times New Roman" w:hAnsi="Times New Roman" w:eastAsia="宋体" w:cs="Times New Roman"/>
          <w:color w:val="auto"/>
          <w:sz w:val="24"/>
        </w:rPr>
        <w:t>上部承重结构验算</w:t>
      </w:r>
    </w:p>
    <w:p w14:paraId="00A17762">
      <w:pPr>
        <w:numPr>
          <w:ilvl w:val="0"/>
          <w:numId w:val="0"/>
        </w:numPr>
        <w:spacing w:line="360" w:lineRule="auto"/>
        <w:ind w:leftChars="342"/>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1）承载力验算是指在特定的鉴定条件下，根据已有建筑的实际使用荷载对建筑每一类构件进行综合的承载力验算。</w:t>
      </w:r>
    </w:p>
    <w:p w14:paraId="4519142A">
      <w:pPr>
        <w:spacing w:line="360" w:lineRule="auto"/>
        <w:ind w:left="718" w:leftChars="342" w:firstLine="0" w:firstLineChars="0"/>
        <w:rPr>
          <w:rFonts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rPr>
        <w:t>）变形验算是指在特定的</w:t>
      </w:r>
      <w:r>
        <w:rPr>
          <w:rFonts w:ascii="Times New Roman" w:hAnsi="Times New Roman" w:eastAsia="宋体" w:cs="Times New Roman"/>
          <w:color w:val="auto"/>
          <w:sz w:val="24"/>
        </w:rPr>
        <w:t>鉴定条件下，根据已有建筑的实际使用荷载对建筑实际每一类构件进行综合的变形验算，其中主要还包括在地震区域对建筑整体的位移验算。</w:t>
      </w:r>
    </w:p>
    <w:p w14:paraId="60CE7D3A">
      <w:pPr>
        <w:spacing w:line="360" w:lineRule="auto"/>
        <w:ind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rPr>
        <w:t>2</w:t>
      </w:r>
      <w:r>
        <w:rPr>
          <w:rFonts w:hint="eastAsia" w:ascii="Times New Roman" w:hAnsi="Times New Roman" w:eastAsia="宋体" w:cs="Times New Roman"/>
          <w:color w:val="auto"/>
          <w:sz w:val="24"/>
          <w:lang w:val="en-US" w:eastAsia="zh-CN"/>
        </w:rPr>
        <w:t xml:space="preserve">  </w:t>
      </w:r>
      <w:r>
        <w:rPr>
          <w:rFonts w:hint="eastAsia" w:ascii="Times New Roman" w:hAnsi="Times New Roman" w:eastAsia="宋体" w:cs="Times New Roman"/>
          <w:color w:val="auto"/>
          <w:sz w:val="24"/>
        </w:rPr>
        <w:t>围护结构承载力</w:t>
      </w:r>
      <w:r>
        <w:rPr>
          <w:rFonts w:ascii="Times New Roman" w:hAnsi="Times New Roman" w:eastAsia="宋体" w:cs="Times New Roman"/>
          <w:color w:val="auto"/>
          <w:sz w:val="24"/>
        </w:rPr>
        <w:t>验算</w:t>
      </w:r>
      <w:r>
        <w:rPr>
          <w:rFonts w:hint="eastAsia" w:ascii="Times New Roman" w:hAnsi="Times New Roman" w:eastAsia="宋体" w:cs="Times New Roman"/>
          <w:color w:val="auto"/>
          <w:sz w:val="24"/>
        </w:rPr>
        <w:t>应根据构件类别按第6章构件承载力鉴定评级的方法进行鉴定</w:t>
      </w:r>
      <w:r>
        <w:rPr>
          <w:rFonts w:ascii="Times New Roman" w:hAnsi="Times New Roman" w:eastAsia="宋体" w:cs="Times New Roman"/>
          <w:color w:val="auto"/>
          <w:sz w:val="24"/>
        </w:rPr>
        <w:t>。</w:t>
      </w:r>
    </w:p>
    <w:p w14:paraId="3E009192">
      <w:pPr>
        <w:spacing w:line="360" w:lineRule="auto"/>
        <w:ind w:firstLine="480" w:firstLineChars="200"/>
        <w:rPr>
          <w:rFonts w:hint="default" w:ascii="Times New Roman" w:hAnsi="Times New Roman" w:eastAsia="宋体" w:cs="Times New Roman"/>
          <w:color w:val="auto"/>
          <w:sz w:val="24"/>
          <w:szCs w:val="24"/>
          <w:lang w:val="en-US"/>
        </w:rPr>
      </w:pPr>
      <w:r>
        <w:rPr>
          <w:rFonts w:ascii="Times New Roman" w:hAnsi="Times New Roman" w:eastAsia="宋体" w:cs="Times New Roman"/>
          <w:color w:val="auto"/>
          <w:sz w:val="24"/>
        </w:rPr>
        <w:t>3</w:t>
      </w:r>
      <w:r>
        <w:rPr>
          <w:rFonts w:hint="eastAsia" w:ascii="Times New Roman" w:hAnsi="Times New Roman" w:eastAsia="宋体" w:cs="Times New Roman"/>
          <w:color w:val="auto"/>
          <w:sz w:val="24"/>
          <w:lang w:val="en-US" w:eastAsia="zh-CN"/>
        </w:rPr>
        <w:t xml:space="preserve">  </w:t>
      </w:r>
      <w:r>
        <w:rPr>
          <w:rFonts w:ascii="Times New Roman" w:hAnsi="Times New Roman" w:eastAsia="宋体" w:cs="Times New Roman"/>
          <w:color w:val="auto"/>
          <w:sz w:val="24"/>
          <w:szCs w:val="24"/>
          <w:lang w:val="en-US"/>
        </w:rPr>
        <w:t>当地</w:t>
      </w:r>
      <w:r>
        <w:rPr>
          <w:rFonts w:hint="default" w:ascii="Times New Roman" w:hAnsi="Times New Roman" w:eastAsia="宋体" w:cs="Times New Roman"/>
          <w:color w:val="auto"/>
          <w:sz w:val="24"/>
          <w:szCs w:val="24"/>
          <w:lang w:val="en-US"/>
        </w:rPr>
        <w:t>基基础的安全性需要按承载力项目鉴定时，无地质资料时应补充地质勘察资料。应按地基承载力的勘察和检测资料进行承载力验算，验算时可考虑地基土因长期压密静承载力的提高。最终应根据验算结果、地基基础的检测、近位勘察的结果及建筑物损伤状况进行综合分析并评定等级。</w:t>
      </w:r>
    </w:p>
    <w:p w14:paraId="452C6BF0">
      <w:pPr>
        <w:pStyle w:val="2"/>
        <w:spacing w:line="360" w:lineRule="auto"/>
        <w:jc w:val="left"/>
        <w:rPr>
          <w:rFonts w:hint="default" w:ascii="Times New Roman" w:hAnsi="Times New Roman" w:cs="Times New Roman"/>
          <w:color w:val="auto"/>
          <w:lang w:val="en-US"/>
        </w:rPr>
      </w:pPr>
      <w:r>
        <w:rPr>
          <w:rFonts w:hint="default" w:ascii="Times New Roman" w:hAnsi="Times New Roman" w:cs="Times New Roman" w:eastAsiaTheme="minorEastAsia"/>
          <w:color w:val="auto"/>
          <w:kern w:val="2"/>
          <w:sz w:val="24"/>
          <w:szCs w:val="24"/>
          <w:lang w:val="en-US" w:eastAsia="zh-CN" w:bidi="ar-SA"/>
        </w:rPr>
        <w:t>5.2.3</w:t>
      </w:r>
      <w:r>
        <w:rPr>
          <w:rFonts w:hint="default" w:ascii="Times New Roman" w:hAnsi="Times New Roman" w:eastAsia="宋体" w:cs="Times New Roman"/>
          <w:color w:val="auto"/>
          <w:sz w:val="24"/>
          <w:szCs w:val="24"/>
          <w:lang w:val="en-US"/>
        </w:rPr>
        <w:t xml:space="preserve">  当构件的安全性按承载能力鉴定项目评定时，应按其抗力（R）与作用效应（S）乘以重要性系数（γ0）之比（R/γ0S）对每一验算子项分别评级，并应在报告中列出。</w:t>
      </w:r>
    </w:p>
    <w:p w14:paraId="4AB62B5C">
      <w:pPr>
        <w:pStyle w:val="2"/>
        <w:spacing w:line="360" w:lineRule="auto"/>
        <w:jc w:val="left"/>
        <w:rPr>
          <w:rFonts w:eastAsia="宋体" w:cs="宋体"/>
          <w:color w:val="auto"/>
          <w:sz w:val="24"/>
          <w:szCs w:val="24"/>
          <w:lang w:val="en-US"/>
        </w:rPr>
      </w:pPr>
      <w:r>
        <w:rPr>
          <w:rFonts w:hint="eastAsia" w:ascii="Times New Roman" w:hAnsi="Times New Roman" w:cs="Times New Roman" w:eastAsiaTheme="minorEastAsia"/>
          <w:color w:val="auto"/>
          <w:kern w:val="2"/>
          <w:sz w:val="24"/>
          <w:szCs w:val="24"/>
          <w:lang w:val="en-US" w:eastAsia="zh-CN" w:bidi="ar-SA"/>
        </w:rPr>
        <w:t>5.2.4</w:t>
      </w:r>
      <w:r>
        <w:rPr>
          <w:rFonts w:hint="eastAsia" w:eastAsia="宋体" w:cs="宋体"/>
          <w:color w:val="auto"/>
          <w:sz w:val="24"/>
          <w:szCs w:val="24"/>
          <w:lang w:val="en-US"/>
        </w:rPr>
        <w:t xml:space="preserve">  </w:t>
      </w:r>
      <w:r>
        <w:rPr>
          <w:rFonts w:eastAsia="宋体" w:cs="宋体"/>
          <w:color w:val="auto"/>
          <w:sz w:val="24"/>
          <w:szCs w:val="24"/>
          <w:lang w:val="en-US"/>
        </w:rPr>
        <w:t>当结构构件受到温度、地基变形等作用时，应考虑</w:t>
      </w:r>
      <w:r>
        <w:rPr>
          <w:rFonts w:hint="eastAsia" w:eastAsia="宋体" w:cs="宋体"/>
          <w:color w:val="auto"/>
          <w:sz w:val="24"/>
          <w:szCs w:val="24"/>
          <w:lang w:val="en-US"/>
        </w:rPr>
        <w:t>其</w:t>
      </w:r>
      <w:r>
        <w:rPr>
          <w:rFonts w:eastAsia="宋体" w:cs="宋体"/>
          <w:color w:val="auto"/>
          <w:sz w:val="24"/>
          <w:szCs w:val="24"/>
          <w:lang w:val="en-US"/>
        </w:rPr>
        <w:t>作用效应。</w:t>
      </w:r>
    </w:p>
    <w:p w14:paraId="72BE70EF">
      <w:pPr>
        <w:pStyle w:val="2"/>
        <w:spacing w:line="360" w:lineRule="auto"/>
        <w:jc w:val="left"/>
        <w:rPr>
          <w:rFonts w:eastAsia="宋体" w:cs="宋体"/>
          <w:color w:val="auto"/>
          <w:sz w:val="24"/>
          <w:szCs w:val="24"/>
          <w:lang w:val="en-US"/>
        </w:rPr>
      </w:pPr>
      <w:r>
        <w:rPr>
          <w:rFonts w:hint="eastAsia" w:ascii="Times New Roman" w:hAnsi="Times New Roman" w:cs="Times New Roman" w:eastAsiaTheme="minorEastAsia"/>
          <w:color w:val="auto"/>
          <w:kern w:val="2"/>
          <w:sz w:val="24"/>
          <w:szCs w:val="24"/>
          <w:lang w:val="en-US" w:eastAsia="zh-CN" w:bidi="ar-SA"/>
        </w:rPr>
        <w:t>5.2.5</w:t>
      </w:r>
      <w:r>
        <w:rPr>
          <w:rFonts w:hint="eastAsia" w:ascii="Times New Roman" w:hAnsi="Times New Roman" w:cs="Times New Roman"/>
          <w:color w:val="auto"/>
          <w:kern w:val="2"/>
          <w:sz w:val="24"/>
          <w:szCs w:val="24"/>
          <w:lang w:val="en-US" w:eastAsia="zh-CN" w:bidi="ar-SA"/>
        </w:rPr>
        <w:t xml:space="preserve">  </w:t>
      </w:r>
      <w:r>
        <w:rPr>
          <w:rFonts w:hint="eastAsia" w:eastAsia="宋体" w:cs="宋体"/>
          <w:color w:val="auto"/>
          <w:sz w:val="24"/>
          <w:szCs w:val="24"/>
          <w:lang w:val="en-US"/>
        </w:rPr>
        <w:t>工业</w:t>
      </w:r>
      <w:r>
        <w:rPr>
          <w:rFonts w:eastAsia="宋体" w:cs="宋体"/>
          <w:color w:val="auto"/>
          <w:sz w:val="24"/>
          <w:szCs w:val="24"/>
          <w:lang w:val="en-US"/>
        </w:rPr>
        <w:t>建筑抗震鉴定要求包括但不限于以下内容：</w:t>
      </w:r>
    </w:p>
    <w:p w14:paraId="2ECF05EB">
      <w:pPr>
        <w:pStyle w:val="2"/>
        <w:spacing w:line="360" w:lineRule="auto"/>
        <w:ind w:firstLine="480" w:firstLineChars="200"/>
        <w:jc w:val="left"/>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rPr>
        <w:t>1</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rPr>
        <w:t>综合考虑建筑结构特点、结构布置、构造和抗震承载力以及相关规范规定的抗震设防要求等，进行综合抗震能力分析。当不需进行改造时，可按建筑现状进行抗震承载力验算和抗震措施核查；当需要进行改造时，应按改造后建筑状态进行抗震承载力验算和抗震措施核查。</w:t>
      </w:r>
    </w:p>
    <w:p w14:paraId="44404A64">
      <w:pPr>
        <w:pStyle w:val="2"/>
        <w:spacing w:line="360" w:lineRule="auto"/>
        <w:ind w:firstLine="480" w:firstLineChars="200"/>
        <w:jc w:val="left"/>
        <w:rPr>
          <w:rFonts w:eastAsia="宋体" w:cs="宋体"/>
          <w:color w:val="auto"/>
          <w:sz w:val="24"/>
          <w:szCs w:val="24"/>
          <w:lang w:val="en-US"/>
        </w:rPr>
      </w:pPr>
      <w:r>
        <w:rPr>
          <w:rFonts w:hint="default" w:ascii="Times New Roman" w:hAnsi="Times New Roman" w:eastAsia="宋体" w:cs="Times New Roman"/>
          <w:color w:val="auto"/>
          <w:sz w:val="24"/>
          <w:szCs w:val="24"/>
          <w:lang w:val="en-US"/>
        </w:rPr>
        <w:t>2</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rPr>
        <w:t>A类和B类建筑的抗震鉴定验算，应允许采用折减的地震作用进行抗震承载力和变形验算，应允许采用现行标准调低的要求进行抗震措施的核查，但不应低于原建造时的抗震设计要求；C类建筑，应按现行标准的要求进行抗震鉴定；当限于技术条件，难以按现行标准执行时</w:t>
      </w:r>
      <w:r>
        <w:rPr>
          <w:rFonts w:eastAsia="宋体" w:cs="宋体"/>
          <w:color w:val="auto"/>
          <w:sz w:val="24"/>
          <w:szCs w:val="24"/>
          <w:lang w:val="en-US"/>
        </w:rPr>
        <w:t>，允许调低其后续工作年限，并按B类建筑的要求从严进行处理。</w:t>
      </w:r>
    </w:p>
    <w:p w14:paraId="3211E8D2">
      <w:pPr>
        <w:pStyle w:val="2"/>
        <w:spacing w:line="360" w:lineRule="auto"/>
        <w:ind w:firstLine="480" w:firstLineChars="200"/>
        <w:jc w:val="left"/>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rPr>
        <w:t>3</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rPr>
        <w:t>采用现行规范规定的方法进行抗震承载力验算时，A类建筑的水平地震影响系数最大值应不低于现行标准相应值的0.80倍，或承载力抗震调整系数不低于现行标准相应值的0.85倍；B类建筑的水平地震影响系数最大值应不低于现行标准相应值的0.90倍。同时，上述参数不应低于原建造时抗震设计要求的相应值。</w:t>
      </w:r>
    </w:p>
    <w:p w14:paraId="509E5027">
      <w:pPr>
        <w:pStyle w:val="2"/>
        <w:spacing w:line="360" w:lineRule="auto"/>
        <w:ind w:firstLine="480" w:firstLineChars="200"/>
        <w:jc w:val="left"/>
        <w:rPr>
          <w:rFonts w:eastAsia="宋体" w:cs="宋体"/>
          <w:color w:val="auto"/>
          <w:sz w:val="24"/>
          <w:szCs w:val="24"/>
          <w:lang w:val="en-US"/>
        </w:rPr>
      </w:pPr>
      <w:r>
        <w:rPr>
          <w:rFonts w:hint="default" w:ascii="Times New Roman" w:hAnsi="Times New Roman" w:eastAsia="宋体" w:cs="Times New Roman"/>
          <w:color w:val="auto"/>
          <w:sz w:val="24"/>
          <w:szCs w:val="24"/>
          <w:lang w:val="en-US"/>
        </w:rPr>
        <w:t>4</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rPr>
        <w:t>需</w:t>
      </w:r>
      <w:r>
        <w:rPr>
          <w:rFonts w:hint="eastAsia" w:eastAsia="宋体" w:cs="宋体"/>
          <w:color w:val="auto"/>
          <w:sz w:val="24"/>
          <w:szCs w:val="24"/>
          <w:lang w:val="en-US"/>
        </w:rPr>
        <w:t>要</w:t>
      </w:r>
      <w:r>
        <w:rPr>
          <w:rFonts w:eastAsia="宋体" w:cs="宋体"/>
          <w:color w:val="auto"/>
          <w:sz w:val="24"/>
          <w:szCs w:val="24"/>
          <w:lang w:val="en-US"/>
        </w:rPr>
        <w:t>对建筑综合抗震性能作出评价，对符合抗震鉴定要求的建筑应明确其后续工作年限，对不符合抗震鉴定要求的建筑提出相应的对策和处理建议。</w:t>
      </w:r>
    </w:p>
    <w:p w14:paraId="460A5C40">
      <w:pPr>
        <w:pStyle w:val="2"/>
        <w:spacing w:line="360" w:lineRule="auto"/>
        <w:jc w:val="left"/>
        <w:rPr>
          <w:rFonts w:hint="eastAsia" w:eastAsia="宋体" w:cs="宋体"/>
          <w:color w:val="auto"/>
          <w:sz w:val="24"/>
          <w:szCs w:val="24"/>
          <w:lang w:val="en-US"/>
        </w:rPr>
      </w:pPr>
      <w:r>
        <w:rPr>
          <w:rFonts w:hint="eastAsia" w:ascii="Times New Roman" w:hAnsi="Times New Roman" w:cs="Times New Roman" w:eastAsiaTheme="minorEastAsia"/>
          <w:color w:val="auto"/>
          <w:kern w:val="2"/>
          <w:sz w:val="24"/>
          <w:szCs w:val="24"/>
          <w:lang w:val="en-US" w:eastAsia="zh-CN" w:bidi="ar-SA"/>
        </w:rPr>
        <w:t>5.2.6</w:t>
      </w:r>
      <w:r>
        <w:rPr>
          <w:rFonts w:hint="eastAsia" w:ascii="Times New Roman" w:hAnsi="Times New Roman" w:cs="Times New Roman"/>
          <w:color w:val="auto"/>
          <w:kern w:val="2"/>
          <w:sz w:val="24"/>
          <w:szCs w:val="24"/>
          <w:lang w:val="en-US" w:eastAsia="zh-CN" w:bidi="ar-SA"/>
        </w:rPr>
        <w:t xml:space="preserve">  </w:t>
      </w:r>
      <w:r>
        <w:rPr>
          <w:rFonts w:hint="eastAsia" w:eastAsia="宋体" w:cs="宋体"/>
          <w:color w:val="auto"/>
          <w:sz w:val="24"/>
          <w:szCs w:val="24"/>
          <w:lang w:val="en-US"/>
        </w:rPr>
        <w:t>加固后复核验算</w:t>
      </w:r>
    </w:p>
    <w:p w14:paraId="45EA06D5">
      <w:pPr>
        <w:pStyle w:val="2"/>
        <w:spacing w:line="360" w:lineRule="auto"/>
        <w:ind w:firstLine="480" w:firstLineChars="200"/>
        <w:jc w:val="left"/>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rPr>
        <w:t>1</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rPr>
        <w:t>验算结构、构件承载力时，应考虑原结构在加固时的实际受力状况，包括加固部分效应滞后的特点，以及加固部分与原结构的共同工作程度。</w:t>
      </w:r>
    </w:p>
    <w:p w14:paraId="373455DE">
      <w:pPr>
        <w:pStyle w:val="2"/>
        <w:spacing w:line="360" w:lineRule="auto"/>
        <w:ind w:firstLine="480" w:firstLineChars="200"/>
        <w:jc w:val="left"/>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rPr>
        <w:t>2</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rPr>
        <w:t>结构加固后改变传力路线或使结构质量增大时，应对相关结构、构件及建筑地基基础进行必要的验算。</w:t>
      </w:r>
    </w:p>
    <w:p w14:paraId="05DA1661">
      <w:pPr>
        <w:pStyle w:val="2"/>
        <w:spacing w:line="360" w:lineRule="auto"/>
        <w:ind w:firstLine="480" w:firstLineChars="200"/>
        <w:jc w:val="left"/>
        <w:rPr>
          <w:rFonts w:hint="eastAsia" w:eastAsia="宋体" w:cs="宋体"/>
          <w:color w:val="auto"/>
          <w:sz w:val="24"/>
          <w:szCs w:val="24"/>
          <w:lang w:val="en-US"/>
        </w:rPr>
      </w:pPr>
      <w:r>
        <w:rPr>
          <w:rFonts w:hint="default" w:ascii="Times New Roman" w:hAnsi="Times New Roman" w:eastAsia="宋体" w:cs="Times New Roman"/>
          <w:color w:val="auto"/>
          <w:sz w:val="24"/>
          <w:szCs w:val="24"/>
          <w:lang w:val="en-US"/>
        </w:rPr>
        <w:t>3</w:t>
      </w:r>
      <w:r>
        <w:rPr>
          <w:rFonts w:hint="default" w:ascii="Times New Roman" w:hAnsi="Times New Roman" w:eastAsia="宋体" w:cs="Times New Roman"/>
          <w:color w:val="auto"/>
          <w:sz w:val="24"/>
          <w:szCs w:val="24"/>
          <w:lang w:val="en-US" w:eastAsia="zh-CN"/>
        </w:rPr>
        <w:t xml:space="preserve"> </w:t>
      </w:r>
      <w:r>
        <w:rPr>
          <w:rFonts w:hint="eastAsia" w:eastAsia="宋体" w:cs="宋体"/>
          <w:color w:val="auto"/>
          <w:sz w:val="24"/>
          <w:szCs w:val="24"/>
          <w:lang w:val="en-US" w:eastAsia="zh-CN"/>
        </w:rPr>
        <w:t xml:space="preserve"> </w:t>
      </w:r>
      <w:r>
        <w:rPr>
          <w:rFonts w:hint="eastAsia" w:eastAsia="宋体" w:cs="宋体"/>
          <w:color w:val="auto"/>
          <w:sz w:val="24"/>
          <w:szCs w:val="24"/>
          <w:lang w:val="en-US"/>
        </w:rPr>
        <w:t>地震区结构、构件的加固时。除应满足承载力要求外，尚应复核其抗震能力，不应存在局部加强或刚度突变而形成的新薄弱部位，同时还应考虑结构刚度增大而导致地震作用效应的影响。</w:t>
      </w:r>
    </w:p>
    <w:p w14:paraId="41D8CD5C">
      <w:pPr>
        <w:pStyle w:val="2"/>
        <w:spacing w:line="360" w:lineRule="auto"/>
        <w:jc w:val="left"/>
        <w:rPr>
          <w:rFonts w:eastAsia="宋体" w:cs="宋体"/>
          <w:color w:val="auto"/>
          <w:sz w:val="24"/>
          <w:szCs w:val="24"/>
          <w:lang w:val="en-US"/>
        </w:rPr>
      </w:pPr>
      <w:r>
        <w:rPr>
          <w:rFonts w:hint="eastAsia" w:ascii="Times New Roman" w:hAnsi="Times New Roman" w:cs="Times New Roman" w:eastAsiaTheme="minorEastAsia"/>
          <w:color w:val="auto"/>
          <w:kern w:val="2"/>
          <w:sz w:val="24"/>
          <w:szCs w:val="24"/>
          <w:lang w:val="en-US" w:eastAsia="zh-CN" w:bidi="ar-SA"/>
        </w:rPr>
        <w:t>5.2.7</w:t>
      </w:r>
      <w:r>
        <w:rPr>
          <w:rFonts w:hint="eastAsia" w:eastAsia="宋体" w:cs="宋体"/>
          <w:color w:val="auto"/>
          <w:sz w:val="24"/>
          <w:szCs w:val="24"/>
          <w:lang w:val="en-US"/>
        </w:rPr>
        <w:t xml:space="preserve">  </w:t>
      </w:r>
      <w:r>
        <w:rPr>
          <w:rFonts w:eastAsia="宋体" w:cs="宋体"/>
          <w:color w:val="auto"/>
          <w:sz w:val="24"/>
          <w:szCs w:val="24"/>
          <w:lang w:val="en-US"/>
        </w:rPr>
        <w:t>采用电算程序计算时，计算程序应具备正版授权，电算结果应经分析认可。计算书中应注明所采用的计算程序名称、版本及编制单位。</w:t>
      </w:r>
    </w:p>
    <w:p w14:paraId="6D201A69">
      <w:pPr>
        <w:pStyle w:val="2"/>
        <w:spacing w:line="360" w:lineRule="auto"/>
        <w:jc w:val="left"/>
        <w:rPr>
          <w:rFonts w:eastAsia="宋体" w:cs="宋体"/>
          <w:color w:val="auto"/>
          <w:sz w:val="24"/>
          <w:szCs w:val="24"/>
          <w:lang w:val="en-US"/>
        </w:rPr>
      </w:pPr>
      <w:r>
        <w:rPr>
          <w:rFonts w:hint="eastAsia" w:ascii="Times New Roman" w:hAnsi="Times New Roman" w:cs="Times New Roman" w:eastAsiaTheme="minorEastAsia"/>
          <w:color w:val="auto"/>
          <w:kern w:val="2"/>
          <w:sz w:val="24"/>
          <w:szCs w:val="24"/>
          <w:lang w:val="en-US" w:eastAsia="zh-CN" w:bidi="ar-SA"/>
        </w:rPr>
        <w:t>5.2.8</w:t>
      </w:r>
      <w:r>
        <w:rPr>
          <w:rFonts w:hint="eastAsia" w:eastAsia="宋体" w:cs="宋体"/>
          <w:color w:val="auto"/>
          <w:sz w:val="24"/>
          <w:szCs w:val="24"/>
          <w:lang w:val="en-US"/>
        </w:rPr>
        <w:t xml:space="preserve">  </w:t>
      </w:r>
      <w:r>
        <w:rPr>
          <w:rFonts w:eastAsia="宋体" w:cs="宋体"/>
          <w:color w:val="auto"/>
          <w:sz w:val="24"/>
          <w:szCs w:val="24"/>
          <w:lang w:val="en-US"/>
        </w:rPr>
        <w:t>结构电算计算书应包括但不限于：设计依据，设计参数输出，总体指标统计，结构平面简图，平面荷载简图，混凝土结构中的柱、墙轴压比简图、配筋简图，砌体结构中的墙体高厚比、局部承压、受压结果、抗震结果，钢结构构件强度、稳定应力比简图，承载能力评级简图、构件最终评级结果简图、各等级构件数量及占比等。</w:t>
      </w:r>
    </w:p>
    <w:p w14:paraId="79BA7400">
      <w:pPr>
        <w:pStyle w:val="2"/>
        <w:spacing w:line="360" w:lineRule="auto"/>
        <w:jc w:val="left"/>
        <w:rPr>
          <w:rFonts w:eastAsia="宋体" w:cs="宋体"/>
          <w:color w:val="auto"/>
          <w:sz w:val="24"/>
          <w:szCs w:val="24"/>
          <w:lang w:val="en-US"/>
        </w:rPr>
      </w:pPr>
      <w:r>
        <w:rPr>
          <w:rFonts w:hint="eastAsia" w:ascii="Times New Roman" w:hAnsi="Times New Roman" w:cs="Times New Roman" w:eastAsiaTheme="minorEastAsia"/>
          <w:color w:val="auto"/>
          <w:kern w:val="2"/>
          <w:sz w:val="24"/>
          <w:szCs w:val="24"/>
          <w:lang w:val="en-US" w:eastAsia="zh-CN" w:bidi="ar-SA"/>
        </w:rPr>
        <w:t>5.2.9</w:t>
      </w:r>
      <w:r>
        <w:rPr>
          <w:rFonts w:hint="eastAsia" w:eastAsia="宋体" w:cs="宋体"/>
          <w:color w:val="auto"/>
          <w:sz w:val="24"/>
          <w:szCs w:val="24"/>
          <w:lang w:val="en-US"/>
        </w:rPr>
        <w:t xml:space="preserve">  结构计算书应装订成册并由注册结构工程师在计算书封面上签字并加盖执业章。</w:t>
      </w:r>
    </w:p>
    <w:p w14:paraId="00038979">
      <w:pP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br w:type="page"/>
      </w:r>
    </w:p>
    <w:p w14:paraId="004E705E">
      <w:pPr>
        <w:pStyle w:val="3"/>
        <w:bidi w:val="0"/>
        <w:jc w:val="center"/>
        <w:rPr>
          <w:rFonts w:hint="default" w:ascii="Times New Roman" w:hAnsi="Times New Roman" w:eastAsia="宋体" w:cs="Times New Roman"/>
          <w:color w:val="auto"/>
          <w:lang w:val="en-US" w:eastAsia="zh-CN"/>
        </w:rPr>
      </w:pPr>
      <w:bookmarkStart w:id="45" w:name="_Toc26630"/>
      <w:r>
        <w:rPr>
          <w:rFonts w:hint="eastAsia" w:ascii="Times New Roman" w:hAnsi="Times New Roman" w:eastAsia="宋体" w:cs="Times New Roman"/>
          <w:color w:val="auto"/>
          <w:lang w:val="en-US" w:eastAsia="zh-CN"/>
        </w:rPr>
        <w:t>6</w:t>
      </w:r>
      <w:r>
        <w:rPr>
          <w:rFonts w:hint="default" w:ascii="Times New Roman" w:hAnsi="Times New Roman" w:eastAsia="宋体" w:cs="Times New Roman"/>
          <w:color w:val="auto"/>
          <w:lang w:val="en-US" w:eastAsia="zh-CN"/>
        </w:rPr>
        <w:t xml:space="preserve"> </w:t>
      </w:r>
      <w:r>
        <w:rPr>
          <w:rFonts w:hint="eastAsia"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lang w:val="en-US" w:eastAsia="zh-CN"/>
        </w:rPr>
        <w:t>鉴定评级</w:t>
      </w:r>
      <w:bookmarkEnd w:id="42"/>
      <w:bookmarkEnd w:id="45"/>
    </w:p>
    <w:p w14:paraId="631894C2">
      <w:pPr>
        <w:pStyle w:val="4"/>
        <w:keepNext/>
        <w:keepLines/>
        <w:pageBreakBefore w:val="0"/>
        <w:widowControl w:val="0"/>
        <w:kinsoku/>
        <w:wordWrap/>
        <w:overflowPunct/>
        <w:topLinePunct w:val="0"/>
        <w:autoSpaceDE/>
        <w:autoSpaceDN/>
        <w:bidi w:val="0"/>
        <w:adjustRightInd/>
        <w:snapToGrid/>
        <w:spacing w:before="120" w:after="120" w:line="360" w:lineRule="auto"/>
        <w:jc w:val="center"/>
        <w:textAlignment w:val="auto"/>
        <w:rPr>
          <w:rFonts w:hint="default" w:ascii="Times New Roman" w:hAnsi="Times New Roman" w:eastAsia="宋体" w:cs="Times New Roman"/>
          <w:color w:val="auto"/>
          <w:sz w:val="28"/>
          <w:szCs w:val="28"/>
          <w:lang w:val="en-US" w:eastAsia="zh-CN"/>
        </w:rPr>
      </w:pPr>
      <w:bookmarkStart w:id="46" w:name="_Toc14400"/>
      <w:bookmarkStart w:id="47" w:name="_Toc20860"/>
      <w:r>
        <w:rPr>
          <w:rFonts w:hint="eastAsia" w:ascii="Times New Roman" w:hAnsi="Times New Roman" w:eastAsia="宋体" w:cs="Times New Roman"/>
          <w:color w:val="auto"/>
          <w:sz w:val="28"/>
          <w:szCs w:val="28"/>
          <w:lang w:val="en-US" w:eastAsia="zh-CN"/>
        </w:rPr>
        <w:t>6</w:t>
      </w:r>
      <w:r>
        <w:rPr>
          <w:rFonts w:hint="default" w:ascii="Times New Roman" w:hAnsi="Times New Roman" w:eastAsia="宋体" w:cs="Times New Roman"/>
          <w:color w:val="auto"/>
          <w:sz w:val="28"/>
          <w:szCs w:val="28"/>
          <w:lang w:val="en-US" w:eastAsia="zh-CN"/>
        </w:rPr>
        <w:t>.1</w:t>
      </w:r>
      <w:r>
        <w:rPr>
          <w:rFonts w:hint="eastAsia" w:ascii="Times New Roman" w:hAnsi="Times New Roman" w:eastAsia="宋体" w:cs="Times New Roman"/>
          <w:color w:val="auto"/>
          <w:sz w:val="28"/>
          <w:szCs w:val="28"/>
          <w:lang w:val="en-US" w:eastAsia="zh-CN"/>
        </w:rPr>
        <w:t xml:space="preserve">  </w:t>
      </w:r>
      <w:r>
        <w:rPr>
          <w:rFonts w:hint="default" w:ascii="Times New Roman" w:hAnsi="Times New Roman" w:eastAsia="宋体" w:cs="Times New Roman"/>
          <w:color w:val="auto"/>
          <w:sz w:val="28"/>
          <w:szCs w:val="28"/>
          <w:lang w:val="en-US" w:eastAsia="zh-CN"/>
        </w:rPr>
        <w:t>一般规定</w:t>
      </w:r>
      <w:bookmarkEnd w:id="46"/>
    </w:p>
    <w:p w14:paraId="059CC5B4">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highlight w:val="none"/>
          <w:lang w:val="en-US" w:eastAsia="zh-CN"/>
        </w:rPr>
        <w:t>6.1.1  既有工业建筑对其安全性、使用性、可靠性的鉴定评级应优先使用现行标准《工业建筑可靠</w:t>
      </w:r>
      <w:r>
        <w:rPr>
          <w:rFonts w:hint="eastAsia" w:ascii="Times New Roman" w:hAnsi="Times New Roman" w:eastAsia="宋体" w:cs="Times New Roman"/>
          <w:color w:val="auto"/>
          <w:sz w:val="24"/>
          <w:szCs w:val="24"/>
          <w:lang w:val="en-US" w:eastAsia="zh-CN"/>
        </w:rPr>
        <w:t>性鉴定标准》GB50144，当存在《工业建筑可靠性鉴定标准》GB50144适用性不足的情况下可选用相关现行行业标准。</w:t>
      </w:r>
    </w:p>
    <w:p w14:paraId="438F39D4">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highlight w:val="none"/>
          <w:lang w:val="en-US" w:eastAsia="zh-CN"/>
        </w:rPr>
        <w:t>6.1.2  可靠性鉴定评级宜划分为构件、结构系统、鉴定单元三个层次，建筑物的</w:t>
      </w:r>
      <w:r>
        <w:rPr>
          <w:rFonts w:hint="eastAsia" w:ascii="Times New Roman" w:hAnsi="Times New Roman" w:eastAsia="宋体" w:cs="Times New Roman"/>
          <w:color w:val="auto"/>
          <w:sz w:val="24"/>
          <w:szCs w:val="24"/>
          <w:lang w:val="en-US" w:eastAsia="zh-CN"/>
        </w:rPr>
        <w:t>单个构件应按《工业建筑可靠性鉴定标准》GB50144的规定划分。</w:t>
      </w:r>
    </w:p>
    <w:p w14:paraId="1BAB3D1F">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Times New Roman"/>
          <w:color w:val="auto"/>
          <w:sz w:val="24"/>
          <w:szCs w:val="24"/>
        </w:rPr>
      </w:pPr>
      <w:r>
        <w:rPr>
          <w:rFonts w:hint="eastAsia" w:ascii="Times New Roman" w:hAnsi="Times New Roman" w:cs="Times New Roman"/>
          <w:color w:val="auto"/>
          <w:sz w:val="24"/>
          <w:szCs w:val="24"/>
          <w:highlight w:val="none"/>
          <w:lang w:val="en-US" w:eastAsia="zh-CN"/>
        </w:rPr>
        <w:t>6.1.3  结构系统和构件的鉴定评级应包括安全性和使用性，也可根据需要综合评</w:t>
      </w:r>
      <w:r>
        <w:rPr>
          <w:rFonts w:hint="eastAsia" w:ascii="Times New Roman" w:hAnsi="Times New Roman" w:eastAsia="宋体" w:cs="Times New Roman"/>
          <w:color w:val="auto"/>
          <w:sz w:val="24"/>
          <w:szCs w:val="24"/>
          <w:lang w:val="en-US" w:eastAsia="zh-CN"/>
        </w:rPr>
        <w:t>定其可靠性等级。</w:t>
      </w:r>
    </w:p>
    <w:p w14:paraId="780ADE5E">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Times New Roman"/>
          <w:color w:val="auto"/>
          <w:sz w:val="24"/>
          <w:szCs w:val="24"/>
        </w:rPr>
      </w:pPr>
      <w:r>
        <w:rPr>
          <w:rFonts w:hint="eastAsia" w:ascii="Times New Roman" w:hAnsi="Times New Roman" w:cs="Times New Roman"/>
          <w:color w:val="auto"/>
          <w:sz w:val="24"/>
          <w:szCs w:val="24"/>
          <w:highlight w:val="none"/>
          <w:lang w:val="en-US" w:eastAsia="zh-CN"/>
        </w:rPr>
        <w:t>6.1.4  可根据需要评定鉴定单元的可靠性等级，也可直接评定其安全性或使用性</w:t>
      </w:r>
      <w:r>
        <w:rPr>
          <w:rFonts w:hint="eastAsia" w:ascii="Times New Roman" w:hAnsi="Times New Roman" w:eastAsia="宋体" w:cs="Times New Roman"/>
          <w:color w:val="auto"/>
          <w:sz w:val="24"/>
          <w:szCs w:val="24"/>
        </w:rPr>
        <w:t>等级</w:t>
      </w:r>
      <w:r>
        <w:rPr>
          <w:rFonts w:hint="eastAsia" w:ascii="Times New Roman" w:hAnsi="Times New Roman" w:eastAsia="宋体" w:cs="Times New Roman"/>
          <w:color w:val="auto"/>
          <w:sz w:val="24"/>
          <w:szCs w:val="24"/>
          <w:lang w:eastAsia="zh-CN"/>
        </w:rPr>
        <w:t>。</w:t>
      </w:r>
    </w:p>
    <w:p w14:paraId="6A0E974C">
      <w:pPr>
        <w:pStyle w:val="4"/>
        <w:keepNext/>
        <w:keepLines/>
        <w:pageBreakBefore w:val="0"/>
        <w:widowControl w:val="0"/>
        <w:kinsoku/>
        <w:wordWrap/>
        <w:overflowPunct/>
        <w:topLinePunct w:val="0"/>
        <w:autoSpaceDE/>
        <w:autoSpaceDN/>
        <w:bidi w:val="0"/>
        <w:adjustRightInd/>
        <w:snapToGrid/>
        <w:spacing w:before="120" w:after="120" w:line="360" w:lineRule="auto"/>
        <w:jc w:val="center"/>
        <w:textAlignment w:val="auto"/>
        <w:rPr>
          <w:rFonts w:hint="eastAsia" w:ascii="Times New Roman" w:hAnsi="Times New Roman" w:eastAsia="宋体" w:cs="Times New Roman"/>
          <w:color w:val="auto"/>
          <w:sz w:val="28"/>
          <w:szCs w:val="28"/>
          <w:lang w:val="en-US" w:eastAsia="zh-CN"/>
        </w:rPr>
      </w:pPr>
      <w:bookmarkStart w:id="48" w:name="_Toc27915"/>
      <w:r>
        <w:rPr>
          <w:rFonts w:hint="eastAsia" w:ascii="Times New Roman" w:hAnsi="Times New Roman" w:eastAsia="宋体" w:cs="Times New Roman"/>
          <w:color w:val="auto"/>
          <w:sz w:val="28"/>
          <w:szCs w:val="28"/>
          <w:lang w:val="en-US" w:eastAsia="zh-CN"/>
        </w:rPr>
        <w:t>6.2  构件的鉴定评级</w:t>
      </w:r>
      <w:bookmarkEnd w:id="48"/>
    </w:p>
    <w:p w14:paraId="18158FAB">
      <w:pPr>
        <w:keepNext w:val="0"/>
        <w:keepLines w:val="0"/>
        <w:pageBreakBefore w:val="0"/>
        <w:widowControl w:val="0"/>
        <w:numPr>
          <w:ilvl w:val="1"/>
          <w:numId w:val="0"/>
        </w:numPr>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6.2.1  单个构件的鉴定评级，包括对其安全性等级和使用性等级的评定，必要时应对其可靠性等级进行评定。可靠性等级应根据其安全性等级和使用性等级的评定结果，以安全性为主并注重正常使用性的原则确定。</w:t>
      </w:r>
    </w:p>
    <w:p w14:paraId="439E1B55">
      <w:pPr>
        <w:keepNext w:val="0"/>
        <w:keepLines w:val="0"/>
        <w:pageBreakBefore w:val="0"/>
        <w:widowControl w:val="0"/>
        <w:numPr>
          <w:ilvl w:val="1"/>
          <w:numId w:val="0"/>
        </w:numPr>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6.2.2  当结构较为复杂或对理论计算分析结果存疑时，在具备现场荷载试验的条件下，构件的安全性和使用性可通过基于荷载检验的评定方法进行评定。</w:t>
      </w:r>
    </w:p>
    <w:p w14:paraId="17715415">
      <w:pPr>
        <w:keepNext w:val="0"/>
        <w:keepLines w:val="0"/>
        <w:pageBreakBefore w:val="0"/>
        <w:widowControl w:val="0"/>
        <w:numPr>
          <w:ilvl w:val="1"/>
          <w:numId w:val="0"/>
        </w:numPr>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6.2.3  当钢结构构件出现下列情况之一时，可直接评定其安全性等级为d级：</w:t>
      </w:r>
    </w:p>
    <w:p w14:paraId="2AD30DE7">
      <w:pPr>
        <w:keepNext w:val="0"/>
        <w:keepLines w:val="0"/>
        <w:pageBreakBefore w:val="0"/>
        <w:widowControl w:val="0"/>
        <w:numPr>
          <w:ilvl w:val="1"/>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  梁式构件中，梁本体或两端连接节点出现严重锈蚀、锈穿导致截面明显削弱或锈断；</w:t>
      </w:r>
    </w:p>
    <w:p w14:paraId="1090606A">
      <w:pPr>
        <w:keepNext w:val="0"/>
        <w:keepLines w:val="0"/>
        <w:pageBreakBefore w:val="0"/>
        <w:widowControl w:val="0"/>
        <w:numPr>
          <w:ilvl w:val="1"/>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  桁架式构件中，上弦杆、下弦杆、腹杆等重要受力杆件或相关连接节点；板出现严重锈蚀、锈穿导致截面明显削弱或锈断。</w:t>
      </w:r>
    </w:p>
    <w:p w14:paraId="722BF2F4">
      <w:pPr>
        <w:keepNext w:val="0"/>
        <w:keepLines w:val="0"/>
        <w:pageBreakBefore w:val="0"/>
        <w:widowControl w:val="0"/>
        <w:numPr>
          <w:ilvl w:val="1"/>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  钢构件已出现失稳征兆时；</w:t>
      </w:r>
    </w:p>
    <w:p w14:paraId="13AA7E6D">
      <w:pPr>
        <w:keepNext w:val="0"/>
        <w:keepLines w:val="0"/>
        <w:pageBreakBefore w:val="0"/>
        <w:widowControl w:val="0"/>
        <w:numPr>
          <w:ilvl w:val="1"/>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4  钢构件受拉区或吊车桁架受拉杆及其节点板存在疲劳裂缝时；</w:t>
      </w:r>
    </w:p>
    <w:p w14:paraId="3962181B">
      <w:pPr>
        <w:keepNext w:val="0"/>
        <w:keepLines w:val="0"/>
        <w:pageBreakBefore w:val="0"/>
        <w:widowControl w:val="0"/>
        <w:numPr>
          <w:ilvl w:val="1"/>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5  其他已确定处于危险状态的缺陷和损伤；</w:t>
      </w:r>
    </w:p>
    <w:p w14:paraId="340495EC">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6.2.4  当钢结构焊缝连接出现下列情况之一时，构件安全性等级可评定为c级或d级</w:t>
      </w:r>
      <w:r>
        <w:rPr>
          <w:rFonts w:hint="eastAsia" w:ascii="Times New Roman" w:hAnsi="Times New Roman" w:eastAsia="宋体" w:cs="Times New Roman"/>
          <w:color w:val="auto"/>
          <w:sz w:val="24"/>
          <w:szCs w:val="24"/>
          <w:lang w:val="en-US" w:eastAsia="zh-CN"/>
        </w:rPr>
        <w:t>：</w:t>
      </w:r>
    </w:p>
    <w:p w14:paraId="4F50F3BD">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1  受力焊缝检测部位出现裂缝或受力焊缝焊接缺陷低于现行国家标准《钢结构设计标准》GB 50017、《钢结构焊接规范》GB 50661或《钢结构工程施工质量验收标准》GB 50205规定的三级焊缝的要求；</w:t>
      </w:r>
    </w:p>
    <w:p w14:paraId="338A51B8">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2  受疲劳作用的焊缝，出现不符合现行国家标准《钢结构设计标准》GB 50017、《钢结构焊接规范》GB 50661或《钢结构工程施工质量验收标准》GB50205规定的质量要求的缺陷；</w:t>
      </w:r>
    </w:p>
    <w:p w14:paraId="6A92B5C3">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3  最小焊脚尺寸或最小焊缝长度不符合现行国家标准《钢结构设计标准》GB 50017的规定且焊缝承载力验算不足；</w:t>
      </w:r>
    </w:p>
    <w:p w14:paraId="1AECC7F7">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4  焊缝质量等级或构造要求不符合现行国家标准《钢结构设计标准》GB 50017、《钢结构焊接规范》GB 50661或《钢结构工程施工质量验收标准》GB 50205的规定；</w:t>
      </w:r>
    </w:p>
    <w:p w14:paraId="76EF7F45">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6.2.5  当钢结构构件的单个螺栓或铆钉出现下列变形或损伤之一，影响承载力时，构件的安全性等级可评定为c级或d级：</w:t>
      </w:r>
    </w:p>
    <w:p w14:paraId="406652CA">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1  螺栓或铆钉断裂、 弯曲、松动、脱落、滑移；</w:t>
      </w:r>
    </w:p>
    <w:p w14:paraId="71BF8243">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2  螺栓或铆钉头严重腐蚀；</w:t>
      </w:r>
    </w:p>
    <w:p w14:paraId="20681DE1">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3  连接板出现翘曲或连接板上部分螺栓孔或铆钉孔挤压破坏；</w:t>
      </w:r>
    </w:p>
    <w:p w14:paraId="7C07A5E0">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6.2.6  当节点出现下列状况之一时，构件的安全性等级可评定为d级：</w:t>
      </w:r>
    </w:p>
    <w:p w14:paraId="675F5BB4">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1  连接板严重开裂变形；</w:t>
      </w:r>
    </w:p>
    <w:p w14:paraId="6A9A3379">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2  主要受力加劲肋开裂、屈曲、翘曲或严重变形；</w:t>
      </w:r>
    </w:p>
    <w:p w14:paraId="672E9978">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3  螺栓、节点板或焊缝严重腐蚀；</w:t>
      </w:r>
    </w:p>
    <w:p w14:paraId="5C90311C">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4  螺栓球节点 锥头或封板出现裂缝；</w:t>
      </w:r>
    </w:p>
    <w:p w14:paraId="1DCFE705">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5  焊接球节点表面出现裂缝或明显凹陷；</w:t>
      </w:r>
    </w:p>
    <w:p w14:paraId="59B0C1A9">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6  焊接相贯节点出现裂缝或构件出现可见屈曲变形；</w:t>
      </w:r>
    </w:p>
    <w:p w14:paraId="79A33F0C">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7  铸钢节点出现裂缝；</w:t>
      </w:r>
    </w:p>
    <w:p w14:paraId="3FA1AD16">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8  拉索节点锚具出现裂缝；</w:t>
      </w:r>
    </w:p>
    <w:p w14:paraId="6B26F10B">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9  高强度螺栓摩擦型连接出现滑移变形；</w:t>
      </w:r>
    </w:p>
    <w:p w14:paraId="33A4278C">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10  拉索与锚具间出现可见滑移；</w:t>
      </w:r>
    </w:p>
    <w:p w14:paraId="0EC4AFA0">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6.2.7  钢结构构件的腐蚀项目评定应按表6.2.7-1规定评定等级：</w:t>
      </w:r>
    </w:p>
    <w:p w14:paraId="02D45E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pacing w:val="-3"/>
          <w:sz w:val="21"/>
          <w:szCs w:val="21"/>
          <w:lang w:val="en-US" w:eastAsia="zh-CN"/>
        </w:rPr>
      </w:pPr>
    </w:p>
    <w:p w14:paraId="671B11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pacing w:val="-3"/>
          <w:sz w:val="21"/>
          <w:szCs w:val="21"/>
          <w:lang w:val="en-US" w:eastAsia="zh-CN"/>
        </w:rPr>
      </w:pPr>
    </w:p>
    <w:p w14:paraId="691D77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pacing w:val="-3"/>
          <w:sz w:val="21"/>
          <w:szCs w:val="21"/>
          <w:lang w:val="en-US" w:eastAsia="zh-CN"/>
        </w:rPr>
      </w:pPr>
      <w:r>
        <w:rPr>
          <w:rFonts w:hint="default" w:ascii="Times New Roman" w:hAnsi="Times New Roman" w:eastAsia="宋体" w:cs="Times New Roman"/>
          <w:b/>
          <w:bCs/>
          <w:color w:val="auto"/>
          <w:spacing w:val="-3"/>
          <w:sz w:val="21"/>
          <w:szCs w:val="21"/>
          <w:lang w:val="en-US" w:eastAsia="zh-CN"/>
        </w:rPr>
        <w:t>表6.2.</w:t>
      </w:r>
      <w:r>
        <w:rPr>
          <w:rFonts w:hint="eastAsia" w:ascii="Times New Roman" w:hAnsi="Times New Roman" w:eastAsia="宋体" w:cs="Times New Roman"/>
          <w:b/>
          <w:bCs/>
          <w:color w:val="auto"/>
          <w:spacing w:val="-3"/>
          <w:sz w:val="21"/>
          <w:szCs w:val="21"/>
          <w:lang w:val="en-US" w:eastAsia="zh-CN"/>
        </w:rPr>
        <w:t>7-1</w:t>
      </w:r>
      <w:r>
        <w:rPr>
          <w:rFonts w:hint="default" w:ascii="Times New Roman" w:hAnsi="Times New Roman" w:eastAsia="宋体" w:cs="Times New Roman"/>
          <w:b/>
          <w:bCs/>
          <w:color w:val="auto"/>
          <w:spacing w:val="-3"/>
          <w:sz w:val="21"/>
          <w:szCs w:val="21"/>
          <w:lang w:val="en-US" w:eastAsia="zh-CN"/>
        </w:rPr>
        <w:t xml:space="preserve"> </w:t>
      </w:r>
      <w:r>
        <w:rPr>
          <w:rFonts w:hint="eastAsia" w:ascii="Times New Roman" w:hAnsi="Times New Roman" w:eastAsia="宋体" w:cs="Times New Roman"/>
          <w:b/>
          <w:bCs/>
          <w:color w:val="auto"/>
          <w:spacing w:val="-3"/>
          <w:sz w:val="21"/>
          <w:szCs w:val="21"/>
          <w:lang w:val="en-US" w:eastAsia="zh-CN"/>
        </w:rPr>
        <w:t xml:space="preserve"> </w:t>
      </w:r>
      <w:r>
        <w:rPr>
          <w:rFonts w:hint="default" w:ascii="Times New Roman" w:hAnsi="Times New Roman" w:eastAsia="宋体" w:cs="Times New Roman"/>
          <w:b/>
          <w:bCs/>
          <w:color w:val="auto"/>
          <w:spacing w:val="-3"/>
          <w:sz w:val="21"/>
          <w:szCs w:val="21"/>
          <w:lang w:val="en-US" w:eastAsia="zh-CN"/>
        </w:rPr>
        <w:t>钢结构构件按钢材腐蚀评定使用性等级</w:t>
      </w:r>
    </w:p>
    <w:tbl>
      <w:tblPr>
        <w:tblStyle w:val="56"/>
        <w:tblW w:w="920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56"/>
        <w:gridCol w:w="7649"/>
      </w:tblGrid>
      <w:tr w14:paraId="5DC9E3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jc w:val="center"/>
        </w:trPr>
        <w:tc>
          <w:tcPr>
            <w:tcW w:w="1556" w:type="dxa"/>
            <w:vAlign w:val="center"/>
          </w:tcPr>
          <w:p w14:paraId="39D634EA">
            <w:pPr>
              <w:keepNext w:val="0"/>
              <w:keepLines w:val="0"/>
              <w:pageBreakBefore w:val="0"/>
              <w:widowControl w:val="0"/>
              <w:kinsoku/>
              <w:wordWrap/>
              <w:overflowPunct/>
              <w:topLinePunct w:val="0"/>
              <w:autoSpaceDE/>
              <w:autoSpaceDN/>
              <w:bidi w:val="0"/>
              <w:adjustRightInd/>
              <w:snapToGrid/>
              <w:spacing w:before="170" w:after="170" w:line="240" w:lineRule="auto"/>
              <w:ind w:left="210" w:leftChars="100" w:right="178" w:rightChars="85"/>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评定等级</w:t>
            </w:r>
          </w:p>
        </w:tc>
        <w:tc>
          <w:tcPr>
            <w:tcW w:w="7649" w:type="dxa"/>
            <w:vAlign w:val="center"/>
          </w:tcPr>
          <w:p w14:paraId="4E0C3C00">
            <w:pPr>
              <w:keepNext w:val="0"/>
              <w:keepLines w:val="0"/>
              <w:pageBreakBefore w:val="0"/>
              <w:widowControl w:val="0"/>
              <w:kinsoku/>
              <w:wordWrap/>
              <w:overflowPunct/>
              <w:topLinePunct w:val="0"/>
              <w:autoSpaceDE/>
              <w:autoSpaceDN/>
              <w:bidi w:val="0"/>
              <w:adjustRightInd/>
              <w:snapToGrid/>
              <w:spacing w:before="170" w:after="170" w:line="240" w:lineRule="auto"/>
              <w:ind w:left="210" w:leftChars="100" w:right="178" w:rightChars="85"/>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评定标准</w:t>
            </w:r>
          </w:p>
        </w:tc>
      </w:tr>
      <w:tr w14:paraId="63A939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jc w:val="center"/>
        </w:trPr>
        <w:tc>
          <w:tcPr>
            <w:tcW w:w="1556" w:type="dxa"/>
            <w:vAlign w:val="center"/>
          </w:tcPr>
          <w:p w14:paraId="10359C60">
            <w:pPr>
              <w:keepNext w:val="0"/>
              <w:keepLines w:val="0"/>
              <w:pageBreakBefore w:val="0"/>
              <w:widowControl w:val="0"/>
              <w:kinsoku/>
              <w:wordWrap/>
              <w:overflowPunct/>
              <w:topLinePunct w:val="0"/>
              <w:autoSpaceDE/>
              <w:autoSpaceDN/>
              <w:bidi w:val="0"/>
              <w:adjustRightInd/>
              <w:snapToGrid/>
              <w:spacing w:before="170" w:after="170" w:line="240" w:lineRule="auto"/>
              <w:ind w:left="210" w:leftChars="100" w:right="178" w:rightChars="85"/>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a</w:t>
            </w:r>
          </w:p>
        </w:tc>
        <w:tc>
          <w:tcPr>
            <w:tcW w:w="7649" w:type="dxa"/>
            <w:vAlign w:val="center"/>
          </w:tcPr>
          <w:p w14:paraId="419A8A9E">
            <w:pPr>
              <w:keepNext w:val="0"/>
              <w:keepLines w:val="0"/>
              <w:pageBreakBefore w:val="0"/>
              <w:widowControl w:val="0"/>
              <w:kinsoku/>
              <w:wordWrap/>
              <w:overflowPunct/>
              <w:topLinePunct w:val="0"/>
              <w:autoSpaceDE/>
              <w:autoSpaceDN/>
              <w:bidi w:val="0"/>
              <w:adjustRightInd/>
              <w:snapToGrid/>
              <w:spacing w:before="170" w:after="170" w:line="240" w:lineRule="auto"/>
              <w:ind w:left="210" w:leftChars="100" w:right="178" w:rightChars="85"/>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en-US"/>
              </w:rPr>
              <w:t>钢材表面无腐蚀</w:t>
            </w:r>
          </w:p>
        </w:tc>
      </w:tr>
      <w:tr w14:paraId="75B1DF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jc w:val="center"/>
        </w:trPr>
        <w:tc>
          <w:tcPr>
            <w:tcW w:w="1556" w:type="dxa"/>
            <w:vAlign w:val="center"/>
          </w:tcPr>
          <w:p w14:paraId="4F3857F6">
            <w:pPr>
              <w:keepNext w:val="0"/>
              <w:keepLines w:val="0"/>
              <w:pageBreakBefore w:val="0"/>
              <w:widowControl w:val="0"/>
              <w:kinsoku/>
              <w:wordWrap/>
              <w:overflowPunct/>
              <w:topLinePunct w:val="0"/>
              <w:autoSpaceDE/>
              <w:autoSpaceDN/>
              <w:bidi w:val="0"/>
              <w:adjustRightInd/>
              <w:snapToGrid/>
              <w:spacing w:before="170" w:after="170" w:line="240" w:lineRule="auto"/>
              <w:ind w:left="210" w:leftChars="100" w:right="178" w:rightChars="85"/>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b</w:t>
            </w:r>
          </w:p>
        </w:tc>
        <w:tc>
          <w:tcPr>
            <w:tcW w:w="7649" w:type="dxa"/>
            <w:vAlign w:val="center"/>
          </w:tcPr>
          <w:p w14:paraId="7BB7D1CA">
            <w:pPr>
              <w:keepNext w:val="0"/>
              <w:keepLines w:val="0"/>
              <w:pageBreakBefore w:val="0"/>
              <w:widowControl w:val="0"/>
              <w:kinsoku/>
              <w:wordWrap/>
              <w:overflowPunct/>
              <w:topLinePunct w:val="0"/>
              <w:autoSpaceDE/>
              <w:autoSpaceDN/>
              <w:bidi w:val="0"/>
              <w:adjustRightInd/>
              <w:snapToGrid/>
              <w:spacing w:before="170" w:after="170" w:line="240" w:lineRule="auto"/>
              <w:ind w:left="210" w:leftChars="100" w:right="178" w:rightChars="85"/>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底层有腐蚀，钢材表面呈麻面状腐蚀，平均腐蚀深度超过0.05</w:t>
            </w:r>
            <w:r>
              <w:rPr>
                <w:rFonts w:hint="default" w:ascii="Times New Roman" w:hAnsi="Times New Roman" w:eastAsia="宋体" w:cs="Times New Roman"/>
                <w:i/>
                <w:iCs/>
                <w:strike w:val="0"/>
                <w:dstrike w:val="0"/>
                <w:color w:val="auto"/>
                <w:sz w:val="21"/>
                <w:szCs w:val="21"/>
                <w:lang w:val="en-US" w:eastAsia="en-US"/>
              </w:rPr>
              <w:t>t</w:t>
            </w:r>
            <w:r>
              <w:rPr>
                <w:rFonts w:hint="default" w:ascii="Times New Roman" w:hAnsi="Times New Roman" w:eastAsia="宋体" w:cs="Times New Roman"/>
                <w:i/>
                <w:iCs/>
                <w:strike w:val="0"/>
                <w:dstrike w:val="0"/>
                <w:color w:val="auto"/>
                <w:sz w:val="21"/>
                <w:szCs w:val="21"/>
                <w:vertAlign w:val="subscript"/>
                <w:lang w:val="en-US" w:eastAsia="en-US"/>
              </w:rPr>
              <w:t>p</w:t>
            </w:r>
            <w:r>
              <w:rPr>
                <w:rFonts w:hint="default" w:ascii="Times New Roman" w:hAnsi="Times New Roman" w:eastAsia="宋体" w:cs="Times New Roman"/>
                <w:color w:val="auto"/>
                <w:sz w:val="21"/>
                <w:szCs w:val="21"/>
                <w:lang w:val="en-US" w:eastAsia="en-US"/>
              </w:rPr>
              <w:t>但小于0.1</w:t>
            </w:r>
            <w:r>
              <w:rPr>
                <w:rFonts w:hint="default" w:ascii="Times New Roman" w:hAnsi="Times New Roman" w:eastAsia="宋体" w:cs="Times New Roman"/>
                <w:i/>
                <w:iCs/>
                <w:strike w:val="0"/>
                <w:dstrike w:val="0"/>
                <w:color w:val="auto"/>
                <w:sz w:val="21"/>
                <w:szCs w:val="21"/>
                <w:lang w:val="en-US" w:eastAsia="en-US"/>
              </w:rPr>
              <w:t>t</w:t>
            </w:r>
            <w:r>
              <w:rPr>
                <w:rFonts w:hint="default" w:ascii="Times New Roman" w:hAnsi="Times New Roman" w:eastAsia="宋体" w:cs="Times New Roman"/>
                <w:i/>
                <w:iCs/>
                <w:strike w:val="0"/>
                <w:dstrike w:val="0"/>
                <w:color w:val="auto"/>
                <w:sz w:val="21"/>
                <w:szCs w:val="21"/>
                <w:vertAlign w:val="subscript"/>
                <w:lang w:val="en-US" w:eastAsia="en-US"/>
              </w:rPr>
              <w:t>p</w:t>
            </w:r>
          </w:p>
        </w:tc>
      </w:tr>
      <w:tr w14:paraId="39CC2A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2" w:hRule="atLeast"/>
          <w:jc w:val="center"/>
        </w:trPr>
        <w:tc>
          <w:tcPr>
            <w:tcW w:w="1556" w:type="dxa"/>
            <w:vAlign w:val="center"/>
          </w:tcPr>
          <w:p w14:paraId="0EA23222">
            <w:pPr>
              <w:keepNext w:val="0"/>
              <w:keepLines w:val="0"/>
              <w:pageBreakBefore w:val="0"/>
              <w:widowControl w:val="0"/>
              <w:kinsoku/>
              <w:wordWrap/>
              <w:overflowPunct/>
              <w:topLinePunct w:val="0"/>
              <w:autoSpaceDE/>
              <w:autoSpaceDN/>
              <w:bidi w:val="0"/>
              <w:adjustRightInd/>
              <w:snapToGrid/>
              <w:spacing w:before="170" w:after="170" w:line="240" w:lineRule="auto"/>
              <w:ind w:left="210" w:leftChars="100" w:right="178" w:rightChars="85"/>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w:t>
            </w:r>
          </w:p>
        </w:tc>
        <w:tc>
          <w:tcPr>
            <w:tcW w:w="7649" w:type="dxa"/>
            <w:vAlign w:val="center"/>
          </w:tcPr>
          <w:p w14:paraId="747109B7">
            <w:pPr>
              <w:keepNext w:val="0"/>
              <w:keepLines w:val="0"/>
              <w:pageBreakBefore w:val="0"/>
              <w:widowControl w:val="0"/>
              <w:kinsoku/>
              <w:wordWrap/>
              <w:overflowPunct/>
              <w:topLinePunct w:val="0"/>
              <w:autoSpaceDE/>
              <w:autoSpaceDN/>
              <w:bidi w:val="0"/>
              <w:adjustRightInd/>
              <w:snapToGrid/>
              <w:spacing w:before="170" w:after="170" w:line="240" w:lineRule="auto"/>
              <w:ind w:left="210" w:leftChars="100" w:right="178" w:rightChars="85"/>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钢材严重腐蚀，发生层蚀、坑蚀现象，平均腐蚀深度超过0.1</w:t>
            </w:r>
            <w:r>
              <w:rPr>
                <w:rFonts w:hint="default" w:ascii="Times New Roman" w:hAnsi="Times New Roman" w:eastAsia="宋体" w:cs="Times New Roman"/>
                <w:i/>
                <w:iCs/>
                <w:strike w:val="0"/>
                <w:dstrike w:val="0"/>
                <w:color w:val="auto"/>
                <w:sz w:val="21"/>
                <w:szCs w:val="21"/>
                <w:lang w:val="en-US" w:eastAsia="en-US"/>
              </w:rPr>
              <w:t>t</w:t>
            </w:r>
            <w:r>
              <w:rPr>
                <w:rFonts w:hint="default" w:ascii="Times New Roman" w:hAnsi="Times New Roman" w:eastAsia="宋体" w:cs="Times New Roman"/>
                <w:i/>
                <w:iCs/>
                <w:strike w:val="0"/>
                <w:dstrike w:val="0"/>
                <w:color w:val="auto"/>
                <w:sz w:val="21"/>
                <w:szCs w:val="21"/>
                <w:vertAlign w:val="subscript"/>
                <w:lang w:val="en-US" w:eastAsia="en-US"/>
              </w:rPr>
              <w:t>p</w:t>
            </w:r>
          </w:p>
        </w:tc>
      </w:tr>
    </w:tbl>
    <w:p w14:paraId="50968E34">
      <w:pPr>
        <w:keepNext w:val="0"/>
        <w:keepLines w:val="0"/>
        <w:pageBreakBefore w:val="0"/>
        <w:widowControl w:val="0"/>
        <w:kinsoku/>
        <w:wordWrap/>
        <w:overflowPunct/>
        <w:topLinePunct w:val="0"/>
        <w:autoSpaceDE/>
        <w:autoSpaceDN/>
        <w:bidi w:val="0"/>
        <w:adjustRightInd/>
        <w:snapToGrid/>
        <w:spacing w:line="240" w:lineRule="auto"/>
        <w:ind w:right="178" w:rightChars="85"/>
        <w:jc w:val="both"/>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注：表中</w:t>
      </w:r>
      <w:r>
        <w:rPr>
          <w:rFonts w:hint="eastAsia" w:ascii="Times New Roman" w:hAnsi="Times New Roman" w:eastAsia="宋体" w:cs="Times New Roman"/>
          <w:color w:val="auto"/>
          <w:sz w:val="21"/>
          <w:szCs w:val="21"/>
          <w:lang w:val="en-US" w:eastAsia="en-US"/>
        </w:rPr>
        <w:t>tp</w:t>
      </w:r>
      <w:r>
        <w:rPr>
          <w:rFonts w:hint="eastAsia" w:ascii="Times New Roman" w:hAnsi="Times New Roman" w:eastAsia="宋体" w:cs="Times New Roman"/>
          <w:color w:val="auto"/>
          <w:sz w:val="21"/>
          <w:szCs w:val="21"/>
          <w:lang w:val="en-US" w:eastAsia="zh-CN"/>
        </w:rPr>
        <w:t>为板件厚度。</w:t>
      </w:r>
    </w:p>
    <w:p w14:paraId="34AB85C4">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6.2.8  钢结构构件防火涂层检查项目，应根据防火涂层外观质量、涂层完整性、涂层厚度三个基本项目的最低使用性等级确定，三个基本项目使用性等级应按表6.2.8-1的规定评定。</w:t>
      </w:r>
    </w:p>
    <w:p w14:paraId="3491DE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auto"/>
          <w:spacing w:val="-3"/>
          <w:sz w:val="21"/>
          <w:szCs w:val="21"/>
          <w:lang w:val="en-US" w:eastAsia="zh-CN"/>
        </w:rPr>
      </w:pPr>
      <w:r>
        <w:rPr>
          <w:rFonts w:hint="eastAsia" w:ascii="Times New Roman" w:hAnsi="Times New Roman" w:eastAsia="宋体" w:cs="Times New Roman"/>
          <w:b/>
          <w:bCs/>
          <w:color w:val="auto"/>
          <w:spacing w:val="-3"/>
          <w:sz w:val="21"/>
          <w:szCs w:val="21"/>
          <w:lang w:val="en-US" w:eastAsia="zh-CN"/>
        </w:rPr>
        <w:t>表6.2.8-1  钢结构构件防火涂层评定等级</w:t>
      </w:r>
    </w:p>
    <w:tbl>
      <w:tblPr>
        <w:tblStyle w:val="56"/>
        <w:tblW w:w="945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37"/>
        <w:gridCol w:w="1850"/>
        <w:gridCol w:w="3059"/>
        <w:gridCol w:w="3307"/>
      </w:tblGrid>
      <w:tr w14:paraId="6B8116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tblHeader/>
          <w:jc w:val="center"/>
        </w:trPr>
        <w:tc>
          <w:tcPr>
            <w:tcW w:w="1237" w:type="dxa"/>
            <w:vAlign w:val="center"/>
          </w:tcPr>
          <w:p w14:paraId="1252DF58">
            <w:pPr>
              <w:keepNext w:val="0"/>
              <w:keepLines w:val="0"/>
              <w:pageBreakBefore w:val="0"/>
              <w:widowControl w:val="0"/>
              <w:kinsoku/>
              <w:wordWrap/>
              <w:overflowPunct/>
              <w:topLinePunct w:val="0"/>
              <w:autoSpaceDE/>
              <w:autoSpaceDN/>
              <w:bidi w:val="0"/>
              <w:adjustRightInd/>
              <w:snapToGrid/>
              <w:spacing w:before="170" w:after="170" w:line="240" w:lineRule="auto"/>
              <w:ind w:left="210" w:leftChars="100" w:right="178" w:rightChars="85"/>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评定项目</w:t>
            </w:r>
          </w:p>
        </w:tc>
        <w:tc>
          <w:tcPr>
            <w:tcW w:w="1850" w:type="dxa"/>
            <w:vAlign w:val="center"/>
          </w:tcPr>
          <w:p w14:paraId="4A5E4A6F">
            <w:pPr>
              <w:keepNext w:val="0"/>
              <w:keepLines w:val="0"/>
              <w:pageBreakBefore w:val="0"/>
              <w:widowControl w:val="0"/>
              <w:kinsoku/>
              <w:wordWrap/>
              <w:overflowPunct/>
              <w:topLinePunct w:val="0"/>
              <w:autoSpaceDE/>
              <w:autoSpaceDN/>
              <w:bidi w:val="0"/>
              <w:adjustRightInd/>
              <w:snapToGrid/>
              <w:spacing w:before="170" w:after="170" w:line="240" w:lineRule="auto"/>
              <w:ind w:left="210" w:leftChars="100" w:right="178" w:rightChars="85"/>
              <w:jc w:val="center"/>
              <w:textAlignment w:val="auto"/>
              <w:rPr>
                <w:rFonts w:hint="default" w:ascii="Times New Roman" w:hAnsi="Times New Roman" w:eastAsia="宋体" w:cs="Times New Roman"/>
                <w:b/>
                <w:bCs/>
                <w:i/>
                <w:iCs/>
                <w:strike w:val="0"/>
                <w:dstrike w:val="0"/>
                <w:color w:val="auto"/>
                <w:sz w:val="21"/>
                <w:szCs w:val="21"/>
                <w:lang w:val="en-US" w:eastAsia="zh-CN"/>
              </w:rPr>
            </w:pPr>
            <w:r>
              <w:rPr>
                <w:rFonts w:hint="default" w:ascii="Times New Roman" w:hAnsi="Times New Roman" w:eastAsia="宋体" w:cs="Times New Roman"/>
                <w:b/>
                <w:bCs/>
                <w:color w:val="auto"/>
                <w:sz w:val="21"/>
                <w:szCs w:val="21"/>
                <w:lang w:val="en-US" w:eastAsia="zh-CN"/>
              </w:rPr>
              <w:t>a</w:t>
            </w:r>
          </w:p>
        </w:tc>
        <w:tc>
          <w:tcPr>
            <w:tcW w:w="3059" w:type="dxa"/>
            <w:vAlign w:val="center"/>
          </w:tcPr>
          <w:p w14:paraId="2AB60FAA">
            <w:pPr>
              <w:keepNext w:val="0"/>
              <w:keepLines w:val="0"/>
              <w:pageBreakBefore w:val="0"/>
              <w:widowControl w:val="0"/>
              <w:kinsoku/>
              <w:wordWrap/>
              <w:overflowPunct/>
              <w:topLinePunct w:val="0"/>
              <w:autoSpaceDE/>
              <w:autoSpaceDN/>
              <w:bidi w:val="0"/>
              <w:adjustRightInd/>
              <w:snapToGrid/>
              <w:spacing w:before="170" w:after="170" w:line="240" w:lineRule="auto"/>
              <w:ind w:left="210" w:leftChars="100" w:right="178" w:rightChars="85"/>
              <w:jc w:val="center"/>
              <w:textAlignment w:val="auto"/>
              <w:rPr>
                <w:rFonts w:hint="default" w:ascii="Times New Roman" w:hAnsi="Times New Roman" w:eastAsia="宋体" w:cs="Times New Roman"/>
                <w:b/>
                <w:bCs/>
                <w:i/>
                <w:iCs/>
                <w:strike w:val="0"/>
                <w:dstrike w:val="0"/>
                <w:color w:val="auto"/>
                <w:sz w:val="21"/>
                <w:szCs w:val="21"/>
                <w:lang w:val="en-US" w:eastAsia="zh-CN"/>
              </w:rPr>
            </w:pPr>
            <w:r>
              <w:rPr>
                <w:rFonts w:hint="default" w:ascii="Times New Roman" w:hAnsi="Times New Roman" w:eastAsia="宋体" w:cs="Times New Roman"/>
                <w:b/>
                <w:bCs/>
                <w:color w:val="auto"/>
                <w:sz w:val="21"/>
                <w:szCs w:val="21"/>
                <w:lang w:val="en-US" w:eastAsia="zh-CN"/>
              </w:rPr>
              <w:t>b</w:t>
            </w:r>
          </w:p>
        </w:tc>
        <w:tc>
          <w:tcPr>
            <w:tcW w:w="3307" w:type="dxa"/>
            <w:vAlign w:val="center"/>
          </w:tcPr>
          <w:p w14:paraId="0C04AB36">
            <w:pPr>
              <w:keepNext w:val="0"/>
              <w:keepLines w:val="0"/>
              <w:pageBreakBefore w:val="0"/>
              <w:widowControl w:val="0"/>
              <w:kinsoku/>
              <w:wordWrap/>
              <w:overflowPunct/>
              <w:topLinePunct w:val="0"/>
              <w:autoSpaceDE/>
              <w:autoSpaceDN/>
              <w:bidi w:val="0"/>
              <w:adjustRightInd/>
              <w:snapToGrid/>
              <w:spacing w:before="170" w:after="170" w:line="240" w:lineRule="auto"/>
              <w:ind w:left="210" w:leftChars="100" w:right="178" w:rightChars="85"/>
              <w:jc w:val="center"/>
              <w:textAlignment w:val="auto"/>
              <w:rPr>
                <w:rFonts w:hint="default" w:ascii="Times New Roman" w:hAnsi="Times New Roman" w:eastAsia="宋体" w:cs="Times New Roman"/>
                <w:b/>
                <w:bCs/>
                <w:i/>
                <w:iCs/>
                <w:strike w:val="0"/>
                <w:dstrike w:val="0"/>
                <w:color w:val="auto"/>
                <w:sz w:val="21"/>
                <w:szCs w:val="21"/>
                <w:lang w:val="en-US" w:eastAsia="zh-CN"/>
              </w:rPr>
            </w:pPr>
            <w:r>
              <w:rPr>
                <w:rFonts w:hint="default" w:ascii="Times New Roman" w:hAnsi="Times New Roman" w:eastAsia="宋体" w:cs="Times New Roman"/>
                <w:b/>
                <w:bCs/>
                <w:color w:val="auto"/>
                <w:sz w:val="21"/>
                <w:szCs w:val="21"/>
                <w:lang w:val="en-US" w:eastAsia="zh-CN"/>
              </w:rPr>
              <w:t>c</w:t>
            </w:r>
          </w:p>
        </w:tc>
      </w:tr>
      <w:tr w14:paraId="7674FC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9" w:hRule="atLeast"/>
          <w:jc w:val="center"/>
        </w:trPr>
        <w:tc>
          <w:tcPr>
            <w:tcW w:w="1237" w:type="dxa"/>
            <w:vAlign w:val="center"/>
          </w:tcPr>
          <w:p w14:paraId="086FBF54">
            <w:pPr>
              <w:keepNext w:val="0"/>
              <w:keepLines w:val="0"/>
              <w:pageBreakBefore w:val="0"/>
              <w:widowControl w:val="0"/>
              <w:kinsoku/>
              <w:wordWrap/>
              <w:overflowPunct/>
              <w:topLinePunct w:val="0"/>
              <w:autoSpaceDE/>
              <w:autoSpaceDN/>
              <w:bidi w:val="0"/>
              <w:adjustRightInd/>
              <w:snapToGrid/>
              <w:spacing w:before="10" w:after="10" w:line="240" w:lineRule="auto"/>
              <w:ind w:right="105" w:rightChars="5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外观质量</w:t>
            </w:r>
          </w:p>
        </w:tc>
        <w:tc>
          <w:tcPr>
            <w:tcW w:w="1850" w:type="dxa"/>
            <w:vAlign w:val="center"/>
          </w:tcPr>
          <w:p w14:paraId="7BA7DD2E">
            <w:pPr>
              <w:keepNext w:val="0"/>
              <w:keepLines w:val="0"/>
              <w:pageBreakBefore w:val="0"/>
              <w:widowControl w:val="0"/>
              <w:kinsoku/>
              <w:wordWrap/>
              <w:overflowPunct/>
              <w:topLinePunct w:val="0"/>
              <w:autoSpaceDE/>
              <w:autoSpaceDN/>
              <w:bidi w:val="0"/>
              <w:adjustRightInd/>
              <w:snapToGrid/>
              <w:spacing w:before="10" w:after="10" w:line="240" w:lineRule="auto"/>
              <w:ind w:left="105" w:leftChars="50" w:right="105" w:rightChars="50" w:firstLine="210" w:firstLineChars="1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涂层无空鼓、开裂、脱落、霉变、粉化 等现象</w:t>
            </w:r>
          </w:p>
        </w:tc>
        <w:tc>
          <w:tcPr>
            <w:tcW w:w="3059" w:type="dxa"/>
            <w:vAlign w:val="center"/>
          </w:tcPr>
          <w:p w14:paraId="1805A2FF">
            <w:pPr>
              <w:keepNext w:val="0"/>
              <w:keepLines w:val="0"/>
              <w:pageBreakBefore w:val="0"/>
              <w:widowControl w:val="0"/>
              <w:kinsoku/>
              <w:wordWrap/>
              <w:overflowPunct/>
              <w:topLinePunct w:val="0"/>
              <w:autoSpaceDE/>
              <w:autoSpaceDN/>
              <w:bidi w:val="0"/>
              <w:adjustRightInd/>
              <w:snapToGrid/>
              <w:spacing w:before="10" w:after="10" w:line="240" w:lineRule="auto"/>
              <w:ind w:left="105" w:leftChars="50" w:right="105" w:rightChars="50" w:firstLine="210" w:firstLineChars="1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涂层局部开裂，薄型涂料涂层裂纹宽度不大于0.5mm</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厚型涂料涂层裂纹宽度不大于1.0mm</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边缘局部脱落，对 防火性能无明显影响</w:t>
            </w:r>
          </w:p>
        </w:tc>
        <w:tc>
          <w:tcPr>
            <w:tcW w:w="3307" w:type="dxa"/>
            <w:vAlign w:val="center"/>
          </w:tcPr>
          <w:p w14:paraId="69EF0DCC">
            <w:pPr>
              <w:keepNext w:val="0"/>
              <w:keepLines w:val="0"/>
              <w:pageBreakBefore w:val="0"/>
              <w:widowControl w:val="0"/>
              <w:kinsoku/>
              <w:wordWrap/>
              <w:overflowPunct/>
              <w:topLinePunct w:val="0"/>
              <w:autoSpaceDE/>
              <w:autoSpaceDN/>
              <w:bidi w:val="0"/>
              <w:adjustRightInd/>
              <w:snapToGrid/>
              <w:spacing w:before="10" w:after="10" w:line="240" w:lineRule="auto"/>
              <w:ind w:left="105" w:leftChars="50" w:right="105" w:rightChars="50" w:firstLine="210" w:firstLineChars="1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涂层开裂，薄型 涂料涂层裂纹宽度 大于0.5mm</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厚型涂料涂层裂纹宽度 大于1.0mm</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重点防火区域涂层局部脱落</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对结构防火性能产生明显影响</w:t>
            </w:r>
          </w:p>
        </w:tc>
      </w:tr>
      <w:tr w14:paraId="5AA43A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4" w:hRule="atLeast"/>
          <w:jc w:val="center"/>
        </w:trPr>
        <w:tc>
          <w:tcPr>
            <w:tcW w:w="1237" w:type="dxa"/>
            <w:vAlign w:val="center"/>
          </w:tcPr>
          <w:p w14:paraId="37B7B252">
            <w:pPr>
              <w:keepNext w:val="0"/>
              <w:keepLines w:val="0"/>
              <w:pageBreakBefore w:val="0"/>
              <w:widowControl w:val="0"/>
              <w:kinsoku/>
              <w:wordWrap/>
              <w:overflowPunct/>
              <w:topLinePunct w:val="0"/>
              <w:autoSpaceDE/>
              <w:autoSpaceDN/>
              <w:bidi w:val="0"/>
              <w:adjustRightInd/>
              <w:snapToGrid/>
              <w:spacing w:before="10" w:after="10" w:line="240" w:lineRule="auto"/>
              <w:ind w:right="105" w:rightChars="5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涂层完整性</w:t>
            </w:r>
          </w:p>
        </w:tc>
        <w:tc>
          <w:tcPr>
            <w:tcW w:w="1850" w:type="dxa"/>
            <w:vAlign w:val="center"/>
          </w:tcPr>
          <w:p w14:paraId="4C10F69E">
            <w:pPr>
              <w:keepNext w:val="0"/>
              <w:keepLines w:val="0"/>
              <w:pageBreakBefore w:val="0"/>
              <w:widowControl w:val="0"/>
              <w:kinsoku/>
              <w:wordWrap/>
              <w:overflowPunct/>
              <w:topLinePunct w:val="0"/>
              <w:autoSpaceDE/>
              <w:autoSpaceDN/>
              <w:bidi w:val="0"/>
              <w:adjustRightInd/>
              <w:snapToGrid/>
              <w:spacing w:before="10" w:after="10" w:line="240" w:lineRule="auto"/>
              <w:ind w:left="105" w:leftChars="50" w:right="105" w:rightChars="50" w:firstLine="210" w:firstLineChars="1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涂层完整</w:t>
            </w:r>
          </w:p>
        </w:tc>
        <w:tc>
          <w:tcPr>
            <w:tcW w:w="3059" w:type="dxa"/>
            <w:vAlign w:val="center"/>
          </w:tcPr>
          <w:p w14:paraId="7A643D1C">
            <w:pPr>
              <w:keepNext w:val="0"/>
              <w:keepLines w:val="0"/>
              <w:pageBreakBefore w:val="0"/>
              <w:widowControl w:val="0"/>
              <w:kinsoku/>
              <w:wordWrap/>
              <w:overflowPunct/>
              <w:topLinePunct w:val="0"/>
              <w:autoSpaceDE/>
              <w:autoSpaceDN/>
              <w:bidi w:val="0"/>
              <w:adjustRightInd/>
              <w:snapToGrid/>
              <w:spacing w:before="10" w:after="10" w:line="240" w:lineRule="auto"/>
              <w:ind w:right="105" w:rightChars="5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涂层完整程度达到70%</w:t>
            </w:r>
          </w:p>
        </w:tc>
        <w:tc>
          <w:tcPr>
            <w:tcW w:w="3307" w:type="dxa"/>
            <w:vAlign w:val="center"/>
          </w:tcPr>
          <w:p w14:paraId="2B9DFDFE">
            <w:pPr>
              <w:keepNext w:val="0"/>
              <w:keepLines w:val="0"/>
              <w:pageBreakBefore w:val="0"/>
              <w:widowControl w:val="0"/>
              <w:kinsoku/>
              <w:wordWrap/>
              <w:overflowPunct/>
              <w:topLinePunct w:val="0"/>
              <w:autoSpaceDE/>
              <w:autoSpaceDN/>
              <w:bidi w:val="0"/>
              <w:adjustRightInd/>
              <w:snapToGrid/>
              <w:spacing w:before="10" w:after="10" w:line="240" w:lineRule="auto"/>
              <w:ind w:right="105" w:rightChars="5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涂层完整程度低于</w:t>
            </w:r>
            <w:r>
              <w:rPr>
                <w:rFonts w:hint="default" w:ascii="Times New Roman" w:hAnsi="Times New Roman" w:eastAsia="宋体" w:cs="Times New Roman"/>
                <w:color w:val="auto"/>
                <w:sz w:val="21"/>
                <w:szCs w:val="21"/>
                <w:lang w:val="en-US" w:eastAsia="zh-CN"/>
              </w:rPr>
              <w:t>70</w:t>
            </w:r>
            <w:r>
              <w:rPr>
                <w:rFonts w:hint="default" w:ascii="Times New Roman" w:hAnsi="Times New Roman" w:eastAsia="宋体" w:cs="Times New Roman"/>
                <w:color w:val="auto"/>
                <w:sz w:val="21"/>
                <w:szCs w:val="21"/>
              </w:rPr>
              <w:t>%</w:t>
            </w:r>
          </w:p>
        </w:tc>
      </w:tr>
      <w:tr w14:paraId="473C0C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1" w:hRule="atLeast"/>
          <w:jc w:val="center"/>
        </w:trPr>
        <w:tc>
          <w:tcPr>
            <w:tcW w:w="1237" w:type="dxa"/>
            <w:shd w:val="clear" w:color="auto" w:fill="auto"/>
            <w:vAlign w:val="center"/>
          </w:tcPr>
          <w:p w14:paraId="499A0CFA">
            <w:pPr>
              <w:keepNext w:val="0"/>
              <w:keepLines w:val="0"/>
              <w:pageBreakBefore w:val="0"/>
              <w:widowControl w:val="0"/>
              <w:kinsoku/>
              <w:wordWrap/>
              <w:overflowPunct/>
              <w:topLinePunct w:val="0"/>
              <w:autoSpaceDE/>
              <w:autoSpaceDN/>
              <w:bidi w:val="0"/>
              <w:adjustRightInd/>
              <w:snapToGrid/>
              <w:spacing w:before="10" w:after="10" w:line="240" w:lineRule="auto"/>
              <w:ind w:right="105" w:rightChars="5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rPr>
              <w:t>涂层厚度</w:t>
            </w:r>
          </w:p>
        </w:tc>
        <w:tc>
          <w:tcPr>
            <w:tcW w:w="1850" w:type="dxa"/>
            <w:shd w:val="clear" w:color="auto" w:fill="auto"/>
            <w:vAlign w:val="center"/>
          </w:tcPr>
          <w:p w14:paraId="1EF345B6">
            <w:pPr>
              <w:keepNext w:val="0"/>
              <w:keepLines w:val="0"/>
              <w:pageBreakBefore w:val="0"/>
              <w:widowControl w:val="0"/>
              <w:kinsoku/>
              <w:wordWrap/>
              <w:overflowPunct/>
              <w:topLinePunct w:val="0"/>
              <w:autoSpaceDE/>
              <w:autoSpaceDN/>
              <w:bidi w:val="0"/>
              <w:adjustRightInd/>
              <w:snapToGrid/>
              <w:spacing w:before="10" w:after="10" w:line="240" w:lineRule="auto"/>
              <w:ind w:right="105" w:rightChars="5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rPr>
              <w:t>厚度符合设计要求</w:t>
            </w:r>
          </w:p>
        </w:tc>
        <w:tc>
          <w:tcPr>
            <w:tcW w:w="3059" w:type="dxa"/>
            <w:shd w:val="clear" w:color="auto" w:fill="auto"/>
            <w:vAlign w:val="center"/>
          </w:tcPr>
          <w:p w14:paraId="49EB95C6">
            <w:pPr>
              <w:keepNext w:val="0"/>
              <w:keepLines w:val="0"/>
              <w:pageBreakBefore w:val="0"/>
              <w:widowControl w:val="0"/>
              <w:kinsoku/>
              <w:wordWrap/>
              <w:overflowPunct/>
              <w:topLinePunct w:val="0"/>
              <w:autoSpaceDE/>
              <w:autoSpaceDN/>
              <w:bidi w:val="0"/>
              <w:adjustRightInd/>
              <w:snapToGrid/>
              <w:spacing w:before="10" w:after="10" w:line="240" w:lineRule="auto"/>
              <w:ind w:left="105" w:leftChars="50" w:right="105" w:rightChars="50" w:firstLine="210" w:firstLineChars="100"/>
              <w:jc w:val="left"/>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rPr>
              <w:t>厚度小于设计要求，但小于设计厚度的测点数不大于10%</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且测点处实测厚度不小于设计厚度的90%</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厚涂型防火涂料涂层，厚度小于设计 厚度的面积不大于20%</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且最薄处厚度不小于设计厚度的85%</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厚度不足部位的连续长度不大于1m</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并在5m 范围内无类似情况</w:t>
            </w:r>
          </w:p>
        </w:tc>
        <w:tc>
          <w:tcPr>
            <w:tcW w:w="3307" w:type="dxa"/>
            <w:shd w:val="clear" w:color="auto" w:fill="auto"/>
            <w:vAlign w:val="center"/>
          </w:tcPr>
          <w:p w14:paraId="2FEA46EB">
            <w:pPr>
              <w:keepNext w:val="0"/>
              <w:keepLines w:val="0"/>
              <w:pageBreakBefore w:val="0"/>
              <w:widowControl w:val="0"/>
              <w:kinsoku/>
              <w:wordWrap/>
              <w:overflowPunct/>
              <w:topLinePunct w:val="0"/>
              <w:autoSpaceDE/>
              <w:autoSpaceDN/>
              <w:bidi w:val="0"/>
              <w:adjustRightInd/>
              <w:snapToGrid/>
              <w:spacing w:before="10" w:after="10" w:line="240" w:lineRule="auto"/>
              <w:ind w:left="105" w:leftChars="50" w:right="105" w:rightChars="50" w:firstLine="210" w:firstLineChars="10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rPr>
              <w:t>达不到b级的要求</w:t>
            </w:r>
          </w:p>
        </w:tc>
      </w:tr>
    </w:tbl>
    <w:p w14:paraId="61FE6EEC">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cs="Times New Roman"/>
          <w:color w:val="auto"/>
          <w:sz w:val="24"/>
          <w:szCs w:val="24"/>
          <w:highlight w:val="none"/>
          <w:lang w:val="en-US" w:eastAsia="zh-CN"/>
        </w:rPr>
      </w:pPr>
      <w:bookmarkStart w:id="49" w:name="bookmark19"/>
      <w:bookmarkEnd w:id="49"/>
      <w:r>
        <w:rPr>
          <w:rFonts w:hint="eastAsia" w:ascii="Times New Roman" w:hAnsi="Times New Roman" w:cs="Times New Roman"/>
          <w:color w:val="auto"/>
          <w:sz w:val="24"/>
          <w:szCs w:val="24"/>
          <w:highlight w:val="none"/>
          <w:lang w:val="en-US" w:eastAsia="zh-CN"/>
        </w:rPr>
        <w:t>6.2.9  钢结构防腐涂层或外包裹防护质量检查项目，应根据涂层外观质量、涂层完整性、涂层厚度、外包裹防护四个基本项目的最低耐久性等级确定，四个基本项目的使用性等级应按表6.2.9-1的规定评定。</w:t>
      </w:r>
    </w:p>
    <w:p w14:paraId="532992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pacing w:val="-3"/>
          <w:sz w:val="21"/>
          <w:szCs w:val="21"/>
          <w:lang w:val="en-US" w:eastAsia="zh-CN"/>
        </w:rPr>
      </w:pPr>
      <w:r>
        <w:rPr>
          <w:rFonts w:hint="eastAsia" w:ascii="Times New Roman" w:hAnsi="Times New Roman" w:eastAsia="宋体" w:cs="Times New Roman"/>
          <w:b/>
          <w:bCs/>
          <w:color w:val="auto"/>
          <w:spacing w:val="-3"/>
          <w:sz w:val="21"/>
          <w:szCs w:val="21"/>
          <w:lang w:val="en-US" w:eastAsia="zh-CN"/>
        </w:rPr>
        <w:t>表6.2.9-1  钢结构构件防腐涂层或外包裹防护评定等级</w:t>
      </w:r>
    </w:p>
    <w:tbl>
      <w:tblPr>
        <w:tblStyle w:val="56"/>
        <w:tblW w:w="945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11"/>
        <w:gridCol w:w="2580"/>
        <w:gridCol w:w="2580"/>
        <w:gridCol w:w="2782"/>
      </w:tblGrid>
      <w:tr w14:paraId="4DA456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tblHeader/>
          <w:jc w:val="center"/>
        </w:trPr>
        <w:tc>
          <w:tcPr>
            <w:tcW w:w="1511" w:type="dxa"/>
            <w:vAlign w:val="center"/>
          </w:tcPr>
          <w:p w14:paraId="58360FEE">
            <w:pPr>
              <w:keepNext w:val="0"/>
              <w:keepLines w:val="0"/>
              <w:pageBreakBefore w:val="0"/>
              <w:widowControl w:val="0"/>
              <w:kinsoku/>
              <w:wordWrap/>
              <w:overflowPunct/>
              <w:topLinePunct w:val="0"/>
              <w:autoSpaceDE/>
              <w:autoSpaceDN/>
              <w:bidi w:val="0"/>
              <w:adjustRightInd/>
              <w:snapToGrid/>
              <w:spacing w:before="170" w:after="170" w:line="240" w:lineRule="auto"/>
              <w:ind w:left="210" w:leftChars="100" w:right="178" w:rightChars="85"/>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评定项目</w:t>
            </w:r>
          </w:p>
        </w:tc>
        <w:tc>
          <w:tcPr>
            <w:tcW w:w="2580" w:type="dxa"/>
            <w:vAlign w:val="center"/>
          </w:tcPr>
          <w:p w14:paraId="260DC957">
            <w:pPr>
              <w:keepNext w:val="0"/>
              <w:keepLines w:val="0"/>
              <w:pageBreakBefore w:val="0"/>
              <w:widowControl w:val="0"/>
              <w:kinsoku/>
              <w:wordWrap/>
              <w:overflowPunct/>
              <w:topLinePunct w:val="0"/>
              <w:autoSpaceDE/>
              <w:autoSpaceDN/>
              <w:bidi w:val="0"/>
              <w:adjustRightInd/>
              <w:snapToGrid/>
              <w:spacing w:before="170" w:after="170" w:line="240" w:lineRule="auto"/>
              <w:ind w:left="210" w:leftChars="100" w:right="178" w:rightChars="85"/>
              <w:jc w:val="center"/>
              <w:textAlignment w:val="auto"/>
              <w:rPr>
                <w:rFonts w:hint="default" w:ascii="Times New Roman" w:hAnsi="Times New Roman" w:eastAsia="宋体" w:cs="Times New Roman"/>
                <w:b/>
                <w:bCs/>
                <w:i/>
                <w:iCs/>
                <w:strike w:val="0"/>
                <w:dstrike w:val="0"/>
                <w:color w:val="auto"/>
                <w:sz w:val="21"/>
                <w:szCs w:val="21"/>
                <w:lang w:val="en-US" w:eastAsia="zh-CN"/>
              </w:rPr>
            </w:pPr>
            <w:r>
              <w:rPr>
                <w:rFonts w:hint="default" w:ascii="Times New Roman" w:hAnsi="Times New Roman" w:eastAsia="宋体" w:cs="Times New Roman"/>
                <w:b/>
                <w:bCs/>
                <w:color w:val="auto"/>
                <w:sz w:val="21"/>
                <w:szCs w:val="21"/>
                <w:lang w:val="en-US" w:eastAsia="zh-CN"/>
              </w:rPr>
              <w:t>a</w:t>
            </w:r>
          </w:p>
        </w:tc>
        <w:tc>
          <w:tcPr>
            <w:tcW w:w="2580" w:type="dxa"/>
            <w:vAlign w:val="center"/>
          </w:tcPr>
          <w:p w14:paraId="06BE4794">
            <w:pPr>
              <w:keepNext w:val="0"/>
              <w:keepLines w:val="0"/>
              <w:pageBreakBefore w:val="0"/>
              <w:widowControl w:val="0"/>
              <w:kinsoku/>
              <w:wordWrap/>
              <w:overflowPunct/>
              <w:topLinePunct w:val="0"/>
              <w:autoSpaceDE/>
              <w:autoSpaceDN/>
              <w:bidi w:val="0"/>
              <w:adjustRightInd/>
              <w:snapToGrid/>
              <w:spacing w:before="170" w:after="170" w:line="240" w:lineRule="auto"/>
              <w:ind w:left="210" w:leftChars="100" w:right="178" w:rightChars="85"/>
              <w:jc w:val="center"/>
              <w:textAlignment w:val="auto"/>
              <w:rPr>
                <w:rFonts w:hint="default" w:ascii="Times New Roman" w:hAnsi="Times New Roman" w:eastAsia="宋体" w:cs="Times New Roman"/>
                <w:b/>
                <w:bCs/>
                <w:i/>
                <w:iCs/>
                <w:strike w:val="0"/>
                <w:dstrike w:val="0"/>
                <w:color w:val="auto"/>
                <w:sz w:val="21"/>
                <w:szCs w:val="21"/>
                <w:lang w:val="en-US" w:eastAsia="zh-CN"/>
              </w:rPr>
            </w:pPr>
            <w:r>
              <w:rPr>
                <w:rFonts w:hint="default" w:ascii="Times New Roman" w:hAnsi="Times New Roman" w:eastAsia="宋体" w:cs="Times New Roman"/>
                <w:b/>
                <w:bCs/>
                <w:color w:val="auto"/>
                <w:sz w:val="21"/>
                <w:szCs w:val="21"/>
                <w:lang w:val="en-US" w:eastAsia="zh-CN"/>
              </w:rPr>
              <w:t>b</w:t>
            </w:r>
          </w:p>
        </w:tc>
        <w:tc>
          <w:tcPr>
            <w:tcW w:w="2782" w:type="dxa"/>
            <w:vAlign w:val="center"/>
          </w:tcPr>
          <w:p w14:paraId="4306113D">
            <w:pPr>
              <w:keepNext w:val="0"/>
              <w:keepLines w:val="0"/>
              <w:pageBreakBefore w:val="0"/>
              <w:widowControl w:val="0"/>
              <w:kinsoku/>
              <w:wordWrap/>
              <w:overflowPunct/>
              <w:topLinePunct w:val="0"/>
              <w:autoSpaceDE/>
              <w:autoSpaceDN/>
              <w:bidi w:val="0"/>
              <w:adjustRightInd/>
              <w:snapToGrid/>
              <w:spacing w:before="170" w:after="170" w:line="240" w:lineRule="auto"/>
              <w:ind w:left="210" w:leftChars="100" w:right="178" w:rightChars="85"/>
              <w:jc w:val="center"/>
              <w:textAlignment w:val="auto"/>
              <w:rPr>
                <w:rFonts w:hint="default" w:ascii="Times New Roman" w:hAnsi="Times New Roman" w:eastAsia="宋体" w:cs="Times New Roman"/>
                <w:b/>
                <w:bCs/>
                <w:i/>
                <w:iCs/>
                <w:strike w:val="0"/>
                <w:dstrike w:val="0"/>
                <w:color w:val="auto"/>
                <w:sz w:val="21"/>
                <w:szCs w:val="21"/>
                <w:lang w:val="en-US" w:eastAsia="zh-CN"/>
              </w:rPr>
            </w:pPr>
            <w:r>
              <w:rPr>
                <w:rFonts w:hint="default" w:ascii="Times New Roman" w:hAnsi="Times New Roman" w:eastAsia="宋体" w:cs="Times New Roman"/>
                <w:b/>
                <w:bCs/>
                <w:color w:val="auto"/>
                <w:sz w:val="21"/>
                <w:szCs w:val="21"/>
                <w:lang w:val="en-US" w:eastAsia="zh-CN"/>
              </w:rPr>
              <w:t>c</w:t>
            </w:r>
          </w:p>
        </w:tc>
      </w:tr>
      <w:tr w14:paraId="082BF6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97" w:hRule="atLeast"/>
          <w:jc w:val="center"/>
        </w:trPr>
        <w:tc>
          <w:tcPr>
            <w:tcW w:w="1511" w:type="dxa"/>
            <w:vAlign w:val="center"/>
          </w:tcPr>
          <w:p w14:paraId="058B37A1">
            <w:pPr>
              <w:keepNext w:val="0"/>
              <w:keepLines w:val="0"/>
              <w:pageBreakBefore w:val="0"/>
              <w:widowControl w:val="0"/>
              <w:kinsoku/>
              <w:wordWrap/>
              <w:overflowPunct/>
              <w:topLinePunct w:val="0"/>
              <w:autoSpaceDE/>
              <w:autoSpaceDN/>
              <w:bidi w:val="0"/>
              <w:adjustRightInd/>
              <w:snapToGrid/>
              <w:spacing w:line="240" w:lineRule="auto"/>
              <w:ind w:left="210" w:leftChars="100" w:right="178" w:rightChars="85"/>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en-US"/>
              </w:rPr>
              <w:t>防腐涂层外观质量</w:t>
            </w:r>
          </w:p>
        </w:tc>
        <w:tc>
          <w:tcPr>
            <w:tcW w:w="2580" w:type="dxa"/>
            <w:vAlign w:val="center"/>
          </w:tcPr>
          <w:p w14:paraId="247C70C5">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210" w:firstLineChars="1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en-US"/>
              </w:rPr>
              <w:t>涂层无皱皮、流坠、针眼、漏点、气泡、空鼓、脱层；无变色、粉化、霉变、起泡、开裂、脱落，构件无生锈</w:t>
            </w:r>
          </w:p>
        </w:tc>
        <w:tc>
          <w:tcPr>
            <w:tcW w:w="2580" w:type="dxa"/>
            <w:vAlign w:val="center"/>
          </w:tcPr>
          <w:p w14:paraId="15092A78">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210" w:firstLineChars="1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en-US"/>
              </w:rPr>
              <w:t>涂层有变色、失光，起微泡面积小于50%</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en-US"/>
              </w:rPr>
              <w:t>局部有粉化、开裂和脱落，构件轻微点蚀</w:t>
            </w:r>
          </w:p>
        </w:tc>
        <w:tc>
          <w:tcPr>
            <w:tcW w:w="2782" w:type="dxa"/>
            <w:vAlign w:val="center"/>
          </w:tcPr>
          <w:p w14:paraId="1BA4E4AF">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210" w:firstLineChars="1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en-US"/>
              </w:rPr>
              <w:t>涂层严重变色、失光，起微泡面积超过50%并有大泡，出现大面积粉化、开裂和脱落，涂层大面积失效，构件腐蚀</w:t>
            </w:r>
          </w:p>
        </w:tc>
      </w:tr>
      <w:tr w14:paraId="7863E1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9" w:hRule="atLeast"/>
          <w:jc w:val="center"/>
        </w:trPr>
        <w:tc>
          <w:tcPr>
            <w:tcW w:w="1511" w:type="dxa"/>
            <w:vAlign w:val="center"/>
          </w:tcPr>
          <w:p w14:paraId="4409D34C">
            <w:pPr>
              <w:keepNext w:val="0"/>
              <w:keepLines w:val="0"/>
              <w:pageBreakBefore w:val="0"/>
              <w:widowControl w:val="0"/>
              <w:kinsoku/>
              <w:wordWrap/>
              <w:overflowPunct/>
              <w:topLinePunct w:val="0"/>
              <w:autoSpaceDE/>
              <w:autoSpaceDN/>
              <w:bidi w:val="0"/>
              <w:adjustRightInd/>
              <w:snapToGrid/>
              <w:spacing w:line="240" w:lineRule="auto"/>
              <w:ind w:left="210" w:leftChars="100" w:right="178" w:rightChars="85"/>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en-US"/>
              </w:rPr>
              <w:t>涂层完整性</w:t>
            </w:r>
          </w:p>
        </w:tc>
        <w:tc>
          <w:tcPr>
            <w:tcW w:w="2580" w:type="dxa"/>
            <w:vAlign w:val="center"/>
          </w:tcPr>
          <w:p w14:paraId="6EB73DB1">
            <w:pPr>
              <w:keepNext w:val="0"/>
              <w:keepLines w:val="0"/>
              <w:pageBreakBefore w:val="0"/>
              <w:widowControl w:val="0"/>
              <w:kinsoku/>
              <w:wordWrap/>
              <w:overflowPunct/>
              <w:topLinePunct w:val="0"/>
              <w:autoSpaceDE/>
              <w:autoSpaceDN/>
              <w:bidi w:val="0"/>
              <w:adjustRightInd/>
              <w:snapToGrid/>
              <w:spacing w:line="240" w:lineRule="auto"/>
              <w:ind w:left="107" w:leftChars="38" w:right="105" w:rightChars="50" w:hanging="27" w:hangingChars="13"/>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en-US"/>
              </w:rPr>
              <w:t>涂层完整</w:t>
            </w:r>
          </w:p>
        </w:tc>
        <w:tc>
          <w:tcPr>
            <w:tcW w:w="2580" w:type="dxa"/>
            <w:vAlign w:val="center"/>
          </w:tcPr>
          <w:p w14:paraId="438A8E53">
            <w:pPr>
              <w:keepNext w:val="0"/>
              <w:keepLines w:val="0"/>
              <w:pageBreakBefore w:val="0"/>
              <w:widowControl w:val="0"/>
              <w:kinsoku/>
              <w:wordWrap/>
              <w:overflowPunct/>
              <w:topLinePunct w:val="0"/>
              <w:autoSpaceDE/>
              <w:autoSpaceDN/>
              <w:bidi w:val="0"/>
              <w:adjustRightInd/>
              <w:snapToGrid/>
              <w:spacing w:line="240" w:lineRule="auto"/>
              <w:ind w:right="105" w:rightChars="5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en-US"/>
              </w:rPr>
              <w:t>涂层完整程度不低于70%</w:t>
            </w:r>
          </w:p>
        </w:tc>
        <w:tc>
          <w:tcPr>
            <w:tcW w:w="2782" w:type="dxa"/>
            <w:vAlign w:val="center"/>
          </w:tcPr>
          <w:p w14:paraId="1AA73E19">
            <w:pPr>
              <w:keepNext w:val="0"/>
              <w:keepLines w:val="0"/>
              <w:pageBreakBefore w:val="0"/>
              <w:widowControl w:val="0"/>
              <w:kinsoku/>
              <w:wordWrap/>
              <w:overflowPunct/>
              <w:topLinePunct w:val="0"/>
              <w:autoSpaceDE/>
              <w:autoSpaceDN/>
              <w:bidi w:val="0"/>
              <w:adjustRightInd/>
              <w:snapToGrid/>
              <w:spacing w:line="240" w:lineRule="auto"/>
              <w:ind w:right="105" w:rightChars="5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en-US"/>
              </w:rPr>
              <w:t>涂层完整程度低于70%</w:t>
            </w:r>
          </w:p>
        </w:tc>
      </w:tr>
      <w:tr w14:paraId="676F1D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61" w:hRule="atLeast"/>
          <w:jc w:val="center"/>
        </w:trPr>
        <w:tc>
          <w:tcPr>
            <w:tcW w:w="1511" w:type="dxa"/>
            <w:shd w:val="clear" w:color="auto" w:fill="auto"/>
            <w:vAlign w:val="center"/>
          </w:tcPr>
          <w:p w14:paraId="0BF0E5D3">
            <w:pPr>
              <w:keepNext w:val="0"/>
              <w:keepLines w:val="0"/>
              <w:pageBreakBefore w:val="0"/>
              <w:widowControl w:val="0"/>
              <w:tabs>
                <w:tab w:val="left" w:pos="1050"/>
              </w:tabs>
              <w:kinsoku/>
              <w:wordWrap/>
              <w:overflowPunct/>
              <w:topLinePunct w:val="0"/>
              <w:autoSpaceDE/>
              <w:autoSpaceDN/>
              <w:bidi w:val="0"/>
              <w:adjustRightInd/>
              <w:snapToGrid/>
              <w:spacing w:line="240" w:lineRule="auto"/>
              <w:ind w:left="210" w:leftChars="100" w:right="178" w:rightChars="85"/>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涂层厚度</w:t>
            </w:r>
          </w:p>
        </w:tc>
        <w:tc>
          <w:tcPr>
            <w:tcW w:w="2580" w:type="dxa"/>
            <w:shd w:val="clear" w:color="auto" w:fill="auto"/>
            <w:vAlign w:val="center"/>
          </w:tcPr>
          <w:p w14:paraId="6EB49A71">
            <w:pPr>
              <w:keepNext w:val="0"/>
              <w:keepLines w:val="0"/>
              <w:pageBreakBefore w:val="0"/>
              <w:widowControl w:val="0"/>
              <w:kinsoku/>
              <w:wordWrap/>
              <w:overflowPunct/>
              <w:topLinePunct w:val="0"/>
              <w:autoSpaceDE/>
              <w:autoSpaceDN/>
              <w:bidi w:val="0"/>
              <w:adjustRightInd/>
              <w:snapToGrid/>
              <w:spacing w:line="240" w:lineRule="auto"/>
              <w:ind w:right="105" w:rightChars="5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厚度符合设计要求</w:t>
            </w:r>
          </w:p>
        </w:tc>
        <w:tc>
          <w:tcPr>
            <w:tcW w:w="2580" w:type="dxa"/>
            <w:shd w:val="clear" w:color="auto" w:fill="auto"/>
            <w:vAlign w:val="center"/>
          </w:tcPr>
          <w:p w14:paraId="4CED52BD">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210" w:firstLineChars="100"/>
              <w:jc w:val="left"/>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厚度小于设计要求，但小于设计厚度 的测点数不大于10%</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en-US"/>
              </w:rPr>
              <w:t>且测点处实测厚度不小于设计厚度的90%</w:t>
            </w:r>
          </w:p>
        </w:tc>
        <w:tc>
          <w:tcPr>
            <w:tcW w:w="2782" w:type="dxa"/>
            <w:shd w:val="clear" w:color="auto" w:fill="auto"/>
            <w:vAlign w:val="center"/>
          </w:tcPr>
          <w:p w14:paraId="1C3326CA">
            <w:pPr>
              <w:keepNext w:val="0"/>
              <w:keepLines w:val="0"/>
              <w:pageBreakBefore w:val="0"/>
              <w:widowControl w:val="0"/>
              <w:kinsoku/>
              <w:wordWrap/>
              <w:overflowPunct/>
              <w:topLinePunct w:val="0"/>
              <w:autoSpaceDE/>
              <w:autoSpaceDN/>
              <w:bidi w:val="0"/>
              <w:adjustRightInd/>
              <w:snapToGrid/>
              <w:spacing w:line="240" w:lineRule="auto"/>
              <w:ind w:right="105" w:rightChars="50"/>
              <w:jc w:val="center"/>
              <w:textAlignment w:val="auto"/>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达不到b级的要求</w:t>
            </w:r>
          </w:p>
        </w:tc>
      </w:tr>
      <w:tr w14:paraId="5C1A74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5" w:hRule="atLeast"/>
          <w:jc w:val="center"/>
        </w:trPr>
        <w:tc>
          <w:tcPr>
            <w:tcW w:w="1511" w:type="dxa"/>
            <w:shd w:val="clear" w:color="auto" w:fill="auto"/>
            <w:vAlign w:val="center"/>
          </w:tcPr>
          <w:p w14:paraId="297342FC">
            <w:pPr>
              <w:keepNext w:val="0"/>
              <w:keepLines w:val="0"/>
              <w:pageBreakBefore w:val="0"/>
              <w:widowControl w:val="0"/>
              <w:tabs>
                <w:tab w:val="left" w:pos="1050"/>
              </w:tabs>
              <w:kinsoku/>
              <w:wordWrap/>
              <w:overflowPunct/>
              <w:topLinePunct w:val="0"/>
              <w:autoSpaceDE/>
              <w:autoSpaceDN/>
              <w:bidi w:val="0"/>
              <w:adjustRightInd/>
              <w:snapToGrid/>
              <w:spacing w:line="240" w:lineRule="auto"/>
              <w:ind w:left="210" w:leftChars="100" w:right="178" w:rightChars="85"/>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en-US"/>
              </w:rPr>
              <w:t>外包裹防护</w:t>
            </w:r>
          </w:p>
        </w:tc>
        <w:tc>
          <w:tcPr>
            <w:tcW w:w="2580" w:type="dxa"/>
            <w:shd w:val="clear" w:color="auto" w:fill="auto"/>
            <w:vAlign w:val="center"/>
          </w:tcPr>
          <w:p w14:paraId="5CA7F846">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210" w:firstLineChars="1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en-US"/>
              </w:rPr>
              <w:t>满足设计要求，包裹防护无损坏，可继续使用</w:t>
            </w:r>
          </w:p>
        </w:tc>
        <w:tc>
          <w:tcPr>
            <w:tcW w:w="2580" w:type="dxa"/>
            <w:shd w:val="clear" w:color="auto" w:fill="auto"/>
            <w:vAlign w:val="center"/>
          </w:tcPr>
          <w:p w14:paraId="47318943">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210" w:firstLineChars="1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en-US"/>
              </w:rPr>
              <w:t>基本满足设计要求，包裹防护有少许损伤，维修后可继续使用</w:t>
            </w:r>
          </w:p>
        </w:tc>
        <w:tc>
          <w:tcPr>
            <w:tcW w:w="2782" w:type="dxa"/>
            <w:shd w:val="clear" w:color="auto" w:fill="auto"/>
            <w:vAlign w:val="center"/>
          </w:tcPr>
          <w:p w14:paraId="05030ABE">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210" w:firstLineChars="1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en-US"/>
              </w:rPr>
              <w:t>不满足设计要求，包裹防护有损坏，经返修、加固后方可继续使用</w:t>
            </w:r>
          </w:p>
        </w:tc>
      </w:tr>
    </w:tbl>
    <w:p w14:paraId="52E9D089">
      <w:pPr>
        <w:pStyle w:val="4"/>
        <w:keepNext/>
        <w:keepLines/>
        <w:pageBreakBefore w:val="0"/>
        <w:widowControl w:val="0"/>
        <w:kinsoku/>
        <w:wordWrap/>
        <w:overflowPunct/>
        <w:topLinePunct w:val="0"/>
        <w:autoSpaceDE/>
        <w:autoSpaceDN/>
        <w:bidi w:val="0"/>
        <w:adjustRightInd/>
        <w:snapToGrid/>
        <w:spacing w:before="120" w:after="120" w:line="360" w:lineRule="auto"/>
        <w:jc w:val="center"/>
        <w:textAlignment w:val="auto"/>
        <w:rPr>
          <w:rFonts w:hint="eastAsia" w:ascii="Times New Roman" w:hAnsi="Times New Roman" w:eastAsia="宋体" w:cs="Times New Roman"/>
          <w:color w:val="auto"/>
          <w:sz w:val="28"/>
          <w:szCs w:val="28"/>
          <w:lang w:val="en-US" w:eastAsia="zh-CN"/>
        </w:rPr>
      </w:pPr>
      <w:bookmarkStart w:id="50" w:name="_Toc10608"/>
      <w:bookmarkStart w:id="51" w:name="_Toc12121"/>
      <w:r>
        <w:rPr>
          <w:rFonts w:hint="eastAsia" w:ascii="Times New Roman" w:hAnsi="Times New Roman" w:eastAsia="宋体" w:cs="Times New Roman"/>
          <w:color w:val="auto"/>
          <w:sz w:val="28"/>
          <w:szCs w:val="28"/>
          <w:lang w:val="en-US" w:eastAsia="zh-CN"/>
        </w:rPr>
        <w:t>6.3  结构系统的鉴定评级</w:t>
      </w:r>
      <w:bookmarkEnd w:id="50"/>
      <w:bookmarkEnd w:id="51"/>
    </w:p>
    <w:p w14:paraId="08D03FBE">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highlight w:val="none"/>
          <w:lang w:val="en-US" w:eastAsia="zh-CN"/>
        </w:rPr>
        <w:t>6.3.1  结构系统的评级应在构件鉴定评级的基础上进行，结构系统的安全性等级</w:t>
      </w:r>
      <w:r>
        <w:rPr>
          <w:rFonts w:hint="eastAsia" w:ascii="Times New Roman" w:hAnsi="Times New Roman" w:eastAsia="宋体" w:cs="Times New Roman"/>
          <w:color w:val="auto"/>
          <w:sz w:val="24"/>
          <w:szCs w:val="24"/>
          <w:lang w:val="en-US" w:eastAsia="zh-CN"/>
        </w:rPr>
        <w:t>与使用性等级的评定，应将房屋结构按地基基础、上部承重结构和围护系统划分为三个结构系统按相关标准进行评定。</w:t>
      </w:r>
    </w:p>
    <w:p w14:paraId="4DC43D11">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6.3.2  根据需要可对上部承重结构系统的子系统进行单独鉴定评级。</w:t>
      </w:r>
    </w:p>
    <w:p w14:paraId="1E6A2105">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highlight w:val="none"/>
          <w:lang w:val="en-US" w:eastAsia="zh-CN"/>
        </w:rPr>
        <w:t>6.3.3  对于复杂的结构体系，宜在通过对结构工作状况开展监测取得数据后进行</w:t>
      </w:r>
      <w:r>
        <w:rPr>
          <w:rFonts w:hint="eastAsia" w:ascii="Times New Roman" w:hAnsi="Times New Roman" w:eastAsia="宋体" w:cs="Times New Roman"/>
          <w:color w:val="auto"/>
          <w:sz w:val="24"/>
          <w:szCs w:val="24"/>
          <w:lang w:val="en-US" w:eastAsia="zh-CN"/>
        </w:rPr>
        <w:t>分析评级。</w:t>
      </w:r>
    </w:p>
    <w:p w14:paraId="083610DA">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6.3.4  门式刚架轻型钢结构计算分析应符合现行国家标准《门式刚架轻型房屋钢结构技术规范》GB 51022的要求，计算模型应符合结构的实际受力、构造状况和边界条件，当结构因柱间支撑、屋盖支撑缺失或布置不合理形成几何可变体系，可不进行计算，直接评定为D级。荷载作用应按现行国家标准《门式刚架轻型房屋钢结构技术规范》GB51022的规定确定。</w:t>
      </w:r>
    </w:p>
    <w:p w14:paraId="4395E73C">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6.3.5  钢桁架结构可按下列要求划分子单元：</w:t>
      </w:r>
    </w:p>
    <w:p w14:paraId="2ADD35FB">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  当可根据结构布置和荷载分布划分为若干平面计算单元时，每一计算单元可作为子单元进行评定；</w:t>
      </w:r>
    </w:p>
    <w:p w14:paraId="6AAF1DD1">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  当钢结构只能作为一个整体单元进行计算时，可不划分子单元，整体按照一个计算单元考虑。</w:t>
      </w:r>
    </w:p>
    <w:p w14:paraId="3CEFB3EC">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6.3.6  大跨度与空间结构承载功能的评定等级，当有条件采用较精确的方法评定时，应在详细调查的基础上，根据结构体系的类型及空间作用，按国家现行标准的规定确定合理的计算模型，通过结构作用效应分析和结构抗力分析，并结合该体系以往的承载状况和工程经验确定。</w:t>
      </w:r>
    </w:p>
    <w:p w14:paraId="2DAA1C92">
      <w:pPr>
        <w:pStyle w:val="4"/>
        <w:keepNext/>
        <w:keepLines/>
        <w:pageBreakBefore w:val="0"/>
        <w:widowControl w:val="0"/>
        <w:kinsoku/>
        <w:wordWrap/>
        <w:overflowPunct/>
        <w:topLinePunct w:val="0"/>
        <w:autoSpaceDE/>
        <w:autoSpaceDN/>
        <w:bidi w:val="0"/>
        <w:adjustRightInd/>
        <w:snapToGrid/>
        <w:spacing w:before="120" w:after="120" w:line="360" w:lineRule="auto"/>
        <w:jc w:val="center"/>
        <w:textAlignment w:val="auto"/>
        <w:rPr>
          <w:rFonts w:hint="eastAsia" w:ascii="Times New Roman" w:hAnsi="Times New Roman" w:eastAsia="宋体" w:cs="Times New Roman"/>
          <w:color w:val="auto"/>
          <w:sz w:val="28"/>
          <w:szCs w:val="28"/>
          <w:lang w:val="en-US" w:eastAsia="zh-CN"/>
        </w:rPr>
      </w:pPr>
      <w:bookmarkStart w:id="52" w:name="_Toc6077"/>
      <w:bookmarkStart w:id="53" w:name="_Toc16996"/>
      <w:r>
        <w:rPr>
          <w:rFonts w:hint="eastAsia" w:ascii="Times New Roman" w:hAnsi="Times New Roman" w:eastAsia="宋体" w:cs="Times New Roman"/>
          <w:color w:val="auto"/>
          <w:sz w:val="28"/>
          <w:szCs w:val="28"/>
          <w:lang w:val="en-US" w:eastAsia="zh-CN"/>
        </w:rPr>
        <w:t>6.4  工业建筑物的鉴定等级评定</w:t>
      </w:r>
      <w:bookmarkEnd w:id="52"/>
      <w:bookmarkEnd w:id="53"/>
    </w:p>
    <w:p w14:paraId="46783FB0">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highlight w:val="none"/>
          <w:lang w:val="en-US" w:eastAsia="zh-CN"/>
        </w:rPr>
        <w:t>6.4.1  建筑物按所划分的鉴定单元进行可靠性等级评定。可根据建筑的结构类型</w:t>
      </w:r>
      <w:r>
        <w:rPr>
          <w:rFonts w:hint="eastAsia" w:ascii="Times New Roman" w:hAnsi="Times New Roman" w:eastAsia="宋体" w:cs="Times New Roman"/>
          <w:color w:val="auto"/>
          <w:sz w:val="24"/>
          <w:szCs w:val="24"/>
          <w:lang w:val="en-US" w:eastAsia="zh-CN"/>
        </w:rPr>
        <w:t>特点、生产工艺布置及使用要求、损伤情况等，将建筑按整体、区间（通常按变形缝划分一个或多个区段）每一个区段作为一个鉴定单元。</w:t>
      </w:r>
    </w:p>
    <w:p w14:paraId="0AABB772">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highlight w:val="none"/>
          <w:lang w:val="en-US" w:eastAsia="zh-CN"/>
        </w:rPr>
        <w:t>6.4.2  可靠性等级评定应根据地基基础、上部承重结构和围护系统的可靠性等级</w:t>
      </w:r>
      <w:r>
        <w:rPr>
          <w:rFonts w:hint="eastAsia" w:ascii="Times New Roman" w:hAnsi="Times New Roman" w:eastAsia="宋体" w:cs="Times New Roman"/>
          <w:color w:val="auto"/>
          <w:sz w:val="24"/>
          <w:szCs w:val="24"/>
          <w:lang w:val="en-US" w:eastAsia="zh-CN"/>
        </w:rPr>
        <w:t>评定结果，以地基基础、上部承重结构为主，按《工业建筑可靠性鉴定标准》GB 50144规定的相关方法确定。</w:t>
      </w:r>
    </w:p>
    <w:p w14:paraId="2399A19B">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highlight w:val="none"/>
          <w:lang w:val="en-US" w:eastAsia="zh-CN"/>
        </w:rPr>
        <w:t>6.4.3  建筑物按所划分的鉴定单元进行安全性等级评定和使用性等级评定，应根</w:t>
      </w:r>
      <w:r>
        <w:rPr>
          <w:rFonts w:hint="eastAsia" w:ascii="Times New Roman" w:hAnsi="Times New Roman" w:eastAsia="宋体" w:cs="Times New Roman"/>
          <w:color w:val="auto"/>
          <w:sz w:val="24"/>
          <w:szCs w:val="24"/>
          <w:lang w:val="en-US" w:eastAsia="zh-CN"/>
        </w:rPr>
        <w:t>据地基基础、上部承重结构和围护系统的安全性等级和使用性等级结果按《工业建筑可靠性鉴定标准》GB 50144规定的相关方法确定。</w:t>
      </w:r>
    </w:p>
    <w:p w14:paraId="51505E99">
      <w:pP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br w:type="page"/>
      </w:r>
    </w:p>
    <w:p w14:paraId="6FBBFA4C">
      <w:pPr>
        <w:pStyle w:val="3"/>
        <w:keepNext/>
        <w:keepLines/>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rPr>
      </w:pPr>
      <w:bookmarkStart w:id="54" w:name="_Toc12755"/>
      <w:r>
        <w:rPr>
          <w:rFonts w:hint="eastAsia" w:ascii="Times New Roman" w:hAnsi="Times New Roman" w:eastAsia="宋体" w:cs="Times New Roman"/>
          <w:color w:val="auto"/>
          <w:lang w:val="en-US" w:eastAsia="zh-CN"/>
        </w:rPr>
        <w:t>7</w:t>
      </w:r>
      <w:r>
        <w:rPr>
          <w:rFonts w:hint="default" w:ascii="Times New Roman" w:hAnsi="Times New Roman" w:eastAsia="宋体" w:cs="Times New Roman"/>
          <w:color w:val="auto"/>
          <w:lang w:val="en-US" w:eastAsia="zh-CN"/>
        </w:rPr>
        <w:t xml:space="preserve"> </w:t>
      </w:r>
      <w:r>
        <w:rPr>
          <w:rFonts w:hint="eastAsia"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rPr>
        <w:t>抗震鉴定</w:t>
      </w:r>
      <w:bookmarkEnd w:id="47"/>
      <w:bookmarkEnd w:id="54"/>
    </w:p>
    <w:p w14:paraId="392D274E">
      <w:pPr>
        <w:pStyle w:val="4"/>
        <w:keepNext/>
        <w:keepLines/>
        <w:pageBreakBefore w:val="0"/>
        <w:widowControl w:val="0"/>
        <w:kinsoku/>
        <w:wordWrap/>
        <w:overflowPunct/>
        <w:topLinePunct w:val="0"/>
        <w:autoSpaceDE/>
        <w:autoSpaceDN/>
        <w:bidi w:val="0"/>
        <w:adjustRightInd/>
        <w:snapToGrid/>
        <w:spacing w:before="120" w:after="120" w:line="360" w:lineRule="auto"/>
        <w:jc w:val="center"/>
        <w:textAlignment w:val="auto"/>
        <w:rPr>
          <w:rFonts w:hint="default" w:ascii="Times New Roman" w:hAnsi="Times New Roman" w:eastAsia="宋体" w:cs="Times New Roman"/>
          <w:color w:val="auto"/>
          <w:sz w:val="28"/>
          <w:szCs w:val="28"/>
          <w:lang w:val="en-US" w:eastAsia="zh-CN"/>
        </w:rPr>
      </w:pPr>
      <w:bookmarkStart w:id="55" w:name="_Toc1683"/>
      <w:r>
        <w:rPr>
          <w:rFonts w:hint="eastAsia" w:ascii="Times New Roman" w:hAnsi="Times New Roman" w:eastAsia="宋体" w:cs="Times New Roman"/>
          <w:color w:val="auto"/>
          <w:sz w:val="28"/>
          <w:szCs w:val="28"/>
          <w:lang w:val="en-US" w:eastAsia="zh-CN"/>
        </w:rPr>
        <w:t>7</w:t>
      </w:r>
      <w:r>
        <w:rPr>
          <w:rFonts w:hint="default" w:ascii="Times New Roman" w:hAnsi="Times New Roman" w:eastAsia="宋体" w:cs="Times New Roman"/>
          <w:color w:val="auto"/>
          <w:sz w:val="28"/>
          <w:szCs w:val="28"/>
          <w:lang w:val="en-US" w:eastAsia="zh-CN"/>
        </w:rPr>
        <w:t xml:space="preserve">.1 </w:t>
      </w:r>
      <w:r>
        <w:rPr>
          <w:rFonts w:hint="eastAsia" w:ascii="Times New Roman" w:hAnsi="Times New Roman" w:eastAsia="宋体" w:cs="Times New Roman"/>
          <w:color w:val="auto"/>
          <w:sz w:val="28"/>
          <w:szCs w:val="28"/>
          <w:lang w:val="en-US" w:eastAsia="zh-CN"/>
        </w:rPr>
        <w:t xml:space="preserve"> </w:t>
      </w:r>
      <w:r>
        <w:rPr>
          <w:rFonts w:hint="default" w:ascii="Times New Roman" w:hAnsi="Times New Roman" w:eastAsia="宋体" w:cs="Times New Roman"/>
          <w:color w:val="auto"/>
          <w:sz w:val="28"/>
          <w:szCs w:val="28"/>
          <w:lang w:val="en-US" w:eastAsia="zh-CN"/>
        </w:rPr>
        <w:t>一般规定</w:t>
      </w:r>
      <w:bookmarkEnd w:id="55"/>
    </w:p>
    <w:p w14:paraId="4500F137">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宋体" w:cs="Times New Roman"/>
          <w:color w:val="auto"/>
          <w:sz w:val="24"/>
          <w:szCs w:val="24"/>
        </w:rPr>
      </w:pPr>
      <w:r>
        <w:rPr>
          <w:rFonts w:hint="eastAsia" w:ascii="Times New Roman" w:hAnsi="Times New Roman" w:cs="Times New Roman"/>
          <w:color w:val="auto"/>
          <w:sz w:val="24"/>
          <w:szCs w:val="24"/>
          <w:highlight w:val="none"/>
          <w:lang w:val="en-US" w:eastAsia="zh-CN"/>
        </w:rPr>
        <w:t>7</w:t>
      </w:r>
      <w:r>
        <w:rPr>
          <w:rFonts w:hint="default" w:ascii="Times New Roman" w:hAnsi="Times New Roman" w:cs="Times New Roman"/>
          <w:color w:val="auto"/>
          <w:sz w:val="24"/>
          <w:szCs w:val="24"/>
          <w:highlight w:val="none"/>
          <w:lang w:val="en-US" w:eastAsia="zh-CN"/>
        </w:rPr>
        <w:t>.1.</w:t>
      </w:r>
      <w:r>
        <w:rPr>
          <w:rFonts w:hint="eastAsia" w:ascii="Times New Roman" w:hAnsi="Times New Roman" w:cs="Times New Roman"/>
          <w:color w:val="auto"/>
          <w:sz w:val="24"/>
          <w:szCs w:val="24"/>
          <w:highlight w:val="none"/>
          <w:lang w:val="en-US" w:eastAsia="zh-CN"/>
        </w:rPr>
        <w:t xml:space="preserve">1  </w:t>
      </w:r>
      <w:r>
        <w:rPr>
          <w:rFonts w:hint="default" w:ascii="Times New Roman" w:hAnsi="Times New Roman" w:cs="Times New Roman"/>
          <w:color w:val="auto"/>
          <w:sz w:val="24"/>
          <w:szCs w:val="24"/>
          <w:highlight w:val="none"/>
          <w:lang w:val="en-US" w:eastAsia="zh-CN"/>
        </w:rPr>
        <w:t>本导则适用于宜昌地区6度区的现有工业建筑的抗震鉴定，不适用于新建</w:t>
      </w:r>
      <w:r>
        <w:rPr>
          <w:rFonts w:hint="default" w:ascii="Times New Roman" w:hAnsi="Times New Roman" w:eastAsia="宋体" w:cs="Times New Roman"/>
          <w:color w:val="auto"/>
          <w:sz w:val="24"/>
          <w:szCs w:val="24"/>
        </w:rPr>
        <w:t>建筑工程的抗震设计和施工质量的评定。</w:t>
      </w:r>
    </w:p>
    <w:p w14:paraId="59CF0609">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宋体" w:cs="Times New Roman"/>
          <w:color w:val="auto"/>
          <w:sz w:val="24"/>
          <w:szCs w:val="24"/>
        </w:rPr>
      </w:pPr>
      <w:r>
        <w:rPr>
          <w:rFonts w:hint="eastAsia" w:ascii="Times New Roman" w:hAnsi="Times New Roman" w:cs="Times New Roman"/>
          <w:color w:val="auto"/>
          <w:sz w:val="24"/>
          <w:szCs w:val="24"/>
          <w:highlight w:val="none"/>
          <w:lang w:val="en-US" w:eastAsia="zh-CN"/>
        </w:rPr>
        <w:t>7.1.</w:t>
      </w:r>
      <w:r>
        <w:rPr>
          <w:rFonts w:hint="default" w:ascii="Times New Roman" w:hAnsi="Times New Roman" w:cs="Times New Roman"/>
          <w:color w:val="auto"/>
          <w:sz w:val="24"/>
          <w:szCs w:val="24"/>
          <w:highlight w:val="none"/>
          <w:lang w:val="en-US" w:eastAsia="zh-CN"/>
        </w:rPr>
        <w:t xml:space="preserve">2 </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lang w:val="en-US" w:eastAsia="zh-CN"/>
        </w:rPr>
        <w:t>现有建筑应符合国家标准《建筑工程抗震设防分类标准》GB50223分为</w:t>
      </w:r>
      <w:r>
        <w:rPr>
          <w:rFonts w:hint="default" w:ascii="Times New Roman" w:hAnsi="Times New Roman" w:eastAsia="宋体" w:cs="Times New Roman"/>
          <w:color w:val="auto"/>
          <w:sz w:val="24"/>
          <w:szCs w:val="24"/>
        </w:rPr>
        <w:t>四类，其抗震核查和抗震验算的综合鉴定应符合《建筑抗震鉴定标准》的要求。</w:t>
      </w:r>
    </w:p>
    <w:p w14:paraId="4B864ADC">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宋体" w:cs="Times New Roman"/>
          <w:color w:val="auto"/>
          <w:sz w:val="24"/>
          <w:szCs w:val="24"/>
        </w:rPr>
      </w:pPr>
      <w:r>
        <w:rPr>
          <w:rFonts w:hint="eastAsia" w:ascii="Times New Roman" w:hAnsi="Times New Roman" w:cs="Times New Roman"/>
          <w:color w:val="auto"/>
          <w:sz w:val="24"/>
          <w:szCs w:val="24"/>
          <w:highlight w:val="none"/>
          <w:lang w:val="en-US" w:eastAsia="zh-CN"/>
        </w:rPr>
        <w:t>7</w:t>
      </w:r>
      <w:r>
        <w:rPr>
          <w:rFonts w:hint="default" w:ascii="Times New Roman" w:hAnsi="Times New Roman" w:cs="Times New Roman"/>
          <w:color w:val="auto"/>
          <w:sz w:val="24"/>
          <w:szCs w:val="24"/>
          <w:highlight w:val="none"/>
          <w:lang w:val="en-US" w:eastAsia="zh-CN"/>
        </w:rPr>
        <w:t xml:space="preserve">.1.3 </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lang w:val="en-US" w:eastAsia="zh-CN"/>
        </w:rPr>
        <w:t>既有建筑的抗震鉴定，应根据后续工作年限采用相应的鉴定方法。后续工</w:t>
      </w:r>
      <w:r>
        <w:rPr>
          <w:rFonts w:hint="default" w:ascii="Times New Roman" w:hAnsi="Times New Roman" w:eastAsia="宋体" w:cs="Times New Roman"/>
          <w:color w:val="auto"/>
          <w:sz w:val="24"/>
          <w:szCs w:val="24"/>
        </w:rPr>
        <w:t>作年限的选择，不应低于剩余设计工作年限。</w:t>
      </w:r>
    </w:p>
    <w:p w14:paraId="4360BC1B">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宋体" w:cs="Times New Roman"/>
          <w:color w:val="auto"/>
          <w:sz w:val="24"/>
          <w:szCs w:val="24"/>
        </w:rPr>
      </w:pPr>
      <w:r>
        <w:rPr>
          <w:rFonts w:hint="eastAsia" w:ascii="Times New Roman" w:hAnsi="Times New Roman" w:cs="Times New Roman"/>
          <w:color w:val="auto"/>
          <w:sz w:val="24"/>
          <w:szCs w:val="24"/>
          <w:highlight w:val="none"/>
          <w:lang w:val="en-US" w:eastAsia="zh-CN"/>
        </w:rPr>
        <w:t>7</w:t>
      </w:r>
      <w:r>
        <w:rPr>
          <w:rFonts w:hint="default" w:ascii="Times New Roman" w:hAnsi="Times New Roman" w:cs="Times New Roman"/>
          <w:color w:val="auto"/>
          <w:sz w:val="24"/>
          <w:szCs w:val="24"/>
          <w:highlight w:val="none"/>
          <w:lang w:val="en-US" w:eastAsia="zh-CN"/>
        </w:rPr>
        <w:t xml:space="preserve">.1.4 </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lang w:val="en-US" w:eastAsia="zh-CN"/>
        </w:rPr>
        <w:t>既有建筑的抗震鉴定，根据后续工作年限应分为三类：后续工作年限为</w:t>
      </w:r>
      <w:r>
        <w:rPr>
          <w:rFonts w:hint="default" w:ascii="Times New Roman" w:hAnsi="Times New Roman" w:eastAsia="宋体" w:cs="Times New Roman"/>
          <w:color w:val="auto"/>
          <w:sz w:val="24"/>
          <w:szCs w:val="24"/>
        </w:rPr>
        <w:t>30年以内（含30年）的建筑，简称A类建筑；后续工作年限为30年以上40年以内（含40年）的建筑，简称B类建筑；后续工作年限为40年以上50年以内（含50年）的建筑，简称C类建筑。</w:t>
      </w:r>
    </w:p>
    <w:p w14:paraId="70FE062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sz w:val="24"/>
          <w:szCs w:val="24"/>
          <w:lang w:eastAsia="zh-CN"/>
        </w:rPr>
      </w:pPr>
      <w:r>
        <w:rPr>
          <w:rFonts w:hint="eastAsia" w:ascii="Times New Roman" w:hAnsi="Times New Roman" w:cs="Times New Roman"/>
          <w:color w:val="auto"/>
          <w:sz w:val="24"/>
          <w:szCs w:val="24"/>
          <w:highlight w:val="none"/>
          <w:lang w:val="en-US" w:eastAsia="zh-CN"/>
        </w:rPr>
        <w:t>7</w:t>
      </w:r>
      <w:r>
        <w:rPr>
          <w:rFonts w:hint="default" w:ascii="Times New Roman" w:hAnsi="Times New Roman" w:cs="Times New Roman"/>
          <w:color w:val="auto"/>
          <w:sz w:val="24"/>
          <w:szCs w:val="24"/>
          <w:highlight w:val="none"/>
          <w:lang w:val="en-US" w:eastAsia="zh-CN"/>
        </w:rPr>
        <w:t>.1.5</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lang w:val="en-US" w:eastAsia="zh-CN"/>
        </w:rPr>
        <w:t xml:space="preserve"> A类和B类建筑的抗震鉴定，应允许采用折减的地震作用进行抗震承载力</w:t>
      </w:r>
      <w:r>
        <w:rPr>
          <w:rFonts w:hint="default" w:ascii="Times New Roman" w:hAnsi="Times New Roman" w:eastAsia="宋体" w:cs="Times New Roman"/>
          <w:color w:val="auto"/>
          <w:sz w:val="24"/>
          <w:szCs w:val="24"/>
        </w:rPr>
        <w:t>和变形验算，应允许采用现行标准调低的要求进行抗震措施的核查，但不应低于原建造时的抗震设计要求；C类建筑，应按现行标准的要求进行抗震鉴定；当限于技术条件，难以按现行标准执行时，允许调低其后续工作年限，并按B类建筑的要求从严进行处理</w:t>
      </w:r>
      <w:r>
        <w:rPr>
          <w:rFonts w:hint="eastAsia" w:ascii="Times New Roman" w:hAnsi="Times New Roman" w:eastAsia="宋体" w:cs="Times New Roman"/>
          <w:color w:val="auto"/>
          <w:sz w:val="24"/>
          <w:szCs w:val="24"/>
          <w:lang w:eastAsia="zh-CN"/>
        </w:rPr>
        <w:t>。</w:t>
      </w:r>
    </w:p>
    <w:p w14:paraId="4CC3B493">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7</w:t>
      </w:r>
      <w:r>
        <w:rPr>
          <w:rFonts w:hint="default" w:ascii="Times New Roman" w:hAnsi="Times New Roman" w:cs="Times New Roman"/>
          <w:color w:val="auto"/>
          <w:sz w:val="24"/>
          <w:szCs w:val="24"/>
          <w:highlight w:val="none"/>
          <w:lang w:val="en-US" w:eastAsia="zh-CN"/>
        </w:rPr>
        <w:t>.1.</w:t>
      </w:r>
      <w:r>
        <w:rPr>
          <w:rFonts w:hint="eastAsia" w:ascii="Times New Roman" w:hAnsi="Times New Roman" w:cs="Times New Roman"/>
          <w:color w:val="auto"/>
          <w:sz w:val="24"/>
          <w:szCs w:val="24"/>
          <w:highlight w:val="none"/>
          <w:lang w:val="en-US" w:eastAsia="zh-CN"/>
        </w:rPr>
        <w:t xml:space="preserve">6 </w:t>
      </w:r>
      <w:r>
        <w:rPr>
          <w:rFonts w:hint="default" w:ascii="Times New Roman" w:hAnsi="Times New Roman" w:cs="Times New Roman"/>
          <w:color w:val="auto"/>
          <w:sz w:val="24"/>
          <w:szCs w:val="24"/>
          <w:highlight w:val="none"/>
          <w:lang w:val="en-US" w:eastAsia="zh-CN"/>
        </w:rPr>
        <w:t xml:space="preserve"> 工业钢结构的抗震鉴定，应包括下列内容和要求</w:t>
      </w:r>
      <w:r>
        <w:rPr>
          <w:rFonts w:hint="eastAsia" w:ascii="Times New Roman" w:hAnsi="Times New Roman" w:cs="Times New Roman"/>
          <w:color w:val="auto"/>
          <w:sz w:val="24"/>
          <w:szCs w:val="24"/>
          <w:highlight w:val="none"/>
          <w:lang w:val="en-US" w:eastAsia="zh-CN"/>
        </w:rPr>
        <w:t>：</w:t>
      </w:r>
    </w:p>
    <w:p w14:paraId="29F884B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 xml:space="preserve">1 </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lang w:val="en-US" w:eastAsia="zh-CN"/>
        </w:rPr>
        <w:t>搜集钢结构的相关地质勘探报告、气象资料、施工图纸和工程验收文件等原始资料;当资料不全时，应进行必要的调查和实测</w:t>
      </w:r>
      <w:r>
        <w:rPr>
          <w:rFonts w:hint="eastAsia" w:ascii="Times New Roman" w:hAnsi="Times New Roman" w:cs="Times New Roman"/>
          <w:color w:val="auto"/>
          <w:sz w:val="24"/>
          <w:szCs w:val="24"/>
          <w:highlight w:val="none"/>
          <w:lang w:val="en-US" w:eastAsia="zh-CN"/>
        </w:rPr>
        <w:t>；</w:t>
      </w:r>
    </w:p>
    <w:p w14:paraId="613AEDE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 xml:space="preserve">2 </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lang w:val="en-US" w:eastAsia="zh-CN"/>
        </w:rPr>
        <w:t>检查钢结构现状与原始资料相符合程度、施工质量和维护状况，检查及检测主要受力构件与连接的缺陷、腐蚀、损伤，钢结构的现状检测可按照现行国家标准《钢结构现场检测技术标准》GB/T 50621进行</w:t>
      </w:r>
      <w:r>
        <w:rPr>
          <w:rFonts w:hint="eastAsia" w:ascii="Times New Roman" w:hAnsi="Times New Roman" w:cs="Times New Roman"/>
          <w:color w:val="auto"/>
          <w:sz w:val="24"/>
          <w:szCs w:val="24"/>
          <w:highlight w:val="none"/>
          <w:lang w:val="en-US" w:eastAsia="zh-CN"/>
        </w:rPr>
        <w:t>；</w:t>
      </w:r>
    </w:p>
    <w:p w14:paraId="070BEAA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 xml:space="preserve">3 </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lang w:val="en-US" w:eastAsia="zh-CN"/>
        </w:rPr>
        <w:t>检查钢结构所在场地、地基和基础的稳定性，调查邻近的挡土结构情况</w:t>
      </w:r>
      <w:r>
        <w:rPr>
          <w:rFonts w:hint="eastAsia" w:ascii="Times New Roman" w:hAnsi="Times New Roman" w:cs="Times New Roman"/>
          <w:color w:val="auto"/>
          <w:sz w:val="24"/>
          <w:szCs w:val="24"/>
          <w:highlight w:val="none"/>
          <w:lang w:val="en-US" w:eastAsia="zh-CN"/>
        </w:rPr>
        <w:t>；</w:t>
      </w:r>
    </w:p>
    <w:p w14:paraId="4B2CE5B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 xml:space="preserve">4 </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lang w:val="en-US" w:eastAsia="zh-CN"/>
        </w:rPr>
        <w:t>根据各类钢结构的特点、结构类型与布置、构造和抗震承载力等因素，采用抗震措施鉴定和抗震验算后进行综合抗震能力分析</w:t>
      </w:r>
      <w:r>
        <w:rPr>
          <w:rFonts w:hint="eastAsia" w:ascii="Times New Roman" w:hAnsi="Times New Roman" w:cs="Times New Roman"/>
          <w:color w:val="auto"/>
          <w:sz w:val="24"/>
          <w:szCs w:val="24"/>
          <w:highlight w:val="none"/>
          <w:lang w:val="en-US" w:eastAsia="zh-CN"/>
        </w:rPr>
        <w:t>；</w:t>
      </w:r>
    </w:p>
    <w:p w14:paraId="73A681C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lang w:val="en-US" w:eastAsia="zh-CN"/>
        </w:rPr>
        <w:t xml:space="preserve"> </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lang w:val="en-US" w:eastAsia="zh-CN"/>
        </w:rPr>
        <w:t>对现有钢结构整体抗震性能作出评价。当不符合抗震鉴定要求时，应提出相应的抗震减灾对策和处理意见</w:t>
      </w:r>
      <w:r>
        <w:rPr>
          <w:rFonts w:hint="eastAsia" w:ascii="Times New Roman" w:hAnsi="Times New Roman" w:cs="Times New Roman"/>
          <w:color w:val="auto"/>
          <w:sz w:val="24"/>
          <w:szCs w:val="24"/>
          <w:highlight w:val="none"/>
          <w:lang w:val="en-US" w:eastAsia="zh-CN"/>
        </w:rPr>
        <w:t>。</w:t>
      </w:r>
    </w:p>
    <w:p w14:paraId="48D20553">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7</w:t>
      </w:r>
      <w:r>
        <w:rPr>
          <w:rFonts w:hint="default" w:ascii="Times New Roman" w:hAnsi="Times New Roman" w:cs="Times New Roman"/>
          <w:color w:val="auto"/>
          <w:sz w:val="24"/>
          <w:szCs w:val="24"/>
          <w:highlight w:val="none"/>
          <w:lang w:val="en-US" w:eastAsia="zh-CN"/>
        </w:rPr>
        <w:t>.1.</w:t>
      </w:r>
      <w:r>
        <w:rPr>
          <w:rFonts w:hint="eastAsia" w:ascii="Times New Roman" w:hAnsi="Times New Roman" w:cs="Times New Roman"/>
          <w:color w:val="auto"/>
          <w:sz w:val="24"/>
          <w:szCs w:val="24"/>
          <w:highlight w:val="none"/>
          <w:lang w:val="en-US" w:eastAsia="zh-CN"/>
        </w:rPr>
        <w:t xml:space="preserve">7 </w:t>
      </w:r>
      <w:r>
        <w:rPr>
          <w:rFonts w:hint="default" w:ascii="Times New Roman" w:hAnsi="Times New Roman" w:cs="Times New Roman"/>
          <w:color w:val="auto"/>
          <w:sz w:val="24"/>
          <w:szCs w:val="24"/>
          <w:highlight w:val="none"/>
          <w:lang w:val="en-US" w:eastAsia="zh-CN"/>
        </w:rPr>
        <w:t xml:space="preserve"> 工业钢结构的抗震鉴定，应根据结构体系的合理性，材料的实际强度、结构构件连接的可靠性、构件长细比、板件宽厚比和非结构构件与主体结构的拉结构造的可靠性、结构与构件截面的损伤、锈蚀、偏差、断面削弱及构件过度变形的影响对抗震承载力的综合分析而完成。</w:t>
      </w:r>
    </w:p>
    <w:p w14:paraId="2DE01FB6">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7</w:t>
      </w:r>
      <w:r>
        <w:rPr>
          <w:rFonts w:hint="default" w:ascii="Times New Roman" w:hAnsi="Times New Roman" w:cs="Times New Roman"/>
          <w:color w:val="auto"/>
          <w:sz w:val="24"/>
          <w:szCs w:val="24"/>
          <w:highlight w:val="none"/>
          <w:lang w:val="en-US" w:eastAsia="zh-CN"/>
        </w:rPr>
        <w:t>.1.</w:t>
      </w:r>
      <w:r>
        <w:rPr>
          <w:rFonts w:hint="eastAsia" w:ascii="Times New Roman" w:hAnsi="Times New Roman" w:cs="Times New Roman"/>
          <w:color w:val="auto"/>
          <w:sz w:val="24"/>
          <w:szCs w:val="24"/>
          <w:highlight w:val="none"/>
          <w:lang w:val="en-US" w:eastAsia="zh-CN"/>
        </w:rPr>
        <w:t xml:space="preserve">8 </w:t>
      </w:r>
      <w:r>
        <w:rPr>
          <w:rFonts w:hint="default" w:ascii="Times New Roman" w:hAnsi="Times New Roman" w:cs="Times New Roman"/>
          <w:color w:val="auto"/>
          <w:sz w:val="24"/>
          <w:szCs w:val="24"/>
          <w:highlight w:val="none"/>
          <w:lang w:val="en-US" w:eastAsia="zh-CN"/>
        </w:rPr>
        <w:t xml:space="preserve"> 抗震体系构造调整系数除本标准各节另有规定外，可按如下原则确定</w:t>
      </w:r>
      <w:r>
        <w:rPr>
          <w:rFonts w:hint="eastAsia" w:ascii="Times New Roman" w:hAnsi="Times New Roman" w:cs="Times New Roman"/>
          <w:color w:val="auto"/>
          <w:sz w:val="24"/>
          <w:szCs w:val="24"/>
          <w:highlight w:val="none"/>
          <w:lang w:val="en-US" w:eastAsia="zh-CN"/>
        </w:rPr>
        <w:t>：</w:t>
      </w:r>
    </w:p>
    <w:p w14:paraId="0972883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 xml:space="preserve">1 </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lang w:val="en-US" w:eastAsia="zh-CN"/>
        </w:rPr>
        <w:t>对A类钢结构，当结构体型的规则性和整体性及连接构造措施均满足要求时，抗震体系构造调整系数可取1.0~1.1</w:t>
      </w:r>
      <w:r>
        <w:rPr>
          <w:rFonts w:hint="eastAsia" w:ascii="Times New Roman" w:hAnsi="Times New Roman" w:cs="Times New Roman"/>
          <w:color w:val="auto"/>
          <w:sz w:val="24"/>
          <w:szCs w:val="24"/>
          <w:highlight w:val="none"/>
          <w:lang w:val="en-US" w:eastAsia="zh-CN"/>
        </w:rPr>
        <w:t>；</w:t>
      </w:r>
    </w:p>
    <w:p w14:paraId="10B831C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2</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lang w:val="en-US" w:eastAsia="zh-CN"/>
        </w:rPr>
        <w:t>对B类、C类钢结构，当结构体型的规则性和整体性及连接构造措施均满足要求时，抗震体系构造调整系数可取1.0</w:t>
      </w:r>
      <w:r>
        <w:rPr>
          <w:rFonts w:hint="eastAsia" w:ascii="Times New Roman" w:hAnsi="Times New Roman" w:cs="Times New Roman"/>
          <w:color w:val="auto"/>
          <w:sz w:val="24"/>
          <w:szCs w:val="24"/>
          <w:highlight w:val="none"/>
          <w:lang w:val="en-US" w:eastAsia="zh-CN"/>
        </w:rPr>
        <w:t>；</w:t>
      </w:r>
    </w:p>
    <w:p w14:paraId="32A75FE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 xml:space="preserve">3 </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lang w:val="en-US" w:eastAsia="zh-CN"/>
        </w:rPr>
        <w:t>当不满足结构体型的规则性和整体性及连接构造措施要求时，可取0.8~0.9，当多项不满足时，可取0.8</w:t>
      </w:r>
      <w:r>
        <w:rPr>
          <w:rFonts w:hint="eastAsia" w:ascii="Times New Roman" w:hAnsi="Times New Roman" w:cs="Times New Roman"/>
          <w:color w:val="auto"/>
          <w:sz w:val="24"/>
          <w:szCs w:val="24"/>
          <w:highlight w:val="none"/>
          <w:lang w:val="en-US" w:eastAsia="zh-CN"/>
        </w:rPr>
        <w:t>。</w:t>
      </w:r>
    </w:p>
    <w:p w14:paraId="153DE9A5">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7</w:t>
      </w:r>
      <w:r>
        <w:rPr>
          <w:rFonts w:hint="default" w:ascii="Times New Roman" w:hAnsi="Times New Roman" w:cs="Times New Roman"/>
          <w:color w:val="auto"/>
          <w:sz w:val="24"/>
          <w:szCs w:val="24"/>
          <w:highlight w:val="none"/>
          <w:lang w:val="en-US" w:eastAsia="zh-CN"/>
        </w:rPr>
        <w:t>.1.</w:t>
      </w:r>
      <w:r>
        <w:rPr>
          <w:rFonts w:hint="eastAsia" w:ascii="Times New Roman" w:hAnsi="Times New Roman" w:cs="Times New Roman"/>
          <w:color w:val="auto"/>
          <w:sz w:val="24"/>
          <w:szCs w:val="24"/>
          <w:highlight w:val="none"/>
          <w:lang w:val="en-US" w:eastAsia="zh-CN"/>
        </w:rPr>
        <w:t xml:space="preserve">9 </w:t>
      </w:r>
      <w:r>
        <w:rPr>
          <w:rFonts w:hint="default" w:ascii="Times New Roman" w:hAnsi="Times New Roman" w:cs="Times New Roman"/>
          <w:color w:val="auto"/>
          <w:sz w:val="24"/>
          <w:szCs w:val="24"/>
          <w:highlight w:val="none"/>
          <w:lang w:val="en-US" w:eastAsia="zh-CN"/>
        </w:rPr>
        <w:t xml:space="preserve"> 既有工业钢结构的抗震鉴定要求，根据其所在场地、地基和基础等的有利和不利因素，可作下列调整</w:t>
      </w:r>
      <w:r>
        <w:rPr>
          <w:rFonts w:hint="eastAsia" w:ascii="Times New Roman" w:hAnsi="Times New Roman" w:cs="Times New Roman"/>
          <w:color w:val="auto"/>
          <w:sz w:val="24"/>
          <w:szCs w:val="24"/>
          <w:highlight w:val="none"/>
          <w:lang w:val="en-US" w:eastAsia="zh-CN"/>
        </w:rPr>
        <w:t>：</w:t>
      </w:r>
    </w:p>
    <w:p w14:paraId="751B33F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 xml:space="preserve">1 </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lang w:val="en-US" w:eastAsia="zh-CN"/>
        </w:rPr>
        <w:t>I类场地上的丙类钢结构，7度~9度时，抗震构造措施要求可降低一度</w:t>
      </w:r>
      <w:r>
        <w:rPr>
          <w:rFonts w:hint="eastAsia" w:ascii="Times New Roman" w:hAnsi="Times New Roman" w:cs="Times New Roman"/>
          <w:color w:val="auto"/>
          <w:sz w:val="24"/>
          <w:szCs w:val="24"/>
          <w:highlight w:val="none"/>
          <w:lang w:val="en-US" w:eastAsia="zh-CN"/>
        </w:rPr>
        <w:t>；</w:t>
      </w:r>
    </w:p>
    <w:p w14:paraId="1D02BB9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 xml:space="preserve">2 </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lang w:val="en-US" w:eastAsia="zh-CN"/>
        </w:rPr>
        <w:t>Ⅳ类场地、复杂地形、严重不均匀土层上的钢结构以及同一钢结构单元内存在不同类型基础或基础埋深不同时，可提高抗震鉴定要求</w:t>
      </w:r>
      <w:r>
        <w:rPr>
          <w:rFonts w:hint="eastAsia" w:ascii="Times New Roman" w:hAnsi="Times New Roman" w:cs="Times New Roman"/>
          <w:color w:val="auto"/>
          <w:sz w:val="24"/>
          <w:szCs w:val="24"/>
          <w:highlight w:val="none"/>
          <w:lang w:val="en-US" w:eastAsia="zh-CN"/>
        </w:rPr>
        <w:t>；</w:t>
      </w:r>
    </w:p>
    <w:p w14:paraId="6ADB3C6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3</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lang w:val="en-US" w:eastAsia="zh-CN"/>
        </w:rPr>
        <w:t xml:space="preserve"> Ⅲ、Ⅳ类场地时，设计基本地震加速度为0.15g和0.30g地区的各类钢结构的抗震构造措施要求，宜分别按抗震设防烈度8度(0.20g)和9度(0.40g)采用。工业钢结构的抗震设防烈度应根据现行国家标准《建筑抗震设计规范》GB50011的有关规定确定</w:t>
      </w:r>
      <w:r>
        <w:rPr>
          <w:rFonts w:hint="eastAsia" w:ascii="Times New Roman" w:hAnsi="Times New Roman" w:cs="Times New Roman"/>
          <w:color w:val="auto"/>
          <w:sz w:val="24"/>
          <w:szCs w:val="24"/>
          <w:highlight w:val="none"/>
          <w:lang w:val="en-US" w:eastAsia="zh-CN"/>
        </w:rPr>
        <w:t>。</w:t>
      </w:r>
    </w:p>
    <w:p w14:paraId="3D5CEEBD">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7</w:t>
      </w:r>
      <w:r>
        <w:rPr>
          <w:rFonts w:hint="default" w:ascii="Times New Roman" w:hAnsi="Times New Roman" w:cs="Times New Roman"/>
          <w:color w:val="auto"/>
          <w:sz w:val="24"/>
          <w:szCs w:val="24"/>
          <w:highlight w:val="none"/>
          <w:lang w:val="en-US" w:eastAsia="zh-CN"/>
        </w:rPr>
        <w:t>.1.</w:t>
      </w:r>
      <w:r>
        <w:rPr>
          <w:rFonts w:hint="eastAsia" w:ascii="Times New Roman" w:hAnsi="Times New Roman" w:cs="Times New Roman"/>
          <w:color w:val="auto"/>
          <w:sz w:val="24"/>
          <w:szCs w:val="24"/>
          <w:highlight w:val="none"/>
          <w:lang w:val="en-US" w:eastAsia="zh-CN"/>
        </w:rPr>
        <w:t xml:space="preserve">10 </w:t>
      </w:r>
      <w:r>
        <w:rPr>
          <w:rFonts w:hint="default" w:ascii="Times New Roman" w:hAnsi="Times New Roman" w:cs="Times New Roman"/>
          <w:color w:val="auto"/>
          <w:sz w:val="24"/>
          <w:szCs w:val="24"/>
          <w:highlight w:val="none"/>
          <w:lang w:val="en-US" w:eastAsia="zh-CN"/>
        </w:rPr>
        <w:t xml:space="preserve"> 工业钢结构抗震性能综合鉴定可按下列规定进行</w:t>
      </w:r>
      <w:r>
        <w:rPr>
          <w:rFonts w:hint="eastAsia" w:ascii="Times New Roman" w:hAnsi="Times New Roman" w:cs="Times New Roman"/>
          <w:color w:val="auto"/>
          <w:sz w:val="24"/>
          <w:szCs w:val="24"/>
          <w:highlight w:val="none"/>
          <w:lang w:val="en-US" w:eastAsia="zh-CN"/>
        </w:rPr>
        <w:t>：</w:t>
      </w:r>
    </w:p>
    <w:p w14:paraId="5640A23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 xml:space="preserve">1 </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lang w:val="en-US" w:eastAsia="zh-CN"/>
        </w:rPr>
        <w:t>符合下列情况之一可鉴定为抗震性能满足</w:t>
      </w:r>
      <w:r>
        <w:rPr>
          <w:rFonts w:hint="eastAsia" w:ascii="Times New Roman" w:hAnsi="Times New Roman" w:cs="Times New Roman"/>
          <w:color w:val="auto"/>
          <w:sz w:val="24"/>
          <w:szCs w:val="24"/>
          <w:highlight w:val="none"/>
          <w:lang w:val="en-US" w:eastAsia="zh-CN"/>
        </w:rPr>
        <w:t>：</w:t>
      </w:r>
    </w:p>
    <w:p w14:paraId="31D51B9F">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1</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抗震措施与抗震验算均鉴定为满足</w:t>
      </w:r>
      <w:r>
        <w:rPr>
          <w:rFonts w:hint="eastAsia" w:ascii="Times New Roman" w:hAnsi="Times New Roman" w:cs="Times New Roman"/>
          <w:color w:val="auto"/>
          <w:sz w:val="24"/>
          <w:szCs w:val="24"/>
          <w:highlight w:val="none"/>
          <w:lang w:val="en-US" w:eastAsia="zh-CN"/>
        </w:rPr>
        <w:t>；</w:t>
      </w:r>
    </w:p>
    <w:p w14:paraId="26D85968">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2</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抗震措施鉴定项目中的整体布置鉴定为满足，抗震构造措施鉴定为不满足，但抗震验算为满足</w:t>
      </w:r>
      <w:r>
        <w:rPr>
          <w:rFonts w:hint="eastAsia" w:ascii="Times New Roman" w:hAnsi="Times New Roman" w:cs="Times New Roman"/>
          <w:color w:val="auto"/>
          <w:sz w:val="24"/>
          <w:szCs w:val="24"/>
          <w:highlight w:val="none"/>
          <w:lang w:val="en-US" w:eastAsia="zh-CN"/>
        </w:rPr>
        <w:t>。</w:t>
      </w:r>
    </w:p>
    <w:p w14:paraId="3F8019E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 xml:space="preserve">2 </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lang w:val="en-US" w:eastAsia="zh-CN"/>
        </w:rPr>
        <w:t>符合下列情况之一，应鉴定为抗震性能不满足</w:t>
      </w:r>
      <w:r>
        <w:rPr>
          <w:rFonts w:hint="eastAsia" w:ascii="Times New Roman" w:hAnsi="Times New Roman" w:cs="Times New Roman"/>
          <w:color w:val="auto"/>
          <w:sz w:val="24"/>
          <w:szCs w:val="24"/>
          <w:highlight w:val="none"/>
          <w:lang w:val="en-US" w:eastAsia="zh-CN"/>
        </w:rPr>
        <w:t>：</w:t>
      </w:r>
    </w:p>
    <w:p w14:paraId="7FEA9B6E">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1</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抗震措施鉴定中的结构整体布置鉴定为不满足</w:t>
      </w:r>
      <w:r>
        <w:rPr>
          <w:rFonts w:hint="eastAsia" w:ascii="Times New Roman" w:hAnsi="Times New Roman" w:cs="Times New Roman"/>
          <w:color w:val="auto"/>
          <w:sz w:val="24"/>
          <w:szCs w:val="24"/>
          <w:highlight w:val="none"/>
          <w:lang w:val="en-US" w:eastAsia="zh-CN"/>
        </w:rPr>
        <w:t>；</w:t>
      </w:r>
    </w:p>
    <w:p w14:paraId="61AF4E3F">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2</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抗震验算鉴定为不满足。</w:t>
      </w:r>
    </w:p>
    <w:p w14:paraId="13188B1D">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7</w:t>
      </w:r>
      <w:r>
        <w:rPr>
          <w:rFonts w:hint="default" w:ascii="Times New Roman" w:hAnsi="Times New Roman" w:cs="Times New Roman"/>
          <w:color w:val="auto"/>
          <w:sz w:val="24"/>
          <w:szCs w:val="24"/>
          <w:highlight w:val="none"/>
          <w:lang w:val="en-US" w:eastAsia="zh-CN"/>
        </w:rPr>
        <w:t>.1.</w:t>
      </w:r>
      <w:r>
        <w:rPr>
          <w:rFonts w:hint="eastAsia" w:ascii="Times New Roman" w:hAnsi="Times New Roman" w:cs="Times New Roman"/>
          <w:color w:val="auto"/>
          <w:sz w:val="24"/>
          <w:szCs w:val="24"/>
          <w:highlight w:val="none"/>
          <w:lang w:val="en-US" w:eastAsia="zh-CN"/>
        </w:rPr>
        <w:t xml:space="preserve">11 </w:t>
      </w:r>
      <w:r>
        <w:rPr>
          <w:rFonts w:hint="default" w:ascii="Times New Roman" w:hAnsi="Times New Roman" w:cs="Times New Roman"/>
          <w:color w:val="auto"/>
          <w:sz w:val="24"/>
          <w:szCs w:val="24"/>
          <w:highlight w:val="none"/>
          <w:lang w:val="en-US" w:eastAsia="zh-CN"/>
        </w:rPr>
        <w:t xml:space="preserve"> 工业钢结构构筑物的抗震鉴定应符合现行国家标准《构筑物抗震鉴定标准》GB50117和《构筑物抗震设计规范》GB50191等的规定。</w:t>
      </w:r>
    </w:p>
    <w:p w14:paraId="15524A3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lang w:val="en-US" w:eastAsia="zh-CN"/>
        </w:rPr>
      </w:pPr>
      <w:r>
        <w:rPr>
          <w:rFonts w:hint="eastAsia" w:ascii="Times New Roman" w:hAnsi="Times New Roman" w:cs="Times New Roman"/>
          <w:color w:val="auto"/>
          <w:sz w:val="24"/>
          <w:szCs w:val="24"/>
          <w:highlight w:val="none"/>
          <w:lang w:val="en-US" w:eastAsia="zh-CN"/>
        </w:rPr>
        <w:t>7</w:t>
      </w:r>
      <w:r>
        <w:rPr>
          <w:rFonts w:hint="default" w:ascii="Times New Roman" w:hAnsi="Times New Roman" w:cs="Times New Roman"/>
          <w:color w:val="auto"/>
          <w:sz w:val="24"/>
          <w:szCs w:val="24"/>
          <w:highlight w:val="none"/>
          <w:lang w:val="en-US" w:eastAsia="zh-CN"/>
        </w:rPr>
        <w:t>.1.</w:t>
      </w:r>
      <w:r>
        <w:rPr>
          <w:rFonts w:hint="eastAsia" w:ascii="Times New Roman" w:hAnsi="Times New Roman" w:cs="Times New Roman"/>
          <w:color w:val="auto"/>
          <w:sz w:val="24"/>
          <w:szCs w:val="24"/>
          <w:highlight w:val="none"/>
          <w:lang w:val="en-US" w:eastAsia="zh-CN"/>
        </w:rPr>
        <w:t xml:space="preserve">12 </w:t>
      </w:r>
      <w:r>
        <w:rPr>
          <w:rFonts w:hint="default" w:ascii="Times New Roman" w:hAnsi="Times New Roman" w:cs="Times New Roman"/>
          <w:color w:val="auto"/>
          <w:sz w:val="24"/>
          <w:szCs w:val="24"/>
          <w:highlight w:val="none"/>
          <w:lang w:val="en-US" w:eastAsia="zh-CN"/>
        </w:rPr>
        <w:t xml:space="preserve"> 当不符合抗震鉴定要求时，可根据构造和承载力不符合的程度，通过综合分析确定采取加固或其他相应对策</w:t>
      </w:r>
      <w:r>
        <w:rPr>
          <w:rFonts w:hint="eastAsia" w:ascii="Times New Roman" w:hAnsi="Times New Roman" w:cs="Times New Roman"/>
          <w:color w:val="auto"/>
          <w:sz w:val="24"/>
          <w:szCs w:val="24"/>
          <w:highlight w:val="none"/>
          <w:lang w:val="en-US" w:eastAsia="zh-CN"/>
        </w:rPr>
        <w:t>。</w:t>
      </w:r>
    </w:p>
    <w:p w14:paraId="2C3D5F42">
      <w:pPr>
        <w:pStyle w:val="4"/>
        <w:keepNext/>
        <w:keepLines/>
        <w:pageBreakBefore w:val="0"/>
        <w:widowControl w:val="0"/>
        <w:kinsoku/>
        <w:wordWrap/>
        <w:overflowPunct/>
        <w:topLinePunct w:val="0"/>
        <w:autoSpaceDE/>
        <w:autoSpaceDN/>
        <w:bidi w:val="0"/>
        <w:adjustRightInd/>
        <w:snapToGrid/>
        <w:spacing w:before="120" w:after="120" w:line="360" w:lineRule="auto"/>
        <w:jc w:val="center"/>
        <w:textAlignment w:val="auto"/>
        <w:rPr>
          <w:rFonts w:hint="default" w:ascii="Times New Roman" w:hAnsi="Times New Roman" w:eastAsia="宋体" w:cs="Times New Roman"/>
          <w:color w:val="auto"/>
          <w:sz w:val="28"/>
          <w:szCs w:val="28"/>
          <w:lang w:val="en-US" w:eastAsia="zh-CN"/>
        </w:rPr>
      </w:pPr>
      <w:bookmarkStart w:id="56" w:name="_Toc26972"/>
      <w:r>
        <w:rPr>
          <w:rFonts w:hint="eastAsia" w:ascii="Times New Roman" w:hAnsi="Times New Roman" w:eastAsia="宋体" w:cs="Times New Roman"/>
          <w:color w:val="auto"/>
          <w:sz w:val="28"/>
          <w:szCs w:val="28"/>
          <w:lang w:val="en-US" w:eastAsia="zh-CN"/>
        </w:rPr>
        <w:t>7</w:t>
      </w:r>
      <w:r>
        <w:rPr>
          <w:rFonts w:hint="default" w:ascii="Times New Roman" w:hAnsi="Times New Roman" w:eastAsia="宋体" w:cs="Times New Roman"/>
          <w:color w:val="auto"/>
          <w:sz w:val="28"/>
          <w:szCs w:val="28"/>
          <w:lang w:val="en-US" w:eastAsia="zh-CN"/>
        </w:rPr>
        <w:t xml:space="preserve">.2 </w:t>
      </w:r>
      <w:r>
        <w:rPr>
          <w:rFonts w:hint="eastAsia" w:ascii="Times New Roman" w:hAnsi="Times New Roman" w:eastAsia="宋体" w:cs="Times New Roman"/>
          <w:color w:val="auto"/>
          <w:sz w:val="28"/>
          <w:szCs w:val="28"/>
          <w:lang w:val="en-US" w:eastAsia="zh-CN"/>
        </w:rPr>
        <w:t xml:space="preserve"> </w:t>
      </w:r>
      <w:r>
        <w:rPr>
          <w:rFonts w:hint="default" w:ascii="Times New Roman" w:hAnsi="Times New Roman" w:eastAsia="宋体" w:cs="Times New Roman"/>
          <w:color w:val="auto"/>
          <w:sz w:val="28"/>
          <w:szCs w:val="28"/>
          <w:lang w:val="en-US" w:eastAsia="zh-CN"/>
        </w:rPr>
        <w:t>主体结构抗震措施鉴定</w:t>
      </w:r>
      <w:bookmarkEnd w:id="56"/>
    </w:p>
    <w:p w14:paraId="088E2681">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eastAsia" w:ascii="Times New Roman" w:hAnsi="Times New Roman" w:cs="Times New Roman"/>
          <w:color w:val="auto"/>
          <w:sz w:val="24"/>
          <w:szCs w:val="24"/>
          <w:highlight w:val="none"/>
          <w:lang w:val="en-US" w:eastAsia="zh-CN"/>
        </w:rPr>
        <w:t>7</w:t>
      </w:r>
      <w:r>
        <w:rPr>
          <w:rFonts w:hint="default" w:ascii="Times New Roman" w:hAnsi="Times New Roman" w:cs="Times New Roman"/>
          <w:color w:val="auto"/>
          <w:sz w:val="24"/>
          <w:szCs w:val="24"/>
          <w:highlight w:val="none"/>
          <w:lang w:val="en-US" w:eastAsia="zh-CN"/>
        </w:rPr>
        <w:t xml:space="preserve">.2.1 </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lang w:val="en-US" w:eastAsia="zh-CN"/>
        </w:rPr>
        <w:t>既有建筑抗震措施鉴定，应根据后续工作年限，按照建筑结构类型、所在</w:t>
      </w:r>
      <w:r>
        <w:rPr>
          <w:rFonts w:hint="default" w:ascii="Times New Roman" w:hAnsi="Times New Roman" w:eastAsia="宋体" w:cs="Times New Roman"/>
          <w:color w:val="auto"/>
          <w:sz w:val="24"/>
          <w:szCs w:val="24"/>
        </w:rPr>
        <w:t>场地的抗震设防烈度和场地类别、建筑抗震设防类别确定其主要构造要求及核查的重点和薄弱环节。</w:t>
      </w:r>
    </w:p>
    <w:p w14:paraId="18B2E2ED">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eastAsia" w:ascii="Times New Roman" w:hAnsi="Times New Roman" w:cs="Times New Roman"/>
          <w:color w:val="auto"/>
          <w:sz w:val="24"/>
          <w:szCs w:val="24"/>
          <w:highlight w:val="none"/>
          <w:lang w:val="en-US" w:eastAsia="zh-CN"/>
        </w:rPr>
        <w:t>7</w:t>
      </w:r>
      <w:r>
        <w:rPr>
          <w:rFonts w:hint="default" w:ascii="Times New Roman" w:hAnsi="Times New Roman" w:cs="Times New Roman"/>
          <w:color w:val="auto"/>
          <w:sz w:val="24"/>
          <w:szCs w:val="24"/>
          <w:highlight w:val="none"/>
          <w:lang w:val="en-US" w:eastAsia="zh-CN"/>
        </w:rPr>
        <w:t xml:space="preserve">.2.2 </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lang w:val="en-US" w:eastAsia="zh-CN"/>
        </w:rPr>
        <w:t>主体结构抗震鉴定时，应依据其所在场地、地基和基础的有利和不利因素，</w:t>
      </w:r>
      <w:r>
        <w:rPr>
          <w:rFonts w:hint="default" w:ascii="Times New Roman" w:hAnsi="Times New Roman" w:eastAsia="宋体" w:cs="Times New Roman"/>
          <w:color w:val="auto"/>
          <w:sz w:val="24"/>
          <w:szCs w:val="24"/>
        </w:rPr>
        <w:t>对抗震要求作如下调整：</w:t>
      </w:r>
    </w:p>
    <w:p w14:paraId="325E86C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w:t>
      </w:r>
      <w:r>
        <w:rPr>
          <w:rFonts w:hint="eastAsia"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在各类场地中，当建筑物有全地下室、箱基、筏基和桩基时，应允许利用其有利作用，从宽调整主体结构的抗震鉴定要求；</w:t>
      </w:r>
    </w:p>
    <w:p w14:paraId="26CB594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w:t>
      </w:r>
      <w:r>
        <w:rPr>
          <w:rFonts w:hint="eastAsia"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对</w:t>
      </w:r>
      <w:r>
        <w:rPr>
          <w:rFonts w:hint="eastAsia" w:ascii="Times New Roman" w:hAnsi="Times New Roman" w:eastAsia="宋体" w:cs="Times New Roman"/>
          <w:color w:val="auto"/>
          <w:sz w:val="24"/>
          <w:szCs w:val="24"/>
          <w:lang w:val="en-US" w:eastAsia="zh-CN"/>
        </w:rPr>
        <w:t>密集的建筑</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包括</w:t>
      </w:r>
      <w:r>
        <w:rPr>
          <w:rFonts w:hint="default" w:ascii="Times New Roman" w:hAnsi="Times New Roman" w:eastAsia="宋体" w:cs="Times New Roman"/>
          <w:color w:val="auto"/>
          <w:sz w:val="24"/>
          <w:szCs w:val="24"/>
        </w:rPr>
        <w:t>防震缝两侧的</w:t>
      </w:r>
      <w:r>
        <w:rPr>
          <w:rFonts w:hint="eastAsia" w:ascii="Times New Roman" w:hAnsi="Times New Roman" w:eastAsia="宋体" w:cs="Times New Roman"/>
          <w:color w:val="auto"/>
          <w:sz w:val="24"/>
          <w:szCs w:val="24"/>
          <w:lang w:val="en-US" w:eastAsia="zh-CN"/>
        </w:rPr>
        <w:t>建</w:t>
      </w:r>
      <w:r>
        <w:rPr>
          <w:rFonts w:hint="default" w:ascii="Times New Roman" w:hAnsi="Times New Roman" w:eastAsia="宋体" w:cs="Times New Roman"/>
          <w:color w:val="auto"/>
          <w:sz w:val="24"/>
          <w:szCs w:val="24"/>
        </w:rPr>
        <w:t>筑，应从严调整相关部位的抗震鉴定要求；</w:t>
      </w:r>
    </w:p>
    <w:p w14:paraId="325D059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3</w:t>
      </w:r>
      <w:r>
        <w:rPr>
          <w:rFonts w:hint="eastAsia"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Ⅳ类场地、复杂地形、严重不均匀土层上的建筑以及同一主体结构子系统存在不同类型基础时，应从严调整抗震鉴定要求。</w:t>
      </w:r>
    </w:p>
    <w:p w14:paraId="3EC79385">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eastAsia" w:ascii="Times New Roman" w:hAnsi="Times New Roman" w:cs="Times New Roman"/>
          <w:color w:val="auto"/>
          <w:sz w:val="24"/>
          <w:szCs w:val="24"/>
          <w:highlight w:val="none"/>
          <w:lang w:val="en-US" w:eastAsia="zh-CN"/>
        </w:rPr>
        <w:t>7</w:t>
      </w:r>
      <w:r>
        <w:rPr>
          <w:rFonts w:hint="default" w:ascii="Times New Roman" w:hAnsi="Times New Roman" w:cs="Times New Roman"/>
          <w:color w:val="auto"/>
          <w:sz w:val="24"/>
          <w:szCs w:val="24"/>
          <w:highlight w:val="none"/>
          <w:lang w:val="en-US" w:eastAsia="zh-CN"/>
        </w:rPr>
        <w:t>.2.3</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lang w:val="en-US" w:eastAsia="zh-CN"/>
        </w:rPr>
        <w:t>当主体结构抗震鉴定发现建筑的平立面、质量、刚度分布或墙体抗侧力构</w:t>
      </w:r>
      <w:r>
        <w:rPr>
          <w:rFonts w:hint="default" w:ascii="Times New Roman" w:hAnsi="Times New Roman" w:eastAsia="宋体" w:cs="Times New Roman"/>
          <w:color w:val="auto"/>
          <w:sz w:val="24"/>
          <w:szCs w:val="24"/>
        </w:rPr>
        <w:t>件的布置在平面内明显不对称时，应进行地震扭转效应不利影响的分析；当结构竖向构件上下不连续或刚度沿高度分布有突变时，应查明薄弱部位并按相应的要求鉴定。</w:t>
      </w:r>
    </w:p>
    <w:p w14:paraId="4A884B1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eastAsia" w:ascii="Times New Roman" w:hAnsi="Times New Roman" w:cs="Times New Roman"/>
          <w:color w:val="auto"/>
          <w:sz w:val="24"/>
          <w:szCs w:val="24"/>
          <w:highlight w:val="none"/>
          <w:lang w:val="en-US" w:eastAsia="zh-CN"/>
        </w:rPr>
        <w:t>7</w:t>
      </w:r>
      <w:r>
        <w:rPr>
          <w:rFonts w:hint="default" w:ascii="Times New Roman" w:hAnsi="Times New Roman" w:cs="Times New Roman"/>
          <w:color w:val="auto"/>
          <w:sz w:val="24"/>
          <w:szCs w:val="24"/>
          <w:highlight w:val="none"/>
          <w:lang w:val="en-US" w:eastAsia="zh-CN"/>
        </w:rPr>
        <w:t xml:space="preserve">.2.4 </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lang w:val="en-US" w:eastAsia="zh-CN"/>
        </w:rPr>
        <w:t>核查结构体系时，应查明其破坏时可能导致整个体系丧失抗震能力的部件或构件；当房屋有错层或不同类型结构体系相连时，应提高其相应部位的抗震鉴</w:t>
      </w:r>
      <w:r>
        <w:rPr>
          <w:rFonts w:hint="default" w:ascii="Times New Roman" w:hAnsi="Times New Roman" w:eastAsia="宋体" w:cs="Times New Roman"/>
          <w:color w:val="auto"/>
          <w:sz w:val="24"/>
          <w:szCs w:val="24"/>
        </w:rPr>
        <w:t>定要求。</w:t>
      </w:r>
    </w:p>
    <w:p w14:paraId="7FE0A43A">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eastAsia" w:ascii="Times New Roman" w:hAnsi="Times New Roman" w:cs="Times New Roman"/>
          <w:color w:val="auto"/>
          <w:sz w:val="24"/>
          <w:szCs w:val="24"/>
          <w:highlight w:val="none"/>
          <w:lang w:val="en-US" w:eastAsia="zh-CN"/>
        </w:rPr>
        <w:t>7</w:t>
      </w:r>
      <w:r>
        <w:rPr>
          <w:rFonts w:hint="default" w:ascii="Times New Roman" w:hAnsi="Times New Roman" w:cs="Times New Roman"/>
          <w:color w:val="auto"/>
          <w:sz w:val="24"/>
          <w:szCs w:val="24"/>
          <w:highlight w:val="none"/>
          <w:lang w:val="en-US" w:eastAsia="zh-CN"/>
        </w:rPr>
        <w:t xml:space="preserve">.2.5 </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lang w:val="en-US" w:eastAsia="zh-CN"/>
        </w:rPr>
        <w:t>主体结构的抗震措施鉴定，应根据规定的后续工作年限、设防烈度与设防</w:t>
      </w:r>
      <w:r>
        <w:rPr>
          <w:rFonts w:hint="default" w:ascii="Times New Roman" w:hAnsi="Times New Roman" w:eastAsia="宋体" w:cs="Times New Roman"/>
          <w:color w:val="auto"/>
          <w:sz w:val="24"/>
          <w:szCs w:val="24"/>
        </w:rPr>
        <w:t>类别，对下列构造子项进行检查与评定：</w:t>
      </w:r>
    </w:p>
    <w:p w14:paraId="47725A9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w:t>
      </w:r>
      <w:r>
        <w:rPr>
          <w:rFonts w:hint="eastAsia"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房屋高度和层数；</w:t>
      </w:r>
    </w:p>
    <w:p w14:paraId="242404D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w:t>
      </w:r>
      <w:r>
        <w:rPr>
          <w:rFonts w:hint="eastAsia"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结构体系和结构布置；</w:t>
      </w:r>
    </w:p>
    <w:p w14:paraId="208276C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w:t>
      </w:r>
      <w:r>
        <w:rPr>
          <w:rFonts w:hint="eastAsia"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结构的规则性；</w:t>
      </w:r>
    </w:p>
    <w:p w14:paraId="1231306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w:t>
      </w:r>
      <w:r>
        <w:rPr>
          <w:rFonts w:hint="eastAsia"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结构构件材料的实际强度；</w:t>
      </w:r>
    </w:p>
    <w:p w14:paraId="51F3EFC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w:t>
      </w:r>
      <w:r>
        <w:rPr>
          <w:rFonts w:hint="eastAsia"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竖向构件的轴压比；</w:t>
      </w:r>
    </w:p>
    <w:p w14:paraId="1B09E1E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6</w:t>
      </w:r>
      <w:r>
        <w:rPr>
          <w:rFonts w:hint="eastAsia"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结构构件配筋构造；</w:t>
      </w:r>
    </w:p>
    <w:p w14:paraId="230862B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7</w:t>
      </w:r>
      <w:r>
        <w:rPr>
          <w:rFonts w:hint="eastAsia"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构件及其节点、连接的构造；</w:t>
      </w:r>
    </w:p>
    <w:p w14:paraId="178E303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8</w:t>
      </w:r>
      <w:r>
        <w:rPr>
          <w:rFonts w:hint="eastAsia"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非结构构件与承重结构连接的构造；</w:t>
      </w:r>
    </w:p>
    <w:p w14:paraId="4D75375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9</w:t>
      </w:r>
      <w:r>
        <w:rPr>
          <w:rFonts w:hint="eastAsia"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局部易损、易倒塌、易掉落部位连接的可靠性。</w:t>
      </w:r>
    </w:p>
    <w:p w14:paraId="25DECAF7">
      <w:pPr>
        <w:pStyle w:val="4"/>
        <w:keepNext/>
        <w:keepLines/>
        <w:pageBreakBefore w:val="0"/>
        <w:widowControl w:val="0"/>
        <w:kinsoku/>
        <w:wordWrap/>
        <w:overflowPunct/>
        <w:topLinePunct w:val="0"/>
        <w:autoSpaceDE/>
        <w:autoSpaceDN/>
        <w:bidi w:val="0"/>
        <w:adjustRightInd/>
        <w:snapToGrid/>
        <w:spacing w:before="120" w:after="120" w:line="360" w:lineRule="auto"/>
        <w:jc w:val="center"/>
        <w:textAlignment w:val="auto"/>
        <w:rPr>
          <w:rFonts w:hint="default" w:ascii="Times New Roman" w:hAnsi="Times New Roman" w:eastAsia="宋体" w:cs="Times New Roman"/>
          <w:color w:val="auto"/>
          <w:sz w:val="28"/>
          <w:szCs w:val="28"/>
          <w:lang w:val="en-US" w:eastAsia="zh-CN"/>
        </w:rPr>
      </w:pPr>
      <w:bookmarkStart w:id="57" w:name="_Toc32596"/>
      <w:r>
        <w:rPr>
          <w:rFonts w:hint="eastAsia" w:ascii="Times New Roman" w:hAnsi="Times New Roman" w:eastAsia="宋体" w:cs="Times New Roman"/>
          <w:color w:val="auto"/>
          <w:sz w:val="28"/>
          <w:szCs w:val="28"/>
          <w:lang w:val="en-US" w:eastAsia="zh-CN"/>
        </w:rPr>
        <w:t>7</w:t>
      </w:r>
      <w:r>
        <w:rPr>
          <w:rFonts w:hint="default" w:ascii="Times New Roman" w:hAnsi="Times New Roman" w:eastAsia="宋体" w:cs="Times New Roman"/>
          <w:color w:val="auto"/>
          <w:sz w:val="28"/>
          <w:szCs w:val="28"/>
          <w:lang w:val="en-US" w:eastAsia="zh-CN"/>
        </w:rPr>
        <w:t>.</w:t>
      </w:r>
      <w:r>
        <w:rPr>
          <w:rFonts w:hint="eastAsia" w:ascii="Times New Roman" w:hAnsi="Times New Roman" w:eastAsia="宋体" w:cs="Times New Roman"/>
          <w:color w:val="auto"/>
          <w:sz w:val="28"/>
          <w:szCs w:val="28"/>
          <w:lang w:val="en-US" w:eastAsia="zh-CN"/>
        </w:rPr>
        <w:t>3</w:t>
      </w:r>
      <w:r>
        <w:rPr>
          <w:rFonts w:hint="default" w:ascii="Times New Roman" w:hAnsi="Times New Roman" w:eastAsia="宋体" w:cs="Times New Roman"/>
          <w:color w:val="auto"/>
          <w:sz w:val="28"/>
          <w:szCs w:val="28"/>
          <w:lang w:val="en-US" w:eastAsia="zh-CN"/>
        </w:rPr>
        <w:t xml:space="preserve"> </w:t>
      </w:r>
      <w:r>
        <w:rPr>
          <w:rFonts w:hint="eastAsia" w:ascii="Times New Roman" w:hAnsi="Times New Roman" w:eastAsia="宋体" w:cs="Times New Roman"/>
          <w:color w:val="auto"/>
          <w:sz w:val="28"/>
          <w:szCs w:val="28"/>
          <w:lang w:val="en-US" w:eastAsia="zh-CN"/>
        </w:rPr>
        <w:t xml:space="preserve"> </w:t>
      </w:r>
      <w:r>
        <w:rPr>
          <w:rFonts w:hint="default" w:ascii="Times New Roman" w:hAnsi="Times New Roman" w:eastAsia="宋体" w:cs="Times New Roman"/>
          <w:color w:val="auto"/>
          <w:sz w:val="28"/>
          <w:szCs w:val="28"/>
          <w:lang w:val="en-US" w:eastAsia="zh-CN"/>
        </w:rPr>
        <w:t>单层钢筋混凝土柱厂房</w:t>
      </w:r>
      <w:bookmarkEnd w:id="57"/>
    </w:p>
    <w:p w14:paraId="5C1C5B8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7.3.</w:t>
      </w:r>
      <w:r>
        <w:rPr>
          <w:rFonts w:hint="default" w:ascii="Times New Roman" w:hAnsi="Times New Roman" w:cs="Times New Roman"/>
          <w:color w:val="auto"/>
          <w:sz w:val="24"/>
          <w:szCs w:val="24"/>
          <w:highlight w:val="none"/>
          <w:lang w:val="en-US" w:eastAsia="zh-CN"/>
        </w:rPr>
        <w:t>1</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lang w:val="en-US" w:eastAsia="zh-CN"/>
        </w:rPr>
        <w:t xml:space="preserve"> 下列薄弱环节应重点检查：</w:t>
      </w:r>
    </w:p>
    <w:p w14:paraId="7C377B8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w:t>
      </w:r>
      <w:r>
        <w:rPr>
          <w:rFonts w:hint="eastAsia"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6度时，应检查钢筋混凝土天窗架的形式和整体性，排架柱的选型，并注意出入口等处的高大山墙山尖部分的拉结；</w:t>
      </w:r>
    </w:p>
    <w:p w14:paraId="0C2D0D9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w:t>
      </w:r>
      <w:r>
        <w:rPr>
          <w:rFonts w:hint="eastAsia"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7度时，除了按上</w:t>
      </w:r>
      <w:r>
        <w:rPr>
          <w:rFonts w:hint="eastAsia" w:ascii="Times New Roman" w:hAnsi="Times New Roman" w:eastAsia="宋体" w:cs="Times New Roman"/>
          <w:color w:val="auto"/>
          <w:sz w:val="24"/>
          <w:szCs w:val="24"/>
          <w:lang w:val="en-US" w:eastAsia="zh-CN"/>
        </w:rPr>
        <w:t>述</w:t>
      </w:r>
      <w:r>
        <w:rPr>
          <w:rFonts w:hint="default" w:ascii="Times New Roman" w:hAnsi="Times New Roman" w:eastAsia="宋体" w:cs="Times New Roman"/>
          <w:color w:val="auto"/>
          <w:sz w:val="24"/>
          <w:szCs w:val="24"/>
        </w:rPr>
        <w:t>要求检查外，尚应检查屋盖中支承长度较小构件连接的可靠性，并注意出入口等处的女儿墙、高低跨封墙等构件的拉结构造。</w:t>
      </w:r>
    </w:p>
    <w:p w14:paraId="54BB446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7.3.</w:t>
      </w:r>
      <w:r>
        <w:rPr>
          <w:rFonts w:hint="default" w:ascii="Times New Roman" w:hAnsi="Times New Roman" w:cs="Times New Roman"/>
          <w:color w:val="auto"/>
          <w:sz w:val="24"/>
          <w:szCs w:val="24"/>
          <w:highlight w:val="none"/>
          <w:lang w:val="en-US" w:eastAsia="zh-CN"/>
        </w:rPr>
        <w:t xml:space="preserve">2 </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lang w:val="en-US" w:eastAsia="zh-CN"/>
        </w:rPr>
        <w:t>厂房的外观和内在质量宜复核下列要求：</w:t>
      </w:r>
    </w:p>
    <w:p w14:paraId="5063FBE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w:t>
      </w:r>
      <w:r>
        <w:rPr>
          <w:rFonts w:hint="eastAsia"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混凝土承重构件仅有少量微小裂缝或局部剥落，钢筋无露筋和锈蚀；</w:t>
      </w:r>
    </w:p>
    <w:p w14:paraId="79C52F8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2</w:t>
      </w:r>
      <w:r>
        <w:rPr>
          <w:rFonts w:hint="eastAsia"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屋盖构件无严重变形和歪斜</w:t>
      </w:r>
      <w:r>
        <w:rPr>
          <w:rFonts w:hint="eastAsia" w:ascii="Times New Roman" w:hAnsi="Times New Roman" w:eastAsia="宋体" w:cs="Times New Roman"/>
          <w:color w:val="auto"/>
          <w:sz w:val="24"/>
          <w:szCs w:val="24"/>
          <w:lang w:eastAsia="zh-CN"/>
        </w:rPr>
        <w:t>；</w:t>
      </w:r>
    </w:p>
    <w:p w14:paraId="45631F0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3</w:t>
      </w:r>
      <w:r>
        <w:rPr>
          <w:rFonts w:hint="eastAsia"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构件连接处无明显裂缝或松动</w:t>
      </w:r>
      <w:r>
        <w:rPr>
          <w:rFonts w:hint="eastAsia" w:ascii="Times New Roman" w:hAnsi="Times New Roman" w:eastAsia="宋体" w:cs="Times New Roman"/>
          <w:color w:val="auto"/>
          <w:sz w:val="24"/>
          <w:szCs w:val="24"/>
          <w:lang w:eastAsia="zh-CN"/>
        </w:rPr>
        <w:t>；</w:t>
      </w:r>
    </w:p>
    <w:p w14:paraId="35958C0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4</w:t>
      </w:r>
      <w:r>
        <w:rPr>
          <w:rFonts w:hint="eastAsia"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无不均匀沉降</w:t>
      </w:r>
      <w:r>
        <w:rPr>
          <w:rFonts w:hint="eastAsia" w:ascii="Times New Roman" w:hAnsi="Times New Roman" w:eastAsia="宋体" w:cs="Times New Roman"/>
          <w:color w:val="auto"/>
          <w:sz w:val="24"/>
          <w:szCs w:val="24"/>
          <w:lang w:eastAsia="zh-CN"/>
        </w:rPr>
        <w:t>；</w:t>
      </w:r>
    </w:p>
    <w:p w14:paraId="100E71A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 xml:space="preserve">5  </w:t>
      </w:r>
      <w:r>
        <w:rPr>
          <w:rFonts w:hint="default" w:ascii="Times New Roman" w:hAnsi="Times New Roman" w:eastAsia="宋体" w:cs="Times New Roman"/>
          <w:color w:val="auto"/>
          <w:sz w:val="24"/>
          <w:szCs w:val="24"/>
        </w:rPr>
        <w:t>无砖墙、钢构件的其他损伤。</w:t>
      </w:r>
    </w:p>
    <w:p w14:paraId="08E6F064">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eastAsia" w:ascii="Times New Roman" w:hAnsi="Times New Roman" w:cs="Times New Roman"/>
          <w:color w:val="auto"/>
          <w:sz w:val="24"/>
          <w:szCs w:val="24"/>
          <w:highlight w:val="none"/>
          <w:lang w:val="en-US" w:eastAsia="zh-CN"/>
        </w:rPr>
        <w:t>7.3.</w:t>
      </w:r>
      <w:r>
        <w:rPr>
          <w:rFonts w:hint="default" w:ascii="Times New Roman" w:hAnsi="Times New Roman" w:cs="Times New Roman"/>
          <w:color w:val="auto"/>
          <w:sz w:val="24"/>
          <w:szCs w:val="24"/>
          <w:highlight w:val="none"/>
          <w:lang w:val="en-US" w:eastAsia="zh-CN"/>
        </w:rPr>
        <w:t>3</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lang w:val="en-US" w:eastAsia="zh-CN"/>
        </w:rPr>
        <w:t>A类厂房，当结构布置、构件构造、支撑、结构构件连接和墙体连接等抗</w:t>
      </w:r>
      <w:r>
        <w:rPr>
          <w:rFonts w:hint="default" w:ascii="Times New Roman" w:hAnsi="Times New Roman" w:eastAsia="宋体" w:cs="Times New Roman"/>
          <w:color w:val="auto"/>
          <w:sz w:val="24"/>
          <w:szCs w:val="24"/>
        </w:rPr>
        <w:t>震构造措施满足要求时，一般情况，可评为满足抗震鉴定要求</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但对于7度Ⅲ、Ⅳ类场地且结构体系复杂或改造较多的其他厂房需要进行抗震验算。</w:t>
      </w:r>
    </w:p>
    <w:p w14:paraId="7C751EAC">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eastAsia" w:ascii="Times New Roman" w:hAnsi="Times New Roman" w:cs="Times New Roman"/>
          <w:color w:val="auto"/>
          <w:sz w:val="24"/>
          <w:szCs w:val="24"/>
          <w:highlight w:val="none"/>
          <w:lang w:val="en-US" w:eastAsia="zh-CN"/>
        </w:rPr>
        <w:t xml:space="preserve">7.3.4  </w:t>
      </w:r>
      <w:r>
        <w:rPr>
          <w:rFonts w:hint="default" w:ascii="Times New Roman" w:hAnsi="Times New Roman" w:cs="Times New Roman"/>
          <w:color w:val="auto"/>
          <w:sz w:val="24"/>
          <w:szCs w:val="24"/>
          <w:highlight w:val="none"/>
          <w:lang w:val="en-US" w:eastAsia="zh-CN"/>
        </w:rPr>
        <w:t>B类厂房，当结构布置、构件构造、支撑、结构构件连接和墙体连接等抗</w:t>
      </w:r>
      <w:r>
        <w:rPr>
          <w:rFonts w:hint="default" w:ascii="Times New Roman" w:hAnsi="Times New Roman" w:eastAsia="宋体" w:cs="Times New Roman"/>
          <w:color w:val="auto"/>
          <w:sz w:val="24"/>
          <w:szCs w:val="24"/>
        </w:rPr>
        <w:t>震构造措施满足要求时，6</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7度Ⅰ、Ⅱ类场地，柱高不超过10米且两端有山墙的单跨及等高多跨B类厂房（锯齿形厂房除外），可不进行截面抗震验算</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其他B类厂房，均应按现行国家标准《建筑抗震设计规范》GB50011的规定进行纵、横向的抗震计算。</w:t>
      </w:r>
    </w:p>
    <w:p w14:paraId="4DB2041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 xml:space="preserve">7.3.5  </w:t>
      </w:r>
      <w:r>
        <w:rPr>
          <w:rFonts w:hint="default" w:ascii="Times New Roman" w:hAnsi="Times New Roman" w:cs="Times New Roman"/>
          <w:color w:val="auto"/>
          <w:sz w:val="24"/>
          <w:szCs w:val="24"/>
          <w:highlight w:val="none"/>
          <w:lang w:val="en-US" w:eastAsia="zh-CN"/>
        </w:rPr>
        <w:t>A类单层钢筋混凝土柱厂房抗震措施鉴定</w:t>
      </w:r>
      <w:r>
        <w:rPr>
          <w:rFonts w:hint="eastAsia" w:ascii="Times New Roman" w:hAnsi="Times New Roman" w:cs="Times New Roman"/>
          <w:color w:val="auto"/>
          <w:sz w:val="24"/>
          <w:szCs w:val="24"/>
          <w:highlight w:val="none"/>
          <w:lang w:val="en-US" w:eastAsia="zh-CN"/>
        </w:rPr>
        <w:t>表，详附录E.1。</w:t>
      </w:r>
    </w:p>
    <w:p w14:paraId="10F5285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7</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3.6  B</w:t>
      </w:r>
      <w:r>
        <w:rPr>
          <w:rFonts w:hint="default" w:ascii="Times New Roman" w:hAnsi="Times New Roman" w:cs="Times New Roman"/>
          <w:color w:val="auto"/>
          <w:sz w:val="24"/>
          <w:szCs w:val="24"/>
          <w:highlight w:val="none"/>
          <w:lang w:val="en-US" w:eastAsia="zh-CN"/>
        </w:rPr>
        <w:t>类单层钢筋混凝土柱厂房抗震措施鉴定</w:t>
      </w:r>
      <w:r>
        <w:rPr>
          <w:rFonts w:hint="eastAsia" w:ascii="Times New Roman" w:hAnsi="Times New Roman" w:cs="Times New Roman"/>
          <w:color w:val="auto"/>
          <w:sz w:val="24"/>
          <w:szCs w:val="24"/>
          <w:highlight w:val="none"/>
          <w:lang w:val="en-US" w:eastAsia="zh-CN"/>
        </w:rPr>
        <w:t>表，详附录E.2。</w:t>
      </w:r>
    </w:p>
    <w:p w14:paraId="04B4F08C">
      <w:pPr>
        <w:pStyle w:val="4"/>
        <w:keepNext/>
        <w:keepLines/>
        <w:pageBreakBefore w:val="0"/>
        <w:widowControl w:val="0"/>
        <w:kinsoku/>
        <w:wordWrap/>
        <w:overflowPunct/>
        <w:topLinePunct w:val="0"/>
        <w:autoSpaceDE/>
        <w:autoSpaceDN/>
        <w:bidi w:val="0"/>
        <w:adjustRightInd/>
        <w:snapToGrid/>
        <w:spacing w:before="120" w:after="120" w:line="360" w:lineRule="auto"/>
        <w:jc w:val="center"/>
        <w:textAlignment w:val="auto"/>
        <w:rPr>
          <w:rFonts w:hint="default" w:ascii="Times New Roman" w:hAnsi="Times New Roman" w:eastAsia="宋体" w:cs="Times New Roman"/>
          <w:b/>
          <w:color w:val="auto"/>
          <w:sz w:val="28"/>
          <w:szCs w:val="28"/>
          <w:lang w:val="en-US" w:eastAsia="zh-CN"/>
        </w:rPr>
      </w:pPr>
      <w:bookmarkStart w:id="58" w:name="_Toc7716"/>
      <w:r>
        <w:rPr>
          <w:rFonts w:hint="eastAsia" w:ascii="Times New Roman" w:hAnsi="Times New Roman" w:eastAsia="宋体" w:cs="Times New Roman"/>
          <w:b/>
          <w:color w:val="auto"/>
          <w:sz w:val="28"/>
          <w:szCs w:val="28"/>
          <w:lang w:val="en-US" w:eastAsia="zh-CN"/>
        </w:rPr>
        <w:t>7</w:t>
      </w:r>
      <w:r>
        <w:rPr>
          <w:rFonts w:hint="default" w:ascii="Times New Roman" w:hAnsi="Times New Roman" w:eastAsia="宋体" w:cs="Times New Roman"/>
          <w:b/>
          <w:color w:val="auto"/>
          <w:sz w:val="28"/>
          <w:szCs w:val="28"/>
          <w:lang w:val="en-US" w:eastAsia="zh-CN"/>
        </w:rPr>
        <w:t>.</w:t>
      </w:r>
      <w:r>
        <w:rPr>
          <w:rFonts w:hint="eastAsia" w:ascii="Times New Roman" w:hAnsi="Times New Roman" w:eastAsia="宋体" w:cs="Times New Roman"/>
          <w:b/>
          <w:color w:val="auto"/>
          <w:sz w:val="28"/>
          <w:szCs w:val="28"/>
          <w:lang w:val="en-US" w:eastAsia="zh-CN"/>
        </w:rPr>
        <w:t>4</w:t>
      </w:r>
      <w:r>
        <w:rPr>
          <w:rFonts w:hint="default" w:ascii="Times New Roman" w:hAnsi="Times New Roman" w:eastAsia="宋体" w:cs="Times New Roman"/>
          <w:b/>
          <w:color w:val="auto"/>
          <w:sz w:val="28"/>
          <w:szCs w:val="28"/>
          <w:lang w:val="en-US" w:eastAsia="zh-CN"/>
        </w:rPr>
        <w:t xml:space="preserve"> </w:t>
      </w:r>
      <w:r>
        <w:rPr>
          <w:rFonts w:hint="eastAsia" w:ascii="Times New Roman" w:hAnsi="Times New Roman" w:eastAsia="宋体" w:cs="Times New Roman"/>
          <w:b/>
          <w:color w:val="auto"/>
          <w:sz w:val="28"/>
          <w:szCs w:val="28"/>
          <w:lang w:val="en-US" w:eastAsia="zh-CN"/>
        </w:rPr>
        <w:t xml:space="preserve"> </w:t>
      </w:r>
      <w:r>
        <w:rPr>
          <w:rFonts w:hint="default" w:ascii="Times New Roman" w:hAnsi="Times New Roman" w:eastAsia="宋体" w:cs="Times New Roman"/>
          <w:b/>
          <w:color w:val="auto"/>
          <w:sz w:val="28"/>
          <w:szCs w:val="28"/>
          <w:lang w:val="en-US" w:eastAsia="zh-CN"/>
        </w:rPr>
        <w:t>单层砖柱厂房</w:t>
      </w:r>
      <w:bookmarkEnd w:id="58"/>
    </w:p>
    <w:p w14:paraId="607F9DC3">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eastAsia" w:ascii="Times New Roman" w:hAnsi="Times New Roman" w:cs="Times New Roman"/>
          <w:color w:val="auto"/>
          <w:sz w:val="24"/>
          <w:szCs w:val="24"/>
          <w:highlight w:val="none"/>
          <w:lang w:val="en-US" w:eastAsia="zh-CN"/>
        </w:rPr>
        <w:t>7.4.</w:t>
      </w:r>
      <w:r>
        <w:rPr>
          <w:rFonts w:hint="default" w:ascii="Times New Roman" w:hAnsi="Times New Roman" w:cs="Times New Roman"/>
          <w:color w:val="auto"/>
          <w:sz w:val="24"/>
          <w:szCs w:val="24"/>
          <w:highlight w:val="none"/>
          <w:lang w:val="en-US" w:eastAsia="zh-CN"/>
        </w:rPr>
        <w:t>1</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lang w:val="en-US" w:eastAsia="zh-CN"/>
        </w:rPr>
        <w:t>A类厂房，当结构布置、构件构造、支撑、结构构件连接和墙体连接等抗</w:t>
      </w:r>
      <w:r>
        <w:rPr>
          <w:rFonts w:hint="default" w:ascii="Times New Roman" w:hAnsi="Times New Roman" w:eastAsia="宋体" w:cs="Times New Roman"/>
          <w:color w:val="auto"/>
          <w:sz w:val="24"/>
          <w:szCs w:val="24"/>
        </w:rPr>
        <w:t>震构造措施满足要求时，一般情况，可评为满足抗震鉴定要求</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但对于7度Ⅰ、Ⅱ类场地，单跨或多跨等高且高度超过6m的无筋砖墙垛、高度超过4.5m的等截面无筋独立砖柱</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混合排架房屋中高度</w:t>
      </w:r>
      <w:r>
        <w:rPr>
          <w:rFonts w:hint="eastAsia" w:ascii="Times New Roman" w:hAnsi="Times New Roman" w:eastAsia="宋体" w:cs="Times New Roman"/>
          <w:color w:val="auto"/>
          <w:sz w:val="24"/>
          <w:szCs w:val="24"/>
          <w:lang w:val="en-US" w:eastAsia="zh-CN"/>
        </w:rPr>
        <w:t>超</w:t>
      </w:r>
      <w:r>
        <w:rPr>
          <w:rFonts w:hint="default" w:ascii="Times New Roman" w:hAnsi="Times New Roman" w:eastAsia="宋体" w:cs="Times New Roman"/>
          <w:color w:val="auto"/>
          <w:sz w:val="24"/>
          <w:szCs w:val="24"/>
        </w:rPr>
        <w:t>过4.5m的无筋砖柱</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以及7度Ⅲ、Ⅳ类场地的无筋砖柱（墙垛）厂房需要进行抗震验算。</w:t>
      </w:r>
    </w:p>
    <w:p w14:paraId="4A2F7338">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eastAsia" w:ascii="Times New Roman" w:hAnsi="Times New Roman" w:cs="Times New Roman"/>
          <w:color w:val="auto"/>
          <w:sz w:val="24"/>
          <w:szCs w:val="24"/>
          <w:highlight w:val="none"/>
          <w:lang w:val="en-US" w:eastAsia="zh-CN"/>
        </w:rPr>
        <w:t xml:space="preserve">7.4.2  </w:t>
      </w:r>
      <w:r>
        <w:rPr>
          <w:rFonts w:hint="default" w:ascii="Times New Roman" w:hAnsi="Times New Roman" w:cs="Times New Roman"/>
          <w:color w:val="auto"/>
          <w:sz w:val="24"/>
          <w:szCs w:val="24"/>
          <w:highlight w:val="none"/>
          <w:lang w:val="en-US" w:eastAsia="zh-CN"/>
        </w:rPr>
        <w:t>B类厂房，当结构布置、构件构造、支撑、结构构件连接和墙体连接等抗</w:t>
      </w:r>
      <w:r>
        <w:rPr>
          <w:rFonts w:hint="default" w:ascii="Times New Roman" w:hAnsi="Times New Roman" w:eastAsia="宋体" w:cs="Times New Roman"/>
          <w:color w:val="auto"/>
          <w:sz w:val="24"/>
          <w:szCs w:val="24"/>
        </w:rPr>
        <w:t>震构造措施满足要求时，6度，7度Ⅰ、Ⅱ类场地，柱高不超过4.5米且两端有山墙的单跨及等高多跨B类厂房，可不进行截面抗震验算</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其他B类厂房，均应按现行国家标准《建筑抗震设计规范》GB50011的规定进行纵、横向的抗震计算。</w:t>
      </w:r>
    </w:p>
    <w:p w14:paraId="11E61EA9">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 xml:space="preserve">7.4.3  </w:t>
      </w:r>
      <w:r>
        <w:rPr>
          <w:rFonts w:hint="default" w:ascii="Times New Roman" w:hAnsi="Times New Roman" w:cs="Times New Roman"/>
          <w:color w:val="auto"/>
          <w:sz w:val="24"/>
          <w:szCs w:val="24"/>
          <w:highlight w:val="none"/>
          <w:lang w:val="en-US" w:eastAsia="zh-CN"/>
        </w:rPr>
        <w:t>A类单层砖柱厂房抗震措施鉴定</w:t>
      </w:r>
      <w:r>
        <w:rPr>
          <w:rFonts w:hint="eastAsia" w:ascii="Times New Roman" w:hAnsi="Times New Roman" w:cs="Times New Roman"/>
          <w:color w:val="auto"/>
          <w:sz w:val="24"/>
          <w:szCs w:val="24"/>
          <w:highlight w:val="none"/>
          <w:lang w:val="en-US" w:eastAsia="zh-CN"/>
        </w:rPr>
        <w:t>表，详附录E.3。</w:t>
      </w:r>
    </w:p>
    <w:p w14:paraId="1C72D23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imes New Roman" w:hAnsi="Times New Roman" w:cs="Times New Roman"/>
          <w:color w:val="auto"/>
          <w:sz w:val="28"/>
          <w:szCs w:val="28"/>
          <w:highlight w:val="none"/>
          <w:lang w:val="en-US" w:eastAsia="zh-CN"/>
        </w:rPr>
      </w:pPr>
      <w:r>
        <w:rPr>
          <w:rFonts w:hint="eastAsia" w:ascii="Times New Roman" w:hAnsi="Times New Roman" w:cs="Times New Roman"/>
          <w:color w:val="auto"/>
          <w:sz w:val="24"/>
          <w:szCs w:val="24"/>
          <w:highlight w:val="none"/>
          <w:lang w:val="en-US" w:eastAsia="zh-CN"/>
        </w:rPr>
        <w:t>7.4.4  B</w:t>
      </w:r>
      <w:r>
        <w:rPr>
          <w:rFonts w:hint="default" w:ascii="Times New Roman" w:hAnsi="Times New Roman" w:cs="Times New Roman"/>
          <w:color w:val="auto"/>
          <w:sz w:val="24"/>
          <w:szCs w:val="24"/>
          <w:highlight w:val="none"/>
          <w:lang w:val="en-US" w:eastAsia="zh-CN"/>
        </w:rPr>
        <w:t>类单层砖柱厂房抗震措施鉴定</w:t>
      </w:r>
      <w:r>
        <w:rPr>
          <w:rFonts w:hint="eastAsia" w:ascii="Times New Roman" w:hAnsi="Times New Roman" w:cs="Times New Roman"/>
          <w:color w:val="auto"/>
          <w:sz w:val="24"/>
          <w:szCs w:val="24"/>
          <w:highlight w:val="none"/>
          <w:lang w:val="en-US" w:eastAsia="zh-CN"/>
        </w:rPr>
        <w:t>表，详附录E.4。</w:t>
      </w:r>
    </w:p>
    <w:p w14:paraId="3B5858BE">
      <w:pPr>
        <w:pStyle w:val="4"/>
        <w:keepNext/>
        <w:keepLines/>
        <w:pageBreakBefore w:val="0"/>
        <w:widowControl w:val="0"/>
        <w:kinsoku/>
        <w:wordWrap/>
        <w:overflowPunct/>
        <w:topLinePunct w:val="0"/>
        <w:autoSpaceDE/>
        <w:autoSpaceDN/>
        <w:bidi w:val="0"/>
        <w:adjustRightInd/>
        <w:snapToGrid/>
        <w:spacing w:before="120" w:after="120" w:line="360" w:lineRule="auto"/>
        <w:jc w:val="center"/>
        <w:textAlignment w:val="auto"/>
        <w:rPr>
          <w:rFonts w:hint="eastAsia" w:ascii="Times New Roman" w:hAnsi="Times New Roman" w:eastAsia="宋体" w:cs="Times New Roman"/>
          <w:b/>
          <w:color w:val="auto"/>
          <w:sz w:val="28"/>
          <w:szCs w:val="28"/>
          <w:lang w:val="en-US" w:eastAsia="zh-CN"/>
        </w:rPr>
      </w:pPr>
      <w:bookmarkStart w:id="59" w:name="_Toc3199"/>
      <w:r>
        <w:rPr>
          <w:rFonts w:hint="eastAsia" w:ascii="Times New Roman" w:hAnsi="Times New Roman" w:eastAsia="宋体" w:cs="Times New Roman"/>
          <w:b/>
          <w:color w:val="auto"/>
          <w:sz w:val="28"/>
          <w:szCs w:val="28"/>
          <w:lang w:val="en-US" w:eastAsia="zh-CN"/>
        </w:rPr>
        <w:t>7</w:t>
      </w:r>
      <w:r>
        <w:rPr>
          <w:rFonts w:hint="default" w:ascii="Times New Roman" w:hAnsi="Times New Roman" w:eastAsia="宋体" w:cs="Times New Roman"/>
          <w:b/>
          <w:color w:val="auto"/>
          <w:sz w:val="28"/>
          <w:szCs w:val="28"/>
          <w:lang w:val="en-US" w:eastAsia="zh-CN"/>
        </w:rPr>
        <w:t>.</w:t>
      </w:r>
      <w:r>
        <w:rPr>
          <w:rFonts w:hint="eastAsia" w:ascii="Times New Roman" w:hAnsi="Times New Roman" w:eastAsia="宋体" w:cs="Times New Roman"/>
          <w:b/>
          <w:color w:val="auto"/>
          <w:sz w:val="28"/>
          <w:szCs w:val="28"/>
          <w:lang w:val="en-US" w:eastAsia="zh-CN"/>
        </w:rPr>
        <w:t>5</w:t>
      </w:r>
      <w:r>
        <w:rPr>
          <w:rFonts w:hint="default" w:ascii="Times New Roman" w:hAnsi="Times New Roman" w:eastAsia="宋体" w:cs="Times New Roman"/>
          <w:b/>
          <w:color w:val="auto"/>
          <w:sz w:val="28"/>
          <w:szCs w:val="28"/>
          <w:lang w:val="en-US" w:eastAsia="zh-CN"/>
        </w:rPr>
        <w:t xml:space="preserve"> </w:t>
      </w:r>
      <w:r>
        <w:rPr>
          <w:rFonts w:hint="eastAsia" w:ascii="Times New Roman" w:hAnsi="Times New Roman" w:eastAsia="宋体" w:cs="Times New Roman"/>
          <w:b/>
          <w:color w:val="auto"/>
          <w:sz w:val="28"/>
          <w:szCs w:val="28"/>
          <w:lang w:val="en-US" w:eastAsia="zh-CN"/>
        </w:rPr>
        <w:t xml:space="preserve"> 门式钢架轻型钢结构</w:t>
      </w:r>
      <w:bookmarkEnd w:id="59"/>
    </w:p>
    <w:p w14:paraId="1C86A7B9">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7.5.1  本</w:t>
      </w:r>
      <w:r>
        <w:rPr>
          <w:rFonts w:hint="default" w:ascii="Times New Roman" w:hAnsi="Times New Roman" w:cs="Times New Roman"/>
          <w:color w:val="auto"/>
          <w:sz w:val="24"/>
          <w:szCs w:val="24"/>
          <w:highlight w:val="none"/>
          <w:lang w:val="en-US" w:eastAsia="zh-CN"/>
        </w:rPr>
        <w:t>节适用于房屋高度不大于18m，房屋高宽比小于1，承重结构为单跨或多跨实腹式门式刚架轻型钢结构，具有轻型屋盖、无桥式吊车，或有起重量不大于20t的A1~A5工作级别的桥式吊车，或3t悬挂式起重机的单层工业钢结构的抗震鉴定。</w:t>
      </w:r>
    </w:p>
    <w:p w14:paraId="2EA02BB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7.5.2  门式刚架轻型钢结构的外观和内在质量，应重点核查下列内容：</w:t>
      </w:r>
    </w:p>
    <w:p w14:paraId="217F37F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1  柱、梁、檩条等受力构件是否无明显变形、锈蚀、裂纹等损伤；</w:t>
      </w:r>
    </w:p>
    <w:p w14:paraId="74C2824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2  构件和节点的焊缝外形是否均匀、成型较好，应无裂纹:咬边等质量缺陷；</w:t>
      </w:r>
    </w:p>
    <w:p w14:paraId="7365A87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3  连接螺栓、螺帽或铆钉是否存在松动或断裂、掉头、错位等损坏情况；对受剪为主的锚栓，其栓杆在托座盖板面上是否露出丝扣。</w:t>
      </w:r>
    </w:p>
    <w:p w14:paraId="0A6BE8B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 xml:space="preserve">7.5.3 </w:t>
      </w:r>
      <w:r>
        <w:rPr>
          <w:rFonts w:hint="default" w:ascii="Times New Roman" w:hAnsi="Times New Roman" w:cs="Times New Roman"/>
          <w:color w:val="auto"/>
          <w:sz w:val="24"/>
          <w:szCs w:val="24"/>
          <w:highlight w:val="none"/>
          <w:lang w:val="en-US" w:eastAsia="zh-CN"/>
        </w:rPr>
        <w:t xml:space="preserve"> 门式刚架轻型钢结构的整体布置鉴定应重点核查下列内容</w:t>
      </w:r>
      <w:r>
        <w:rPr>
          <w:rFonts w:hint="eastAsia" w:ascii="Times New Roman" w:hAnsi="Times New Roman" w:cs="Times New Roman"/>
          <w:color w:val="auto"/>
          <w:sz w:val="24"/>
          <w:szCs w:val="24"/>
          <w:highlight w:val="none"/>
          <w:lang w:val="en-US" w:eastAsia="zh-CN"/>
        </w:rPr>
        <w:t>：</w:t>
      </w:r>
    </w:p>
    <w:p w14:paraId="541EDCB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 xml:space="preserve">1 </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lang w:val="en-US" w:eastAsia="zh-CN"/>
        </w:rPr>
        <w:t>结构体系的合理性，应包括主刚架、天窗架、气楼架，墙架和吊车梁系统的布置</w:t>
      </w:r>
      <w:r>
        <w:rPr>
          <w:rFonts w:hint="eastAsia" w:ascii="Times New Roman" w:hAnsi="Times New Roman" w:cs="Times New Roman"/>
          <w:color w:val="auto"/>
          <w:sz w:val="24"/>
          <w:szCs w:val="24"/>
          <w:highlight w:val="none"/>
          <w:lang w:val="en-US" w:eastAsia="zh-CN"/>
        </w:rPr>
        <w:t>；</w:t>
      </w:r>
    </w:p>
    <w:p w14:paraId="5ED9084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 xml:space="preserve">2 </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lang w:val="en-US" w:eastAsia="zh-CN"/>
        </w:rPr>
        <w:t>屋盖和柱间支撑的完整性，圆钢支撑的张紧程度</w:t>
      </w:r>
      <w:r>
        <w:rPr>
          <w:rFonts w:hint="eastAsia" w:ascii="Times New Roman" w:hAnsi="Times New Roman" w:cs="Times New Roman"/>
          <w:color w:val="auto"/>
          <w:sz w:val="24"/>
          <w:szCs w:val="24"/>
          <w:highlight w:val="none"/>
          <w:lang w:val="en-US" w:eastAsia="zh-CN"/>
        </w:rPr>
        <w:t>；</w:t>
      </w:r>
    </w:p>
    <w:p w14:paraId="3D58457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 xml:space="preserve">3  </w:t>
      </w:r>
      <w:r>
        <w:rPr>
          <w:rFonts w:hint="default" w:ascii="Times New Roman" w:hAnsi="Times New Roman" w:cs="Times New Roman"/>
          <w:color w:val="auto"/>
          <w:sz w:val="24"/>
          <w:szCs w:val="24"/>
          <w:highlight w:val="none"/>
          <w:lang w:val="en-US" w:eastAsia="zh-CN"/>
        </w:rPr>
        <w:t>防震缝设置的合理性</w:t>
      </w:r>
      <w:r>
        <w:rPr>
          <w:rFonts w:hint="eastAsia" w:ascii="Times New Roman" w:hAnsi="Times New Roman" w:cs="Times New Roman"/>
          <w:color w:val="auto"/>
          <w:sz w:val="24"/>
          <w:szCs w:val="24"/>
          <w:highlight w:val="none"/>
          <w:lang w:val="en-US" w:eastAsia="zh-CN"/>
        </w:rPr>
        <w:t>；</w:t>
      </w:r>
    </w:p>
    <w:p w14:paraId="77405B2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 xml:space="preserve">4  </w:t>
      </w:r>
      <w:r>
        <w:rPr>
          <w:rFonts w:hint="default" w:ascii="Times New Roman" w:hAnsi="Times New Roman" w:cs="Times New Roman"/>
          <w:color w:val="auto"/>
          <w:sz w:val="24"/>
          <w:szCs w:val="24"/>
          <w:highlight w:val="none"/>
          <w:lang w:val="en-US" w:eastAsia="zh-CN"/>
        </w:rPr>
        <w:t>围护结构、辅助结构等非结构构件与主体结构连接的抗震构造措施。</w:t>
      </w:r>
    </w:p>
    <w:p w14:paraId="0501C77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7.5.4  门刚厂房抗震措施鉴定表详附录E.5。</w:t>
      </w:r>
    </w:p>
    <w:p w14:paraId="0BD84572">
      <w:pPr>
        <w:pStyle w:val="4"/>
        <w:keepNext/>
        <w:keepLines/>
        <w:pageBreakBefore w:val="0"/>
        <w:widowControl w:val="0"/>
        <w:kinsoku/>
        <w:wordWrap/>
        <w:overflowPunct/>
        <w:topLinePunct w:val="0"/>
        <w:autoSpaceDE/>
        <w:autoSpaceDN/>
        <w:bidi w:val="0"/>
        <w:adjustRightInd/>
        <w:snapToGrid/>
        <w:spacing w:before="120" w:after="120" w:line="360" w:lineRule="auto"/>
        <w:jc w:val="center"/>
        <w:textAlignment w:val="auto"/>
        <w:rPr>
          <w:rFonts w:hint="default" w:ascii="Times New Roman" w:hAnsi="Times New Roman" w:eastAsia="宋体" w:cs="Times New Roman"/>
          <w:b/>
          <w:color w:val="auto"/>
          <w:sz w:val="28"/>
          <w:szCs w:val="28"/>
          <w:lang w:val="en-US" w:eastAsia="zh-CN"/>
        </w:rPr>
      </w:pPr>
      <w:bookmarkStart w:id="60" w:name="_Toc23095"/>
      <w:r>
        <w:rPr>
          <w:rFonts w:hint="eastAsia" w:ascii="Times New Roman" w:hAnsi="Times New Roman" w:eastAsia="宋体" w:cs="Times New Roman"/>
          <w:b/>
          <w:color w:val="auto"/>
          <w:sz w:val="28"/>
          <w:szCs w:val="28"/>
          <w:lang w:val="en-US" w:eastAsia="zh-CN"/>
        </w:rPr>
        <w:t>7</w:t>
      </w:r>
      <w:r>
        <w:rPr>
          <w:rFonts w:hint="default" w:ascii="Times New Roman" w:hAnsi="Times New Roman" w:eastAsia="宋体" w:cs="Times New Roman"/>
          <w:b/>
          <w:color w:val="auto"/>
          <w:sz w:val="28"/>
          <w:szCs w:val="28"/>
          <w:lang w:val="en-US" w:eastAsia="zh-CN"/>
        </w:rPr>
        <w:t>.</w:t>
      </w:r>
      <w:r>
        <w:rPr>
          <w:rFonts w:hint="eastAsia" w:ascii="Times New Roman" w:hAnsi="Times New Roman" w:eastAsia="宋体" w:cs="Times New Roman"/>
          <w:b/>
          <w:color w:val="auto"/>
          <w:sz w:val="28"/>
          <w:szCs w:val="28"/>
          <w:lang w:val="en-US" w:eastAsia="zh-CN"/>
        </w:rPr>
        <w:t>6</w:t>
      </w:r>
      <w:r>
        <w:rPr>
          <w:rFonts w:hint="default" w:ascii="Times New Roman" w:hAnsi="Times New Roman" w:eastAsia="宋体" w:cs="Times New Roman"/>
          <w:b/>
          <w:color w:val="auto"/>
          <w:sz w:val="28"/>
          <w:szCs w:val="28"/>
          <w:lang w:val="en-US" w:eastAsia="zh-CN"/>
        </w:rPr>
        <w:t xml:space="preserve"> </w:t>
      </w:r>
      <w:r>
        <w:rPr>
          <w:rFonts w:hint="eastAsia" w:ascii="Times New Roman" w:hAnsi="Times New Roman" w:eastAsia="宋体" w:cs="Times New Roman"/>
          <w:b/>
          <w:color w:val="auto"/>
          <w:sz w:val="28"/>
          <w:szCs w:val="28"/>
          <w:lang w:val="en-US" w:eastAsia="zh-CN"/>
        </w:rPr>
        <w:t xml:space="preserve"> 单层钢结构厂房</w:t>
      </w:r>
      <w:bookmarkEnd w:id="60"/>
    </w:p>
    <w:p w14:paraId="654A7C2A">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 xml:space="preserve">7.6.1  </w:t>
      </w:r>
      <w:r>
        <w:rPr>
          <w:rFonts w:hint="default" w:ascii="Times New Roman" w:hAnsi="Times New Roman" w:cs="Times New Roman"/>
          <w:color w:val="auto"/>
          <w:sz w:val="24"/>
          <w:szCs w:val="24"/>
          <w:highlight w:val="none"/>
          <w:lang w:val="en-US" w:eastAsia="zh-CN"/>
        </w:rPr>
        <w:t>本节适用于承重结构由实腹式或格构式钢柱、钢桁架或钢梁等组成的单跨和多跨单层钢结构厂房的抗震鉴定，不适用于门式刚架轻型钢结构。</w:t>
      </w:r>
    </w:p>
    <w:p w14:paraId="68082F2A">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7</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6</w:t>
      </w:r>
      <w:r>
        <w:rPr>
          <w:rFonts w:hint="default" w:ascii="Times New Roman" w:hAnsi="Times New Roman" w:cs="Times New Roman"/>
          <w:color w:val="auto"/>
          <w:sz w:val="24"/>
          <w:szCs w:val="24"/>
          <w:highlight w:val="none"/>
          <w:lang w:val="en-US" w:eastAsia="zh-CN"/>
        </w:rPr>
        <w:t>.2</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lang w:val="en-US" w:eastAsia="zh-CN"/>
        </w:rPr>
        <w:t>单层钢结构厂房的整体布置及构造鉴定，应重点核查下列内容</w:t>
      </w:r>
      <w:r>
        <w:rPr>
          <w:rFonts w:hint="eastAsia" w:ascii="Times New Roman" w:hAnsi="Times New Roman" w:cs="Times New Roman"/>
          <w:color w:val="auto"/>
          <w:sz w:val="24"/>
          <w:szCs w:val="24"/>
          <w:highlight w:val="none"/>
          <w:lang w:val="en-US" w:eastAsia="zh-CN"/>
        </w:rPr>
        <w:t>：</w:t>
      </w:r>
    </w:p>
    <w:p w14:paraId="2200255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 xml:space="preserve">1 </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lang w:val="en-US" w:eastAsia="zh-CN"/>
        </w:rPr>
        <w:t>结构体系的合理性，应包括主框架、天窗架、气楼架墙架和吊车梁系统的布置</w:t>
      </w:r>
      <w:r>
        <w:rPr>
          <w:rFonts w:hint="eastAsia" w:ascii="Times New Roman" w:hAnsi="Times New Roman" w:cs="Times New Roman"/>
          <w:color w:val="auto"/>
          <w:sz w:val="24"/>
          <w:szCs w:val="24"/>
          <w:highlight w:val="none"/>
          <w:lang w:val="en-US" w:eastAsia="zh-CN"/>
        </w:rPr>
        <w:t>；</w:t>
      </w:r>
    </w:p>
    <w:p w14:paraId="0C1B706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 xml:space="preserve">2  </w:t>
      </w:r>
      <w:r>
        <w:rPr>
          <w:rFonts w:hint="default" w:ascii="Times New Roman" w:hAnsi="Times New Roman" w:cs="Times New Roman"/>
          <w:color w:val="auto"/>
          <w:sz w:val="24"/>
          <w:szCs w:val="24"/>
          <w:highlight w:val="none"/>
          <w:lang w:val="en-US" w:eastAsia="zh-CN"/>
        </w:rPr>
        <w:t>屋盖和柱间支撑的完整性</w:t>
      </w:r>
      <w:r>
        <w:rPr>
          <w:rFonts w:hint="eastAsia" w:ascii="Times New Roman" w:hAnsi="Times New Roman" w:cs="Times New Roman"/>
          <w:color w:val="auto"/>
          <w:sz w:val="24"/>
          <w:szCs w:val="24"/>
          <w:highlight w:val="none"/>
          <w:lang w:val="en-US" w:eastAsia="zh-CN"/>
        </w:rPr>
        <w:t>；</w:t>
      </w:r>
    </w:p>
    <w:p w14:paraId="3A8184F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 xml:space="preserve">3  </w:t>
      </w:r>
      <w:r>
        <w:rPr>
          <w:rFonts w:hint="default" w:ascii="Times New Roman" w:hAnsi="Times New Roman" w:cs="Times New Roman"/>
          <w:color w:val="auto"/>
          <w:sz w:val="24"/>
          <w:szCs w:val="24"/>
          <w:highlight w:val="none"/>
          <w:lang w:val="en-US" w:eastAsia="zh-CN"/>
        </w:rPr>
        <w:t>柱间支撑的有关连接部位构造，并注意平面不规则、墙体布置不对称和相连房屋结构导致质量、刚度不均匀造成扭转的影响</w:t>
      </w:r>
      <w:r>
        <w:rPr>
          <w:rFonts w:hint="eastAsia" w:ascii="Times New Roman" w:hAnsi="Times New Roman" w:cs="Times New Roman"/>
          <w:color w:val="auto"/>
          <w:sz w:val="24"/>
          <w:szCs w:val="24"/>
          <w:highlight w:val="none"/>
          <w:lang w:val="en-US" w:eastAsia="zh-CN"/>
        </w:rPr>
        <w:t>；</w:t>
      </w:r>
    </w:p>
    <w:p w14:paraId="025760B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4</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lang w:val="en-US" w:eastAsia="zh-CN"/>
        </w:rPr>
        <w:t>大型屋面板连接的可靠性、屋盖中支承长度较小构件连接的可靠性，并注意出入口等处的高大山墙山尖部分、出人口等处的女儿墙、高低跨“封堵砖墙”等构件的拉结构造</w:t>
      </w:r>
      <w:r>
        <w:rPr>
          <w:rFonts w:hint="eastAsia" w:ascii="Times New Roman" w:hAnsi="Times New Roman" w:cs="Times New Roman"/>
          <w:color w:val="auto"/>
          <w:sz w:val="24"/>
          <w:szCs w:val="24"/>
          <w:highlight w:val="none"/>
          <w:lang w:val="en-US" w:eastAsia="zh-CN"/>
        </w:rPr>
        <w:t>；</w:t>
      </w:r>
    </w:p>
    <w:p w14:paraId="3E7C89E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 xml:space="preserve">5  </w:t>
      </w:r>
      <w:r>
        <w:rPr>
          <w:rFonts w:hint="default" w:ascii="Times New Roman" w:hAnsi="Times New Roman" w:cs="Times New Roman"/>
          <w:color w:val="auto"/>
          <w:sz w:val="24"/>
          <w:szCs w:val="24"/>
          <w:highlight w:val="none"/>
          <w:lang w:val="en-US" w:eastAsia="zh-CN"/>
        </w:rPr>
        <w:t>防震缝设置的合理性</w:t>
      </w:r>
      <w:r>
        <w:rPr>
          <w:rFonts w:hint="eastAsia" w:ascii="Times New Roman" w:hAnsi="Times New Roman" w:cs="Times New Roman"/>
          <w:color w:val="auto"/>
          <w:sz w:val="24"/>
          <w:szCs w:val="24"/>
          <w:highlight w:val="none"/>
          <w:lang w:val="en-US" w:eastAsia="zh-CN"/>
        </w:rPr>
        <w:t>；</w:t>
      </w:r>
    </w:p>
    <w:p w14:paraId="2870906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 xml:space="preserve">6  </w:t>
      </w:r>
      <w:r>
        <w:rPr>
          <w:rFonts w:hint="default" w:ascii="Times New Roman" w:hAnsi="Times New Roman" w:cs="Times New Roman"/>
          <w:color w:val="auto"/>
          <w:sz w:val="24"/>
          <w:szCs w:val="24"/>
          <w:highlight w:val="none"/>
          <w:lang w:val="en-US" w:eastAsia="zh-CN"/>
        </w:rPr>
        <w:t>围护结构、辅助结构等非结构构件与主体结构连接的抗震构造措施。</w:t>
      </w:r>
    </w:p>
    <w:p w14:paraId="7FA6EF4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 xml:space="preserve">7.6.3  </w:t>
      </w:r>
      <w:r>
        <w:rPr>
          <w:rFonts w:hint="default" w:ascii="Times New Roman" w:hAnsi="Times New Roman" w:cs="Times New Roman"/>
          <w:color w:val="auto"/>
          <w:sz w:val="24"/>
          <w:szCs w:val="24"/>
          <w:highlight w:val="none"/>
          <w:lang w:val="en-US" w:eastAsia="zh-CN"/>
        </w:rPr>
        <w:t>单层钢结构厂房出现下列情况之一时，其整体布置应鉴定为不满足</w:t>
      </w:r>
      <w:r>
        <w:rPr>
          <w:rFonts w:hint="eastAsia" w:ascii="Times New Roman" w:hAnsi="Times New Roman" w:cs="Times New Roman"/>
          <w:color w:val="auto"/>
          <w:sz w:val="24"/>
          <w:szCs w:val="24"/>
          <w:highlight w:val="none"/>
          <w:lang w:val="en-US" w:eastAsia="zh-CN"/>
        </w:rPr>
        <w:t>：</w:t>
      </w:r>
    </w:p>
    <w:p w14:paraId="704BA43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1</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lang w:val="en-US" w:eastAsia="zh-CN"/>
        </w:rPr>
        <w:t xml:space="preserve"> 整个结构会因部分结构或构件破坏而丧失抗震能力或对重力荷载的承载能力</w:t>
      </w:r>
      <w:r>
        <w:rPr>
          <w:rFonts w:hint="eastAsia" w:ascii="Times New Roman" w:hAnsi="Times New Roman" w:cs="Times New Roman"/>
          <w:color w:val="auto"/>
          <w:sz w:val="24"/>
          <w:szCs w:val="24"/>
          <w:highlight w:val="none"/>
          <w:lang w:val="en-US" w:eastAsia="zh-CN"/>
        </w:rPr>
        <w:t>；</w:t>
      </w:r>
    </w:p>
    <w:p w14:paraId="34CEFF2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 xml:space="preserve">2 </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lang w:val="en-US" w:eastAsia="zh-CN"/>
        </w:rPr>
        <w:t>主体结构、屋盖支撑和柱间支撑布置不能形成完整的结构体系</w:t>
      </w:r>
      <w:r>
        <w:rPr>
          <w:rFonts w:hint="eastAsia" w:ascii="Times New Roman" w:hAnsi="Times New Roman" w:cs="Times New Roman"/>
          <w:color w:val="auto"/>
          <w:sz w:val="24"/>
          <w:szCs w:val="24"/>
          <w:highlight w:val="none"/>
          <w:lang w:val="en-US" w:eastAsia="zh-CN"/>
        </w:rPr>
        <w:t>；</w:t>
      </w:r>
    </w:p>
    <w:p w14:paraId="01A984B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 xml:space="preserve">3 </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lang w:val="en-US" w:eastAsia="zh-CN"/>
        </w:rPr>
        <w:t>围护系统与主体结构的连接存在构造不合理或承载力不足，或围护系统自身存在坍塌的隐患，或围护系统存在危及主体结构安全的隐患</w:t>
      </w:r>
      <w:r>
        <w:rPr>
          <w:rFonts w:hint="eastAsia" w:ascii="Times New Roman" w:hAnsi="Times New Roman" w:cs="Times New Roman"/>
          <w:color w:val="auto"/>
          <w:sz w:val="24"/>
          <w:szCs w:val="24"/>
          <w:highlight w:val="none"/>
          <w:lang w:val="en-US" w:eastAsia="zh-CN"/>
        </w:rPr>
        <w:t>；</w:t>
      </w:r>
    </w:p>
    <w:p w14:paraId="7D8C688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4</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lang w:val="en-US" w:eastAsia="zh-CN"/>
        </w:rPr>
        <w:t xml:space="preserve"> 结构的主要构件、主要节点或支座等存在会严重影响主体结构抗震能力的缺陷或损伤</w:t>
      </w:r>
      <w:r>
        <w:rPr>
          <w:rFonts w:hint="eastAsia" w:ascii="Times New Roman" w:hAnsi="Times New Roman" w:cs="Times New Roman"/>
          <w:color w:val="auto"/>
          <w:sz w:val="24"/>
          <w:szCs w:val="24"/>
          <w:highlight w:val="none"/>
          <w:lang w:val="en-US" w:eastAsia="zh-CN"/>
        </w:rPr>
        <w:t>；</w:t>
      </w:r>
    </w:p>
    <w:p w14:paraId="415FD6E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 xml:space="preserve">5 </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lang w:val="en-US" w:eastAsia="zh-CN"/>
        </w:rPr>
        <w:t>厂房有严重的不均匀沉降</w:t>
      </w:r>
      <w:r>
        <w:rPr>
          <w:rFonts w:hint="eastAsia" w:ascii="Times New Roman" w:hAnsi="Times New Roman" w:cs="Times New Roman"/>
          <w:color w:val="auto"/>
          <w:sz w:val="24"/>
          <w:szCs w:val="24"/>
          <w:highlight w:val="none"/>
          <w:lang w:val="en-US" w:eastAsia="zh-CN"/>
        </w:rPr>
        <w:t>；</w:t>
      </w:r>
    </w:p>
    <w:p w14:paraId="6E7AE8A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 xml:space="preserve">6  </w:t>
      </w:r>
      <w:r>
        <w:rPr>
          <w:rFonts w:hint="default" w:ascii="Times New Roman" w:hAnsi="Times New Roman" w:cs="Times New Roman"/>
          <w:color w:val="auto"/>
          <w:sz w:val="24"/>
          <w:szCs w:val="24"/>
          <w:highlight w:val="none"/>
          <w:lang w:val="en-US" w:eastAsia="zh-CN"/>
        </w:rPr>
        <w:t>出现对结构整体抗震性能有严重不利影响的其他情况</w:t>
      </w:r>
      <w:r>
        <w:rPr>
          <w:rFonts w:hint="eastAsia" w:ascii="Times New Roman" w:hAnsi="Times New Roman" w:cs="Times New Roman"/>
          <w:color w:val="auto"/>
          <w:sz w:val="24"/>
          <w:szCs w:val="24"/>
          <w:highlight w:val="none"/>
          <w:lang w:val="en-US" w:eastAsia="zh-CN"/>
        </w:rPr>
        <w:t>。</w:t>
      </w:r>
    </w:p>
    <w:p w14:paraId="34FC3299">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7.6.4  A</w:t>
      </w:r>
      <w:r>
        <w:rPr>
          <w:rFonts w:hint="default" w:ascii="Times New Roman" w:hAnsi="Times New Roman" w:cs="Times New Roman"/>
          <w:color w:val="auto"/>
          <w:sz w:val="24"/>
          <w:szCs w:val="24"/>
          <w:highlight w:val="none"/>
          <w:lang w:val="en-US" w:eastAsia="zh-CN"/>
        </w:rPr>
        <w:t>类</w:t>
      </w:r>
      <w:r>
        <w:rPr>
          <w:rFonts w:hint="eastAsia" w:ascii="Times New Roman" w:hAnsi="Times New Roman" w:cs="Times New Roman"/>
          <w:color w:val="auto"/>
          <w:sz w:val="24"/>
          <w:szCs w:val="24"/>
          <w:highlight w:val="none"/>
          <w:lang w:val="en-US" w:eastAsia="zh-CN"/>
        </w:rPr>
        <w:t>单层钢结构</w:t>
      </w:r>
      <w:r>
        <w:rPr>
          <w:rFonts w:hint="default" w:ascii="Times New Roman" w:hAnsi="Times New Roman" w:cs="Times New Roman"/>
          <w:color w:val="auto"/>
          <w:sz w:val="24"/>
          <w:szCs w:val="24"/>
          <w:highlight w:val="none"/>
          <w:lang w:val="en-US" w:eastAsia="zh-CN"/>
        </w:rPr>
        <w:t>厂房抗震措施鉴定</w:t>
      </w:r>
      <w:r>
        <w:rPr>
          <w:rFonts w:hint="eastAsia" w:ascii="Times New Roman" w:hAnsi="Times New Roman" w:cs="Times New Roman"/>
          <w:color w:val="auto"/>
          <w:sz w:val="24"/>
          <w:szCs w:val="24"/>
          <w:highlight w:val="none"/>
          <w:lang w:val="en-US" w:eastAsia="zh-CN"/>
        </w:rPr>
        <w:t>表，详附录E.6。</w:t>
      </w:r>
    </w:p>
    <w:p w14:paraId="1F98377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7.6.5  B</w:t>
      </w:r>
      <w:r>
        <w:rPr>
          <w:rFonts w:hint="default" w:ascii="Times New Roman" w:hAnsi="Times New Roman" w:cs="Times New Roman"/>
          <w:color w:val="auto"/>
          <w:sz w:val="24"/>
          <w:szCs w:val="24"/>
          <w:highlight w:val="none"/>
          <w:lang w:val="en-US" w:eastAsia="zh-CN"/>
        </w:rPr>
        <w:t>类</w:t>
      </w:r>
      <w:r>
        <w:rPr>
          <w:rFonts w:hint="eastAsia" w:ascii="Times New Roman" w:hAnsi="Times New Roman" w:cs="Times New Roman"/>
          <w:color w:val="auto"/>
          <w:sz w:val="24"/>
          <w:szCs w:val="24"/>
          <w:highlight w:val="none"/>
          <w:lang w:val="en-US" w:eastAsia="zh-CN"/>
        </w:rPr>
        <w:t>单层钢结构</w:t>
      </w:r>
      <w:r>
        <w:rPr>
          <w:rFonts w:hint="default" w:ascii="Times New Roman" w:hAnsi="Times New Roman" w:cs="Times New Roman"/>
          <w:color w:val="auto"/>
          <w:sz w:val="24"/>
          <w:szCs w:val="24"/>
          <w:highlight w:val="none"/>
          <w:lang w:val="en-US" w:eastAsia="zh-CN"/>
        </w:rPr>
        <w:t>厂房抗震措施鉴定</w:t>
      </w:r>
      <w:r>
        <w:rPr>
          <w:rFonts w:hint="eastAsia" w:ascii="Times New Roman" w:hAnsi="Times New Roman" w:cs="Times New Roman"/>
          <w:color w:val="auto"/>
          <w:sz w:val="24"/>
          <w:szCs w:val="24"/>
          <w:highlight w:val="none"/>
          <w:lang w:val="en-US" w:eastAsia="zh-CN"/>
        </w:rPr>
        <w:t>表，详附录E.7。</w:t>
      </w:r>
    </w:p>
    <w:p w14:paraId="1BFBF040">
      <w:pPr>
        <w:pStyle w:val="4"/>
        <w:keepNext/>
        <w:keepLines/>
        <w:pageBreakBefore w:val="0"/>
        <w:widowControl w:val="0"/>
        <w:kinsoku/>
        <w:wordWrap/>
        <w:overflowPunct/>
        <w:topLinePunct w:val="0"/>
        <w:autoSpaceDE/>
        <w:autoSpaceDN/>
        <w:bidi w:val="0"/>
        <w:adjustRightInd/>
        <w:snapToGrid/>
        <w:spacing w:before="120" w:after="120" w:line="360" w:lineRule="auto"/>
        <w:jc w:val="center"/>
        <w:textAlignment w:val="auto"/>
        <w:rPr>
          <w:rFonts w:hint="default" w:ascii="Times New Roman" w:hAnsi="Times New Roman" w:eastAsia="宋体" w:cs="Times New Roman"/>
          <w:b/>
          <w:color w:val="auto"/>
          <w:sz w:val="28"/>
          <w:szCs w:val="28"/>
          <w:lang w:val="en-US" w:eastAsia="zh-CN"/>
        </w:rPr>
      </w:pPr>
      <w:bookmarkStart w:id="61" w:name="_Toc31521"/>
      <w:r>
        <w:rPr>
          <w:rFonts w:hint="eastAsia" w:ascii="Times New Roman" w:hAnsi="Times New Roman" w:eastAsia="宋体" w:cs="Times New Roman"/>
          <w:b/>
          <w:color w:val="auto"/>
          <w:sz w:val="28"/>
          <w:szCs w:val="28"/>
          <w:lang w:val="en-US" w:eastAsia="zh-CN"/>
        </w:rPr>
        <w:t>7</w:t>
      </w:r>
      <w:r>
        <w:rPr>
          <w:rFonts w:hint="default" w:ascii="Times New Roman" w:hAnsi="Times New Roman" w:eastAsia="宋体" w:cs="Times New Roman"/>
          <w:b/>
          <w:color w:val="auto"/>
          <w:sz w:val="28"/>
          <w:szCs w:val="28"/>
          <w:lang w:val="en-US" w:eastAsia="zh-CN"/>
        </w:rPr>
        <w:t>.</w:t>
      </w:r>
      <w:r>
        <w:rPr>
          <w:rFonts w:hint="eastAsia" w:ascii="Times New Roman" w:hAnsi="Times New Roman" w:eastAsia="宋体" w:cs="Times New Roman"/>
          <w:b/>
          <w:color w:val="auto"/>
          <w:sz w:val="28"/>
          <w:szCs w:val="28"/>
          <w:lang w:val="en-US" w:eastAsia="zh-CN"/>
        </w:rPr>
        <w:t>7</w:t>
      </w:r>
      <w:r>
        <w:rPr>
          <w:rFonts w:hint="default" w:ascii="Times New Roman" w:hAnsi="Times New Roman" w:eastAsia="宋体" w:cs="Times New Roman"/>
          <w:b/>
          <w:color w:val="auto"/>
          <w:sz w:val="28"/>
          <w:szCs w:val="28"/>
          <w:lang w:val="en-US" w:eastAsia="zh-CN"/>
        </w:rPr>
        <w:t xml:space="preserve"> </w:t>
      </w:r>
      <w:r>
        <w:rPr>
          <w:rFonts w:hint="eastAsia" w:ascii="Times New Roman" w:hAnsi="Times New Roman" w:eastAsia="宋体" w:cs="Times New Roman"/>
          <w:b/>
          <w:color w:val="auto"/>
          <w:sz w:val="28"/>
          <w:szCs w:val="28"/>
          <w:lang w:val="en-US" w:eastAsia="zh-CN"/>
        </w:rPr>
        <w:t xml:space="preserve"> 钢框钢排架结构</w:t>
      </w:r>
      <w:bookmarkEnd w:id="61"/>
    </w:p>
    <w:p w14:paraId="6335D4F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 xml:space="preserve">7.7.1  </w:t>
      </w:r>
      <w:r>
        <w:rPr>
          <w:rFonts w:hint="default" w:ascii="Times New Roman" w:hAnsi="Times New Roman" w:cs="Times New Roman"/>
          <w:color w:val="auto"/>
          <w:sz w:val="24"/>
          <w:szCs w:val="24"/>
          <w:highlight w:val="none"/>
          <w:lang w:val="en-US" w:eastAsia="zh-CN"/>
        </w:rPr>
        <w:t>本节适用于多层钢框架或钢框架-支撑结构与单层排架侧向组成的横向框排架结构的抗震鉴定</w:t>
      </w:r>
      <w:r>
        <w:rPr>
          <w:rFonts w:hint="eastAsia" w:ascii="Times New Roman" w:hAnsi="Times New Roman" w:cs="Times New Roman"/>
          <w:color w:val="auto"/>
          <w:sz w:val="24"/>
          <w:szCs w:val="24"/>
          <w:highlight w:val="none"/>
          <w:lang w:val="en-US" w:eastAsia="zh-CN"/>
        </w:rPr>
        <w:t>。</w:t>
      </w:r>
    </w:p>
    <w:p w14:paraId="5B8D16A9">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7.7.2  钢结构框排架抗震鉴定时，应重点检查以下内容：</w:t>
      </w:r>
    </w:p>
    <w:p w14:paraId="303F46F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1  承重梁、柱、楼板的钢材材质、厚度和连接，支撑连接节点；</w:t>
      </w:r>
    </w:p>
    <w:p w14:paraId="3913276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2  墙体与承重结构的连接；</w:t>
      </w:r>
    </w:p>
    <w:p w14:paraId="4FD52C6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3  场地条件的不利影响；</w:t>
      </w:r>
    </w:p>
    <w:p w14:paraId="5578B15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color w:val="auto"/>
          <w:sz w:val="28"/>
          <w:szCs w:val="28"/>
          <w:highlight w:val="none"/>
          <w:lang w:val="en-US" w:eastAsia="zh-CN"/>
        </w:rPr>
      </w:pPr>
      <w:r>
        <w:rPr>
          <w:rFonts w:hint="eastAsia" w:ascii="Times New Roman" w:hAnsi="Times New Roman" w:cs="Times New Roman"/>
          <w:color w:val="auto"/>
          <w:sz w:val="24"/>
          <w:szCs w:val="24"/>
          <w:highlight w:val="none"/>
          <w:lang w:val="en-US" w:eastAsia="zh-CN"/>
        </w:rPr>
        <w:t>4  设备的振动和偏心。</w:t>
      </w:r>
    </w:p>
    <w:p w14:paraId="5272AE6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 xml:space="preserve">7.7.3  </w:t>
      </w:r>
      <w:r>
        <w:rPr>
          <w:rFonts w:hint="default" w:ascii="Times New Roman" w:hAnsi="Times New Roman" w:cs="Times New Roman"/>
          <w:color w:val="auto"/>
          <w:sz w:val="24"/>
          <w:szCs w:val="24"/>
          <w:highlight w:val="none"/>
          <w:lang w:val="en-US" w:eastAsia="zh-CN"/>
        </w:rPr>
        <w:t>框排架结构的布置，应符合下列规定</w:t>
      </w:r>
      <w:r>
        <w:rPr>
          <w:rFonts w:hint="eastAsia" w:ascii="Times New Roman" w:hAnsi="Times New Roman" w:cs="Times New Roman"/>
          <w:color w:val="auto"/>
          <w:sz w:val="24"/>
          <w:szCs w:val="24"/>
          <w:highlight w:val="none"/>
          <w:lang w:val="en-US" w:eastAsia="zh-CN"/>
        </w:rPr>
        <w:t>：</w:t>
      </w:r>
    </w:p>
    <w:p w14:paraId="4F933C9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 xml:space="preserve">1 </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lang w:val="en-US" w:eastAsia="zh-CN"/>
        </w:rPr>
        <w:t>平面形状复杂、高度差异大或楼层荷载相差悬殊时，宜设置防震缝。设置防震缝时，宜符合现行国家标准《构筑物抗震设计规范》GB50191的有关规定</w:t>
      </w:r>
      <w:r>
        <w:rPr>
          <w:rFonts w:hint="eastAsia" w:ascii="Times New Roman" w:hAnsi="Times New Roman" w:cs="Times New Roman"/>
          <w:color w:val="auto"/>
          <w:sz w:val="24"/>
          <w:szCs w:val="24"/>
          <w:highlight w:val="none"/>
          <w:lang w:val="en-US" w:eastAsia="zh-CN"/>
        </w:rPr>
        <w:t>；</w:t>
      </w:r>
    </w:p>
    <w:p w14:paraId="744984F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 xml:space="preserve">2 </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lang w:val="en-US" w:eastAsia="zh-CN"/>
        </w:rPr>
        <w:t>料斗等设备穿过楼层且支承在下部楼层时，设备重心宜接近楼层的支点处。同一设备穿过两个以上楼层时，宜将非设备重心处的楼层作为支座，必要时可另选一层加设水平支点</w:t>
      </w:r>
      <w:r>
        <w:rPr>
          <w:rFonts w:hint="eastAsia" w:ascii="Times New Roman" w:hAnsi="Times New Roman" w:cs="Times New Roman"/>
          <w:color w:val="auto"/>
          <w:sz w:val="24"/>
          <w:szCs w:val="24"/>
          <w:highlight w:val="none"/>
          <w:lang w:val="en-US" w:eastAsia="zh-CN"/>
        </w:rPr>
        <w:t>；</w:t>
      </w:r>
    </w:p>
    <w:p w14:paraId="7646F65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 xml:space="preserve">3 </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lang w:val="en-US" w:eastAsia="zh-CN"/>
        </w:rPr>
        <w:t>设备为自承重时，设备应与主体结构分开</w:t>
      </w:r>
      <w:r>
        <w:rPr>
          <w:rFonts w:hint="eastAsia" w:ascii="Times New Roman" w:hAnsi="Times New Roman" w:cs="Times New Roman"/>
          <w:color w:val="auto"/>
          <w:sz w:val="24"/>
          <w:szCs w:val="24"/>
          <w:highlight w:val="none"/>
          <w:lang w:val="en-US" w:eastAsia="zh-CN"/>
        </w:rPr>
        <w:t>；</w:t>
      </w:r>
    </w:p>
    <w:p w14:paraId="6FF3133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lang w:val="en-US" w:eastAsia="zh-CN"/>
        </w:rPr>
        <w:t xml:space="preserve"> </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lang w:val="en-US" w:eastAsia="zh-CN"/>
        </w:rPr>
        <w:t>排架结构端部不宜为山墙承重，宜设有屋架</w:t>
      </w:r>
      <w:r>
        <w:rPr>
          <w:rFonts w:hint="eastAsia" w:ascii="Times New Roman" w:hAnsi="Times New Roman" w:cs="Times New Roman"/>
          <w:color w:val="auto"/>
          <w:sz w:val="24"/>
          <w:szCs w:val="24"/>
          <w:highlight w:val="none"/>
          <w:lang w:val="en-US" w:eastAsia="zh-CN"/>
        </w:rPr>
        <w:t>。</w:t>
      </w:r>
    </w:p>
    <w:p w14:paraId="6F140F7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7.7.4  钢结构框排架结构应设置完整的屋盖支撑和柱间支撑系统，结构应具有整体刚度和空间工作性能。排架柱间支撑系统，应符合现行国家标准《构筑物抗震设计规范》GB50191的有关规定。</w:t>
      </w:r>
    </w:p>
    <w:p w14:paraId="484951E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7.7.5  A</w:t>
      </w:r>
      <w:r>
        <w:rPr>
          <w:rFonts w:hint="default" w:ascii="Times New Roman" w:hAnsi="Times New Roman" w:cs="Times New Roman"/>
          <w:color w:val="auto"/>
          <w:sz w:val="24"/>
          <w:szCs w:val="24"/>
          <w:highlight w:val="none"/>
          <w:lang w:val="en-US" w:eastAsia="zh-CN"/>
        </w:rPr>
        <w:t>类</w:t>
      </w:r>
      <w:r>
        <w:rPr>
          <w:rFonts w:hint="eastAsia" w:ascii="Times New Roman" w:hAnsi="Times New Roman" w:cs="Times New Roman"/>
          <w:color w:val="auto"/>
          <w:sz w:val="24"/>
          <w:szCs w:val="24"/>
          <w:highlight w:val="none"/>
          <w:lang w:val="en-US" w:eastAsia="zh-CN"/>
        </w:rPr>
        <w:t>钢框架钢排架</w:t>
      </w:r>
      <w:r>
        <w:rPr>
          <w:rFonts w:hint="default" w:ascii="Times New Roman" w:hAnsi="Times New Roman" w:cs="Times New Roman"/>
          <w:color w:val="auto"/>
          <w:sz w:val="24"/>
          <w:szCs w:val="24"/>
          <w:highlight w:val="none"/>
          <w:lang w:val="en-US" w:eastAsia="zh-CN"/>
        </w:rPr>
        <w:t>厂房抗震措施鉴定</w:t>
      </w:r>
      <w:r>
        <w:rPr>
          <w:rFonts w:hint="eastAsia" w:ascii="Times New Roman" w:hAnsi="Times New Roman" w:cs="Times New Roman"/>
          <w:color w:val="auto"/>
          <w:sz w:val="24"/>
          <w:szCs w:val="24"/>
          <w:highlight w:val="none"/>
          <w:lang w:val="en-US" w:eastAsia="zh-CN"/>
        </w:rPr>
        <w:t>表，详附录E.8。</w:t>
      </w:r>
    </w:p>
    <w:p w14:paraId="5D666D6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7.7.6  B</w:t>
      </w:r>
      <w:r>
        <w:rPr>
          <w:rFonts w:hint="default" w:ascii="Times New Roman" w:hAnsi="Times New Roman" w:cs="Times New Roman"/>
          <w:color w:val="auto"/>
          <w:sz w:val="24"/>
          <w:szCs w:val="24"/>
          <w:highlight w:val="none"/>
          <w:lang w:val="en-US" w:eastAsia="zh-CN"/>
        </w:rPr>
        <w:t>类</w:t>
      </w:r>
      <w:r>
        <w:rPr>
          <w:rFonts w:hint="eastAsia" w:ascii="Times New Roman" w:hAnsi="Times New Roman" w:cs="Times New Roman"/>
          <w:color w:val="auto"/>
          <w:sz w:val="24"/>
          <w:szCs w:val="24"/>
          <w:highlight w:val="none"/>
          <w:lang w:val="en-US" w:eastAsia="zh-CN"/>
        </w:rPr>
        <w:t>钢框架钢排架</w:t>
      </w:r>
      <w:r>
        <w:rPr>
          <w:rFonts w:hint="default" w:ascii="Times New Roman" w:hAnsi="Times New Roman" w:cs="Times New Roman"/>
          <w:color w:val="auto"/>
          <w:sz w:val="24"/>
          <w:szCs w:val="24"/>
          <w:highlight w:val="none"/>
          <w:lang w:val="en-US" w:eastAsia="zh-CN"/>
        </w:rPr>
        <w:t>厂房抗震措施鉴定</w:t>
      </w:r>
      <w:r>
        <w:rPr>
          <w:rFonts w:hint="eastAsia" w:ascii="Times New Roman" w:hAnsi="Times New Roman" w:cs="Times New Roman"/>
          <w:color w:val="auto"/>
          <w:sz w:val="24"/>
          <w:szCs w:val="24"/>
          <w:highlight w:val="none"/>
          <w:lang w:val="en-US" w:eastAsia="zh-CN"/>
        </w:rPr>
        <w:t>表，详附录E.9。</w:t>
      </w:r>
    </w:p>
    <w:p w14:paraId="4D35D9C2">
      <w:pPr>
        <w:pStyle w:val="2"/>
        <w:rPr>
          <w:rFonts w:hint="default"/>
          <w:color w:val="auto"/>
          <w:lang w:val="en-US" w:eastAsia="zh-CN"/>
        </w:rPr>
        <w:sectPr>
          <w:headerReference r:id="rId7" w:type="default"/>
          <w:pgSz w:w="11906" w:h="16838"/>
          <w:pgMar w:top="1440" w:right="1800" w:bottom="1440" w:left="1800" w:header="851" w:footer="992" w:gutter="0"/>
          <w:pgNumType w:fmt="decimal"/>
          <w:cols w:space="425" w:num="1"/>
          <w:docGrid w:type="lines" w:linePitch="312" w:charSpace="0"/>
        </w:sectPr>
      </w:pPr>
    </w:p>
    <w:p w14:paraId="621ABB02">
      <w:pPr>
        <w:pStyle w:val="3"/>
        <w:bidi w:val="0"/>
        <w:jc w:val="center"/>
        <w:rPr>
          <w:rFonts w:hint="default" w:ascii="Times New Roman" w:hAnsi="Times New Roman" w:eastAsia="宋体" w:cs="Times New Roman"/>
          <w:color w:val="auto"/>
          <w:lang w:val="en-US" w:eastAsia="zh-CN"/>
        </w:rPr>
      </w:pPr>
      <w:bookmarkStart w:id="62" w:name="_Toc29350"/>
      <w:bookmarkStart w:id="63" w:name="_Toc15584"/>
      <w:r>
        <w:rPr>
          <w:rFonts w:hint="eastAsia" w:ascii="Times New Roman" w:hAnsi="Times New Roman" w:eastAsia="宋体" w:cs="Times New Roman"/>
          <w:color w:val="auto"/>
          <w:lang w:val="en-US" w:eastAsia="zh-CN"/>
        </w:rPr>
        <w:t>8</w:t>
      </w:r>
      <w:r>
        <w:rPr>
          <w:rFonts w:hint="default" w:ascii="Times New Roman" w:hAnsi="Times New Roman" w:eastAsia="宋体" w:cs="Times New Roman"/>
          <w:color w:val="auto"/>
          <w:lang w:val="en-US" w:eastAsia="zh-CN"/>
        </w:rPr>
        <w:t xml:space="preserve"> </w:t>
      </w:r>
      <w:r>
        <w:rPr>
          <w:rFonts w:hint="eastAsia"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lang w:val="en-US" w:eastAsia="zh-CN"/>
        </w:rPr>
        <w:t>鉴定报告编写要求</w:t>
      </w:r>
      <w:bookmarkEnd w:id="62"/>
      <w:bookmarkEnd w:id="63"/>
    </w:p>
    <w:p w14:paraId="1B83EFE1">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cs="Times New Roman"/>
          <w:b w:val="0"/>
          <w:bCs w:val="0"/>
          <w:color w:val="auto"/>
          <w:sz w:val="24"/>
          <w:szCs w:val="24"/>
          <w:lang w:val="en-US" w:eastAsia="zh-CN"/>
        </w:rPr>
        <w:t>8</w:t>
      </w:r>
      <w:r>
        <w:rPr>
          <w:rFonts w:hint="default" w:ascii="Times New Roman" w:hAnsi="Times New Roman" w:cs="Times New Roman"/>
          <w:b w:val="0"/>
          <w:bCs w:val="0"/>
          <w:color w:val="auto"/>
          <w:sz w:val="24"/>
          <w:szCs w:val="24"/>
          <w:lang w:val="en-US" w:eastAsia="zh-CN"/>
        </w:rPr>
        <w:t>.</w:t>
      </w:r>
      <w:r>
        <w:rPr>
          <w:rFonts w:hint="eastAsia" w:ascii="Times New Roman" w:hAnsi="Times New Roman" w:cs="Times New Roman"/>
          <w:b w:val="0"/>
          <w:bCs w:val="0"/>
          <w:color w:val="auto"/>
          <w:sz w:val="24"/>
          <w:szCs w:val="24"/>
          <w:lang w:val="en-US" w:eastAsia="zh-CN"/>
        </w:rPr>
        <w:t>0</w:t>
      </w:r>
      <w:r>
        <w:rPr>
          <w:rFonts w:hint="default" w:ascii="Times New Roman" w:hAnsi="Times New Roman" w:cs="Times New Roman"/>
          <w:b w:val="0"/>
          <w:bCs w:val="0"/>
          <w:color w:val="auto"/>
          <w:sz w:val="24"/>
          <w:szCs w:val="24"/>
          <w:lang w:val="en-US" w:eastAsia="zh-CN"/>
        </w:rPr>
        <w:t>.1</w:t>
      </w:r>
      <w:r>
        <w:rPr>
          <w:rFonts w:hint="eastAsia"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鉴定报告主要内容一般包括但不限于以下内容：</w:t>
      </w:r>
    </w:p>
    <w:p w14:paraId="20A0E22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 xml:space="preserve">1  </w:t>
      </w:r>
      <w:r>
        <w:rPr>
          <w:rFonts w:hint="default" w:ascii="Times New Roman" w:hAnsi="Times New Roman" w:eastAsia="宋体" w:cs="Times New Roman"/>
          <w:color w:val="auto"/>
          <w:sz w:val="24"/>
          <w:szCs w:val="24"/>
          <w:lang w:val="en-US" w:eastAsia="zh-CN"/>
        </w:rPr>
        <w:t>报告封面</w:t>
      </w:r>
      <w:r>
        <w:rPr>
          <w:rFonts w:hint="eastAsia" w:ascii="Times New Roman" w:hAnsi="Times New Roman" w:eastAsia="宋体" w:cs="Times New Roman"/>
          <w:color w:val="auto"/>
          <w:sz w:val="24"/>
          <w:szCs w:val="24"/>
          <w:lang w:val="en-US" w:eastAsia="zh-CN"/>
        </w:rPr>
        <w:t>；</w:t>
      </w:r>
    </w:p>
    <w:p w14:paraId="735F669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color w:val="auto"/>
          <w:lang w:val="en-US" w:eastAsia="zh-CN"/>
        </w:rPr>
      </w:pPr>
      <w:r>
        <w:rPr>
          <w:rFonts w:hint="default" w:ascii="Times New Roman" w:hAnsi="Times New Roman" w:eastAsia="宋体" w:cs="Times New Roman"/>
          <w:color w:val="auto"/>
          <w:kern w:val="2"/>
          <w:sz w:val="24"/>
          <w:szCs w:val="24"/>
          <w:lang w:val="en-US" w:eastAsia="zh-CN" w:bidi="ar-SA"/>
        </w:rPr>
        <w:t>2</w:t>
      </w:r>
      <w:r>
        <w:rPr>
          <w:rFonts w:hint="eastAsia" w:ascii="Times New Roman" w:hAnsi="Times New Roman" w:eastAsia="宋体" w:cs="Times New Roman"/>
          <w:color w:val="auto"/>
          <w:kern w:val="2"/>
          <w:sz w:val="24"/>
          <w:szCs w:val="24"/>
          <w:lang w:val="en-US" w:eastAsia="zh-CN" w:bidi="ar-SA"/>
        </w:rPr>
        <w:t xml:space="preserve"> </w:t>
      </w:r>
      <w:r>
        <w:rPr>
          <w:rFonts w:hint="eastAsia"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报告签章页</w:t>
      </w:r>
      <w:r>
        <w:rPr>
          <w:rFonts w:hint="eastAsia" w:ascii="Times New Roman" w:hAnsi="Times New Roman" w:eastAsia="宋体" w:cs="Times New Roman"/>
          <w:color w:val="auto"/>
          <w:sz w:val="24"/>
          <w:szCs w:val="24"/>
          <w:lang w:val="en-US" w:eastAsia="zh-CN"/>
        </w:rPr>
        <w:t>；</w:t>
      </w:r>
    </w:p>
    <w:p w14:paraId="1CECFB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kern w:val="2"/>
          <w:sz w:val="24"/>
          <w:szCs w:val="24"/>
          <w:lang w:val="en-US" w:eastAsia="zh-CN" w:bidi="ar-SA"/>
        </w:rPr>
        <w:t>3</w:t>
      </w:r>
      <w:r>
        <w:rPr>
          <w:rFonts w:hint="eastAsia" w:ascii="Times New Roman" w:hAnsi="Times New Roman" w:eastAsia="宋体" w:cs="Times New Roman"/>
          <w:color w:val="auto"/>
          <w:kern w:val="2"/>
          <w:sz w:val="24"/>
          <w:szCs w:val="24"/>
          <w:lang w:val="en-US" w:eastAsia="zh-CN" w:bidi="ar-SA"/>
        </w:rPr>
        <w:t xml:space="preserve">  </w:t>
      </w:r>
      <w:r>
        <w:rPr>
          <w:rFonts w:hint="default" w:ascii="Times New Roman" w:hAnsi="Times New Roman" w:eastAsia="宋体" w:cs="Times New Roman"/>
          <w:color w:val="auto"/>
          <w:sz w:val="24"/>
          <w:szCs w:val="24"/>
          <w:lang w:val="en-US" w:eastAsia="zh-CN"/>
        </w:rPr>
        <w:t>报告声明页</w:t>
      </w:r>
      <w:r>
        <w:rPr>
          <w:rFonts w:hint="eastAsia" w:ascii="Times New Roman" w:hAnsi="Times New Roman" w:eastAsia="宋体" w:cs="Times New Roman"/>
          <w:color w:val="auto"/>
          <w:sz w:val="24"/>
          <w:szCs w:val="24"/>
          <w:lang w:val="en-US" w:eastAsia="zh-CN"/>
        </w:rPr>
        <w:t>；</w:t>
      </w:r>
    </w:p>
    <w:p w14:paraId="17971F2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 xml:space="preserve">4  </w:t>
      </w:r>
      <w:r>
        <w:rPr>
          <w:rFonts w:hint="default" w:ascii="Times New Roman" w:hAnsi="Times New Roman" w:eastAsia="宋体" w:cs="Times New Roman"/>
          <w:color w:val="auto"/>
          <w:sz w:val="24"/>
          <w:szCs w:val="24"/>
          <w:lang w:val="en-US" w:eastAsia="zh-CN"/>
        </w:rPr>
        <w:t>报告基本信息页</w:t>
      </w:r>
      <w:r>
        <w:rPr>
          <w:rFonts w:hint="eastAsia" w:ascii="Times New Roman" w:hAnsi="Times New Roman" w:eastAsia="宋体" w:cs="Times New Roman"/>
          <w:color w:val="auto"/>
          <w:sz w:val="24"/>
          <w:szCs w:val="24"/>
          <w:lang w:val="en-US" w:eastAsia="zh-CN"/>
        </w:rPr>
        <w:t>；</w:t>
      </w:r>
    </w:p>
    <w:p w14:paraId="698BC16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5</w:t>
      </w:r>
      <w:r>
        <w:rPr>
          <w:rFonts w:hint="eastAsia"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报告结论页</w:t>
      </w:r>
      <w:r>
        <w:rPr>
          <w:rFonts w:hint="eastAsia" w:ascii="Times New Roman" w:hAnsi="Times New Roman" w:eastAsia="宋体" w:cs="Times New Roman"/>
          <w:color w:val="auto"/>
          <w:sz w:val="24"/>
          <w:szCs w:val="24"/>
          <w:lang w:val="en-US" w:eastAsia="zh-CN"/>
        </w:rPr>
        <w:t>；</w:t>
      </w:r>
    </w:p>
    <w:p w14:paraId="11EF95A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 xml:space="preserve">6  </w:t>
      </w:r>
      <w:r>
        <w:rPr>
          <w:rFonts w:hint="default" w:ascii="Times New Roman" w:hAnsi="Times New Roman" w:eastAsia="宋体" w:cs="Times New Roman"/>
          <w:color w:val="auto"/>
          <w:sz w:val="24"/>
          <w:szCs w:val="24"/>
          <w:lang w:val="en-US" w:eastAsia="zh-CN"/>
        </w:rPr>
        <w:t>目录</w:t>
      </w:r>
      <w:r>
        <w:rPr>
          <w:rFonts w:hint="eastAsia" w:ascii="Times New Roman" w:hAnsi="Times New Roman" w:eastAsia="宋体" w:cs="Times New Roman"/>
          <w:color w:val="auto"/>
          <w:sz w:val="24"/>
          <w:szCs w:val="24"/>
          <w:lang w:val="en-US" w:eastAsia="zh-CN"/>
        </w:rPr>
        <w:t>；</w:t>
      </w:r>
    </w:p>
    <w:p w14:paraId="38AD39C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 xml:space="preserve">7  </w:t>
      </w:r>
      <w:r>
        <w:rPr>
          <w:rFonts w:hint="default" w:ascii="Times New Roman" w:hAnsi="Times New Roman" w:eastAsia="宋体" w:cs="Times New Roman"/>
          <w:color w:val="auto"/>
          <w:sz w:val="24"/>
          <w:szCs w:val="24"/>
          <w:lang w:val="en-US" w:eastAsia="zh-CN"/>
        </w:rPr>
        <w:t>报告正文</w:t>
      </w:r>
      <w:r>
        <w:rPr>
          <w:rFonts w:hint="eastAsia" w:ascii="Times New Roman" w:hAnsi="Times New Roman" w:eastAsia="宋体" w:cs="Times New Roman"/>
          <w:color w:val="auto"/>
          <w:sz w:val="24"/>
          <w:szCs w:val="24"/>
          <w:lang w:val="en-US" w:eastAsia="zh-CN"/>
        </w:rPr>
        <w:t>；</w:t>
      </w:r>
    </w:p>
    <w:p w14:paraId="29FD06D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 xml:space="preserve">8  </w:t>
      </w:r>
      <w:r>
        <w:rPr>
          <w:rFonts w:hint="default" w:ascii="Times New Roman" w:hAnsi="Times New Roman" w:eastAsia="宋体" w:cs="Times New Roman"/>
          <w:color w:val="auto"/>
          <w:sz w:val="24"/>
          <w:szCs w:val="24"/>
          <w:lang w:val="en-US" w:eastAsia="zh-CN"/>
        </w:rPr>
        <w:t>报告附件</w:t>
      </w:r>
      <w:r>
        <w:rPr>
          <w:rFonts w:hint="eastAsia" w:ascii="Times New Roman" w:hAnsi="Times New Roman" w:eastAsia="宋体" w:cs="Times New Roman"/>
          <w:color w:val="auto"/>
          <w:sz w:val="24"/>
          <w:szCs w:val="24"/>
          <w:lang w:val="en-US" w:eastAsia="zh-CN"/>
        </w:rPr>
        <w:t>。</w:t>
      </w:r>
    </w:p>
    <w:p w14:paraId="212F22FE">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cs="Times New Roman"/>
          <w:b w:val="0"/>
          <w:bCs w:val="0"/>
          <w:color w:val="auto"/>
          <w:sz w:val="24"/>
          <w:szCs w:val="24"/>
          <w:lang w:val="en-US" w:eastAsia="zh-CN"/>
        </w:rPr>
        <w:t>8</w:t>
      </w:r>
      <w:r>
        <w:rPr>
          <w:rFonts w:hint="default" w:ascii="Times New Roman" w:hAnsi="Times New Roman" w:cs="Times New Roman"/>
          <w:b w:val="0"/>
          <w:bCs w:val="0"/>
          <w:color w:val="auto"/>
          <w:sz w:val="24"/>
          <w:szCs w:val="24"/>
          <w:lang w:val="en-US" w:eastAsia="zh-CN"/>
        </w:rPr>
        <w:t>.</w:t>
      </w:r>
      <w:r>
        <w:rPr>
          <w:rFonts w:hint="eastAsia" w:ascii="Times New Roman" w:hAnsi="Times New Roman" w:cs="Times New Roman"/>
          <w:b w:val="0"/>
          <w:bCs w:val="0"/>
          <w:color w:val="auto"/>
          <w:sz w:val="24"/>
          <w:szCs w:val="24"/>
          <w:lang w:val="en-US" w:eastAsia="zh-CN"/>
        </w:rPr>
        <w:t>0</w:t>
      </w:r>
      <w:r>
        <w:rPr>
          <w:rFonts w:hint="default" w:ascii="Times New Roman" w:hAnsi="Times New Roman" w:cs="Times New Roman"/>
          <w:b w:val="0"/>
          <w:bCs w:val="0"/>
          <w:color w:val="auto"/>
          <w:sz w:val="24"/>
          <w:szCs w:val="24"/>
          <w:lang w:val="en-US" w:eastAsia="zh-CN"/>
        </w:rPr>
        <w:t>.</w:t>
      </w:r>
      <w:r>
        <w:rPr>
          <w:rFonts w:hint="eastAsia" w:ascii="Times New Roman" w:hAnsi="Times New Roman" w:cs="Times New Roman"/>
          <w:b w:val="0"/>
          <w:bCs w:val="0"/>
          <w:color w:val="auto"/>
          <w:sz w:val="24"/>
          <w:szCs w:val="24"/>
          <w:lang w:val="en-US" w:eastAsia="zh-CN"/>
        </w:rPr>
        <w:t>2</w:t>
      </w:r>
      <w:r>
        <w:rPr>
          <w:rFonts w:hint="default" w:ascii="Times New Roman" w:hAnsi="Times New Roman" w:eastAsia="宋体" w:cs="Times New Roman"/>
          <w:color w:val="auto"/>
          <w:sz w:val="24"/>
          <w:szCs w:val="24"/>
          <w:lang w:val="en-US" w:eastAsia="zh-CN"/>
        </w:rPr>
        <w:t xml:space="preserve"> </w:t>
      </w:r>
      <w:r>
        <w:rPr>
          <w:rFonts w:hint="eastAsia"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报告正文主要内容一般包括但不限于以下内容：</w:t>
      </w:r>
    </w:p>
    <w:p w14:paraId="4548F65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 xml:space="preserve"> 工程概况</w:t>
      </w:r>
      <w:r>
        <w:rPr>
          <w:rFonts w:hint="eastAsia" w:ascii="Times New Roman" w:hAnsi="Times New Roman" w:eastAsia="宋体" w:cs="Times New Roman"/>
          <w:color w:val="auto"/>
          <w:sz w:val="24"/>
          <w:szCs w:val="24"/>
          <w:lang w:val="en-US" w:eastAsia="zh-CN"/>
        </w:rPr>
        <w:t>；</w:t>
      </w:r>
    </w:p>
    <w:p w14:paraId="21927CB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 xml:space="preserve"> 鉴定目的、范围、内容</w:t>
      </w:r>
      <w:r>
        <w:rPr>
          <w:rFonts w:hint="eastAsia" w:ascii="Times New Roman" w:hAnsi="Times New Roman" w:eastAsia="宋体" w:cs="Times New Roman"/>
          <w:color w:val="auto"/>
          <w:sz w:val="24"/>
          <w:szCs w:val="24"/>
          <w:lang w:val="en-US" w:eastAsia="zh-CN"/>
        </w:rPr>
        <w:t>；</w:t>
      </w:r>
    </w:p>
    <w:p w14:paraId="49EE443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w:t>
      </w:r>
      <w:r>
        <w:rPr>
          <w:rFonts w:hint="eastAsia"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 xml:space="preserve"> 检测鉴定依据</w:t>
      </w:r>
      <w:r>
        <w:rPr>
          <w:rFonts w:hint="eastAsia" w:ascii="Times New Roman" w:hAnsi="Times New Roman" w:eastAsia="宋体" w:cs="Times New Roman"/>
          <w:color w:val="auto"/>
          <w:sz w:val="24"/>
          <w:szCs w:val="24"/>
          <w:lang w:val="en-US" w:eastAsia="zh-CN"/>
        </w:rPr>
        <w:t>；</w:t>
      </w:r>
    </w:p>
    <w:p w14:paraId="5CED166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w:t>
      </w:r>
      <w:r>
        <w:rPr>
          <w:rFonts w:hint="eastAsia"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 xml:space="preserve"> 仪器设备</w:t>
      </w:r>
      <w:r>
        <w:rPr>
          <w:rFonts w:hint="eastAsia" w:ascii="Times New Roman" w:hAnsi="Times New Roman" w:eastAsia="宋体" w:cs="Times New Roman"/>
          <w:color w:val="auto"/>
          <w:sz w:val="24"/>
          <w:szCs w:val="24"/>
          <w:lang w:val="en-US" w:eastAsia="zh-CN"/>
        </w:rPr>
        <w:t>；</w:t>
      </w:r>
    </w:p>
    <w:p w14:paraId="5224087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5</w:t>
      </w:r>
      <w:r>
        <w:rPr>
          <w:rFonts w:hint="eastAsia"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 xml:space="preserve"> 现场调查与检测</w:t>
      </w:r>
      <w:r>
        <w:rPr>
          <w:rFonts w:hint="eastAsia" w:ascii="Times New Roman" w:hAnsi="Times New Roman" w:eastAsia="宋体" w:cs="Times New Roman"/>
          <w:color w:val="auto"/>
          <w:sz w:val="24"/>
          <w:szCs w:val="24"/>
          <w:lang w:val="en-US" w:eastAsia="zh-CN"/>
        </w:rPr>
        <w:t>；</w:t>
      </w:r>
    </w:p>
    <w:p w14:paraId="4EBF6B0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6</w:t>
      </w:r>
      <w:r>
        <w:rPr>
          <w:rFonts w:hint="eastAsia"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 xml:space="preserve"> 结构验算分析</w:t>
      </w:r>
      <w:r>
        <w:rPr>
          <w:rFonts w:hint="eastAsia" w:ascii="Times New Roman" w:hAnsi="Times New Roman" w:eastAsia="宋体" w:cs="Times New Roman"/>
          <w:color w:val="auto"/>
          <w:sz w:val="24"/>
          <w:szCs w:val="24"/>
          <w:lang w:val="en-US" w:eastAsia="zh-CN"/>
        </w:rPr>
        <w:t>；</w:t>
      </w:r>
    </w:p>
    <w:p w14:paraId="18AD3B1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7</w:t>
      </w:r>
      <w:r>
        <w:rPr>
          <w:rFonts w:hint="eastAsia"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 xml:space="preserve"> 鉴定与评估</w:t>
      </w:r>
      <w:r>
        <w:rPr>
          <w:rFonts w:hint="eastAsia" w:ascii="Times New Roman" w:hAnsi="Times New Roman" w:eastAsia="宋体" w:cs="Times New Roman"/>
          <w:color w:val="auto"/>
          <w:sz w:val="24"/>
          <w:szCs w:val="24"/>
          <w:lang w:val="en-US" w:eastAsia="zh-CN"/>
        </w:rPr>
        <w:t>；</w:t>
      </w:r>
    </w:p>
    <w:p w14:paraId="63FC373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8</w:t>
      </w:r>
      <w:r>
        <w:rPr>
          <w:rFonts w:hint="eastAsia"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 xml:space="preserve"> 结论与建议</w:t>
      </w:r>
      <w:r>
        <w:rPr>
          <w:rFonts w:hint="eastAsia" w:ascii="Times New Roman" w:hAnsi="Times New Roman" w:eastAsia="宋体" w:cs="Times New Roman"/>
          <w:color w:val="auto"/>
          <w:sz w:val="24"/>
          <w:szCs w:val="24"/>
          <w:lang w:val="en-US" w:eastAsia="zh-CN"/>
        </w:rPr>
        <w:t>；</w:t>
      </w:r>
    </w:p>
    <w:p w14:paraId="33AE095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9</w:t>
      </w:r>
      <w:r>
        <w:rPr>
          <w:rFonts w:hint="eastAsia"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 xml:space="preserve"> 附件</w:t>
      </w:r>
      <w:r>
        <w:rPr>
          <w:rFonts w:hint="eastAsia" w:ascii="Times New Roman" w:hAnsi="Times New Roman" w:eastAsia="宋体" w:cs="Times New Roman"/>
          <w:color w:val="auto"/>
          <w:sz w:val="24"/>
          <w:szCs w:val="24"/>
          <w:lang w:val="en-US" w:eastAsia="zh-CN"/>
        </w:rPr>
        <w:t>。</w:t>
      </w:r>
    </w:p>
    <w:p w14:paraId="598D2AD5">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cs="Times New Roman"/>
          <w:b w:val="0"/>
          <w:bCs w:val="0"/>
          <w:color w:val="auto"/>
          <w:sz w:val="24"/>
          <w:szCs w:val="24"/>
          <w:lang w:val="en-US" w:eastAsia="zh-CN"/>
        </w:rPr>
        <w:t>8</w:t>
      </w:r>
      <w:r>
        <w:rPr>
          <w:rFonts w:hint="default" w:ascii="Times New Roman" w:hAnsi="Times New Roman" w:cs="Times New Roman"/>
          <w:b w:val="0"/>
          <w:bCs w:val="0"/>
          <w:color w:val="auto"/>
          <w:sz w:val="24"/>
          <w:szCs w:val="24"/>
          <w:lang w:val="en-US" w:eastAsia="zh-CN"/>
        </w:rPr>
        <w:t>.</w:t>
      </w:r>
      <w:r>
        <w:rPr>
          <w:rFonts w:hint="eastAsia" w:ascii="Times New Roman" w:hAnsi="Times New Roman" w:cs="Times New Roman"/>
          <w:b w:val="0"/>
          <w:bCs w:val="0"/>
          <w:color w:val="auto"/>
          <w:sz w:val="24"/>
          <w:szCs w:val="24"/>
          <w:lang w:val="en-US" w:eastAsia="zh-CN"/>
        </w:rPr>
        <w:t>0</w:t>
      </w:r>
      <w:r>
        <w:rPr>
          <w:rFonts w:hint="default" w:ascii="Times New Roman" w:hAnsi="Times New Roman" w:cs="Times New Roman"/>
          <w:b w:val="0"/>
          <w:bCs w:val="0"/>
          <w:color w:val="auto"/>
          <w:sz w:val="24"/>
          <w:szCs w:val="24"/>
          <w:lang w:val="en-US" w:eastAsia="zh-CN"/>
        </w:rPr>
        <w:t>.</w:t>
      </w:r>
      <w:r>
        <w:rPr>
          <w:rFonts w:hint="eastAsia" w:ascii="Times New Roman" w:hAnsi="Times New Roman" w:cs="Times New Roman"/>
          <w:b w:val="0"/>
          <w:bCs w:val="0"/>
          <w:color w:val="auto"/>
          <w:sz w:val="24"/>
          <w:szCs w:val="24"/>
          <w:lang w:val="en-US" w:eastAsia="zh-CN"/>
        </w:rPr>
        <w:t>3</w:t>
      </w:r>
      <w:r>
        <w:rPr>
          <w:rFonts w:hint="eastAsia"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工程概况应包括房屋的建筑概况和结构概况</w:t>
      </w:r>
      <w:r>
        <w:rPr>
          <w:rFonts w:hint="eastAsia" w:ascii="Times New Roman" w:hAnsi="Times New Roman" w:eastAsia="宋体" w:cs="Times New Roman"/>
          <w:color w:val="auto"/>
          <w:sz w:val="24"/>
          <w:szCs w:val="24"/>
          <w:lang w:val="en-US" w:eastAsia="zh-CN"/>
        </w:rPr>
        <w:t>。</w:t>
      </w:r>
    </w:p>
    <w:p w14:paraId="40E4BA2E">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lang w:eastAsia="zh-CN"/>
        </w:rPr>
      </w:pPr>
      <w:r>
        <w:rPr>
          <w:rFonts w:hint="eastAsia" w:ascii="Times New Roman" w:hAnsi="Times New Roman" w:cs="Times New Roman"/>
          <w:b w:val="0"/>
          <w:bCs w:val="0"/>
          <w:color w:val="auto"/>
          <w:sz w:val="24"/>
          <w:szCs w:val="24"/>
          <w:lang w:val="en-US" w:eastAsia="zh-CN"/>
        </w:rPr>
        <w:t>8</w:t>
      </w:r>
      <w:r>
        <w:rPr>
          <w:rFonts w:hint="default" w:ascii="Times New Roman" w:hAnsi="Times New Roman" w:cs="Times New Roman"/>
          <w:b w:val="0"/>
          <w:bCs w:val="0"/>
          <w:color w:val="auto"/>
          <w:sz w:val="24"/>
          <w:szCs w:val="24"/>
          <w:lang w:val="en-US" w:eastAsia="zh-CN"/>
        </w:rPr>
        <w:t>.</w:t>
      </w:r>
      <w:r>
        <w:rPr>
          <w:rFonts w:hint="eastAsia" w:ascii="Times New Roman" w:hAnsi="Times New Roman" w:cs="Times New Roman"/>
          <w:b w:val="0"/>
          <w:bCs w:val="0"/>
          <w:color w:val="auto"/>
          <w:sz w:val="24"/>
          <w:szCs w:val="24"/>
          <w:lang w:val="en-US" w:eastAsia="zh-CN"/>
        </w:rPr>
        <w:t>0</w:t>
      </w:r>
      <w:r>
        <w:rPr>
          <w:rFonts w:hint="default" w:ascii="Times New Roman" w:hAnsi="Times New Roman" w:cs="Times New Roman"/>
          <w:b w:val="0"/>
          <w:bCs w:val="0"/>
          <w:color w:val="auto"/>
          <w:sz w:val="24"/>
          <w:szCs w:val="24"/>
          <w:lang w:val="en-US" w:eastAsia="zh-CN"/>
        </w:rPr>
        <w:t>.</w:t>
      </w:r>
      <w:r>
        <w:rPr>
          <w:rFonts w:hint="eastAsia" w:ascii="Times New Roman" w:hAnsi="Times New Roman" w:cs="Times New Roman"/>
          <w:b w:val="0"/>
          <w:bCs w:val="0"/>
          <w:color w:val="auto"/>
          <w:sz w:val="24"/>
          <w:szCs w:val="24"/>
          <w:lang w:val="en-US" w:eastAsia="zh-CN"/>
        </w:rPr>
        <w:t>4</w:t>
      </w:r>
      <w:r>
        <w:rPr>
          <w:rFonts w:hint="default" w:ascii="Times New Roman" w:hAnsi="Times New Roman" w:eastAsia="宋体" w:cs="Times New Roman"/>
          <w:b/>
          <w:bCs/>
          <w:color w:val="auto"/>
          <w:sz w:val="24"/>
          <w:szCs w:val="24"/>
        </w:rPr>
        <w:t xml:space="preserve"> </w:t>
      </w:r>
      <w:r>
        <w:rPr>
          <w:rFonts w:hint="eastAsia"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color w:val="auto"/>
          <w:sz w:val="24"/>
          <w:szCs w:val="24"/>
        </w:rPr>
        <w:t>鉴定报告中应明确鉴定工作的目的、范周和内容</w:t>
      </w:r>
      <w:r>
        <w:rPr>
          <w:rFonts w:hint="default" w:ascii="Times New Roman" w:hAnsi="Times New Roman" w:eastAsia="宋体" w:cs="Times New Roman"/>
          <w:color w:val="auto"/>
          <w:sz w:val="24"/>
          <w:szCs w:val="24"/>
          <w:lang w:eastAsia="zh-CN"/>
        </w:rPr>
        <w:t>。</w:t>
      </w:r>
    </w:p>
    <w:p w14:paraId="002B77F1">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cs="Times New Roman"/>
          <w:b w:val="0"/>
          <w:bCs w:val="0"/>
          <w:color w:val="auto"/>
          <w:sz w:val="24"/>
          <w:szCs w:val="24"/>
          <w:lang w:val="en-US" w:eastAsia="zh-CN"/>
        </w:rPr>
        <w:t>8</w:t>
      </w:r>
      <w:r>
        <w:rPr>
          <w:rFonts w:hint="default" w:ascii="Times New Roman" w:hAnsi="Times New Roman" w:cs="Times New Roman"/>
          <w:b w:val="0"/>
          <w:bCs w:val="0"/>
          <w:color w:val="auto"/>
          <w:sz w:val="24"/>
          <w:szCs w:val="24"/>
          <w:lang w:val="en-US" w:eastAsia="zh-CN"/>
        </w:rPr>
        <w:t>.</w:t>
      </w:r>
      <w:r>
        <w:rPr>
          <w:rFonts w:hint="eastAsia" w:ascii="Times New Roman" w:hAnsi="Times New Roman" w:cs="Times New Roman"/>
          <w:b w:val="0"/>
          <w:bCs w:val="0"/>
          <w:color w:val="auto"/>
          <w:sz w:val="24"/>
          <w:szCs w:val="24"/>
          <w:lang w:val="en-US" w:eastAsia="zh-CN"/>
        </w:rPr>
        <w:t>0</w:t>
      </w:r>
      <w:r>
        <w:rPr>
          <w:rFonts w:hint="default" w:ascii="Times New Roman" w:hAnsi="Times New Roman" w:cs="Times New Roman"/>
          <w:b w:val="0"/>
          <w:bCs w:val="0"/>
          <w:color w:val="auto"/>
          <w:sz w:val="24"/>
          <w:szCs w:val="24"/>
          <w:lang w:val="en-US" w:eastAsia="zh-CN"/>
        </w:rPr>
        <w:t>.</w:t>
      </w:r>
      <w:r>
        <w:rPr>
          <w:rFonts w:hint="eastAsia" w:ascii="Times New Roman" w:hAnsi="Times New Roman" w:cs="Times New Roman"/>
          <w:b w:val="0"/>
          <w:bCs w:val="0"/>
          <w:color w:val="auto"/>
          <w:sz w:val="24"/>
          <w:szCs w:val="24"/>
          <w:lang w:val="en-US" w:eastAsia="zh-CN"/>
        </w:rPr>
        <w:t>5</w:t>
      </w:r>
      <w:r>
        <w:rPr>
          <w:rFonts w:hint="default" w:ascii="Times New Roman" w:hAnsi="Times New Roman" w:eastAsia="宋体" w:cs="Times New Roman"/>
          <w:color w:val="auto"/>
          <w:sz w:val="24"/>
          <w:szCs w:val="24"/>
        </w:rPr>
        <w:t xml:space="preserve"> </w:t>
      </w:r>
      <w:r>
        <w:rPr>
          <w:rFonts w:hint="eastAsia"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检测鉴定依据据</w:t>
      </w:r>
      <w:r>
        <w:rPr>
          <w:rFonts w:hint="default" w:ascii="Times New Roman" w:hAnsi="Times New Roman" w:eastAsia="宋体" w:cs="Times New Roman"/>
          <w:color w:val="auto"/>
          <w:sz w:val="24"/>
          <w:szCs w:val="24"/>
          <w:lang w:val="en-US" w:eastAsia="zh-CN"/>
        </w:rPr>
        <w:t>主</w:t>
      </w:r>
      <w:r>
        <w:rPr>
          <w:rFonts w:hint="default" w:ascii="Times New Roman" w:hAnsi="Times New Roman" w:eastAsia="宋体" w:cs="Times New Roman"/>
          <w:color w:val="auto"/>
          <w:sz w:val="24"/>
          <w:szCs w:val="24"/>
        </w:rPr>
        <w:t>要为在开展检测</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鉴定</w:t>
      </w:r>
      <w:r>
        <w:rPr>
          <w:rFonts w:hint="default" w:ascii="Times New Roman" w:hAnsi="Times New Roman" w:eastAsia="宋体" w:cs="Times New Roman"/>
          <w:color w:val="auto"/>
          <w:sz w:val="24"/>
          <w:szCs w:val="24"/>
        </w:rPr>
        <w:t>工作过程中所采用的国家、行业及地方的现行检测标准、规范、规程、规章</w:t>
      </w:r>
      <w:r>
        <w:rPr>
          <w:rFonts w:hint="eastAsia" w:ascii="Times New Roman" w:hAnsi="Times New Roman" w:eastAsia="宋体" w:cs="Times New Roman"/>
          <w:color w:val="auto"/>
          <w:sz w:val="24"/>
          <w:szCs w:val="24"/>
          <w:lang w:val="en-US" w:eastAsia="zh-CN"/>
        </w:rPr>
        <w:t>以及和建筑相关在图纸等技术文件。</w:t>
      </w:r>
    </w:p>
    <w:p w14:paraId="36DAC517">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eastAsia" w:ascii="Times New Roman" w:hAnsi="Times New Roman" w:cs="Times New Roman"/>
          <w:b w:val="0"/>
          <w:bCs w:val="0"/>
          <w:color w:val="auto"/>
          <w:sz w:val="24"/>
          <w:szCs w:val="24"/>
          <w:lang w:val="en-US" w:eastAsia="zh-CN"/>
        </w:rPr>
        <w:t>8</w:t>
      </w:r>
      <w:r>
        <w:rPr>
          <w:rFonts w:hint="default" w:ascii="Times New Roman" w:hAnsi="Times New Roman" w:cs="Times New Roman"/>
          <w:b w:val="0"/>
          <w:bCs w:val="0"/>
          <w:color w:val="auto"/>
          <w:sz w:val="24"/>
          <w:szCs w:val="24"/>
          <w:lang w:val="en-US" w:eastAsia="zh-CN"/>
        </w:rPr>
        <w:t>.</w:t>
      </w:r>
      <w:r>
        <w:rPr>
          <w:rFonts w:hint="eastAsia" w:ascii="Times New Roman" w:hAnsi="Times New Roman" w:cs="Times New Roman"/>
          <w:b w:val="0"/>
          <w:bCs w:val="0"/>
          <w:color w:val="auto"/>
          <w:sz w:val="24"/>
          <w:szCs w:val="24"/>
          <w:lang w:val="en-US" w:eastAsia="zh-CN"/>
        </w:rPr>
        <w:t>0</w:t>
      </w:r>
      <w:r>
        <w:rPr>
          <w:rFonts w:hint="default" w:ascii="Times New Roman" w:hAnsi="Times New Roman" w:cs="Times New Roman"/>
          <w:b w:val="0"/>
          <w:bCs w:val="0"/>
          <w:color w:val="auto"/>
          <w:sz w:val="24"/>
          <w:szCs w:val="24"/>
          <w:lang w:val="en-US" w:eastAsia="zh-CN"/>
        </w:rPr>
        <w:t>.</w:t>
      </w:r>
      <w:r>
        <w:rPr>
          <w:rFonts w:hint="eastAsia" w:ascii="Times New Roman" w:hAnsi="Times New Roman" w:cs="Times New Roman"/>
          <w:b w:val="0"/>
          <w:bCs w:val="0"/>
          <w:color w:val="auto"/>
          <w:sz w:val="24"/>
          <w:szCs w:val="24"/>
          <w:lang w:val="en-US" w:eastAsia="zh-CN"/>
        </w:rPr>
        <w:t>6</w:t>
      </w:r>
      <w:r>
        <w:rPr>
          <w:rFonts w:hint="default" w:ascii="Times New Roman" w:hAnsi="Times New Roman" w:eastAsia="宋体" w:cs="Times New Roman"/>
          <w:b/>
          <w:bCs/>
          <w:color w:val="auto"/>
          <w:sz w:val="24"/>
          <w:szCs w:val="24"/>
          <w:lang w:val="en-US" w:eastAsia="zh-CN"/>
        </w:rPr>
        <w:t xml:space="preserve"> </w:t>
      </w:r>
      <w:r>
        <w:rPr>
          <w:rFonts w:hint="eastAsia"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color w:val="auto"/>
          <w:sz w:val="24"/>
          <w:szCs w:val="24"/>
        </w:rPr>
        <w:t>检测鉴定采用仪器设备信息应包括:名称(包括计算软件)、型号、</w:t>
      </w:r>
      <w:r>
        <w:rPr>
          <w:rFonts w:hint="default" w:ascii="Times New Roman" w:hAnsi="Times New Roman" w:eastAsia="宋体" w:cs="Times New Roman"/>
          <w:color w:val="auto"/>
          <w:sz w:val="24"/>
          <w:szCs w:val="24"/>
          <w:lang w:val="en-US" w:eastAsia="zh-CN"/>
        </w:rPr>
        <w:t>鉴</w:t>
      </w:r>
      <w:r>
        <w:rPr>
          <w:rFonts w:hint="default" w:ascii="Times New Roman" w:hAnsi="Times New Roman" w:eastAsia="宋体" w:cs="Times New Roman"/>
          <w:color w:val="auto"/>
          <w:sz w:val="24"/>
          <w:szCs w:val="24"/>
        </w:rPr>
        <w:t>定机构</w:t>
      </w:r>
      <w:r>
        <w:rPr>
          <w:rFonts w:hint="default" w:ascii="Times New Roman" w:hAnsi="Times New Roman" w:eastAsia="宋体" w:cs="Times New Roman"/>
          <w:color w:val="auto"/>
          <w:sz w:val="24"/>
          <w:szCs w:val="24"/>
          <w:lang w:val="en-US" w:eastAsia="zh-CN"/>
        </w:rPr>
        <w:t>唯</w:t>
      </w:r>
      <w:r>
        <w:rPr>
          <w:rFonts w:hint="default" w:ascii="Times New Roman" w:hAnsi="Times New Roman" w:eastAsia="宋体" w:cs="Times New Roman"/>
          <w:color w:val="auto"/>
          <w:sz w:val="24"/>
          <w:szCs w:val="24"/>
        </w:rPr>
        <w:t>一编号或出厂号、检定证书号及有效期等。</w:t>
      </w:r>
    </w:p>
    <w:p w14:paraId="41C5C756">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cs="Times New Roman"/>
          <w:b w:val="0"/>
          <w:bCs w:val="0"/>
          <w:color w:val="auto"/>
          <w:sz w:val="24"/>
          <w:szCs w:val="24"/>
          <w:lang w:val="en-US" w:eastAsia="zh-CN"/>
        </w:rPr>
        <w:t>8</w:t>
      </w:r>
      <w:r>
        <w:rPr>
          <w:rFonts w:hint="default" w:ascii="Times New Roman" w:hAnsi="Times New Roman" w:cs="Times New Roman"/>
          <w:b w:val="0"/>
          <w:bCs w:val="0"/>
          <w:color w:val="auto"/>
          <w:sz w:val="24"/>
          <w:szCs w:val="24"/>
          <w:lang w:val="en-US" w:eastAsia="zh-CN"/>
        </w:rPr>
        <w:t>.</w:t>
      </w:r>
      <w:r>
        <w:rPr>
          <w:rFonts w:hint="eastAsia" w:ascii="Times New Roman" w:hAnsi="Times New Roman" w:cs="Times New Roman"/>
          <w:b w:val="0"/>
          <w:bCs w:val="0"/>
          <w:color w:val="auto"/>
          <w:sz w:val="24"/>
          <w:szCs w:val="24"/>
          <w:lang w:val="en-US" w:eastAsia="zh-CN"/>
        </w:rPr>
        <w:t>0</w:t>
      </w:r>
      <w:r>
        <w:rPr>
          <w:rFonts w:hint="default" w:ascii="Times New Roman" w:hAnsi="Times New Roman" w:cs="Times New Roman"/>
          <w:b w:val="0"/>
          <w:bCs w:val="0"/>
          <w:color w:val="auto"/>
          <w:sz w:val="24"/>
          <w:szCs w:val="24"/>
          <w:lang w:val="en-US" w:eastAsia="zh-CN"/>
        </w:rPr>
        <w:t>.</w:t>
      </w:r>
      <w:r>
        <w:rPr>
          <w:rFonts w:hint="eastAsia" w:ascii="Times New Roman" w:hAnsi="Times New Roman" w:cs="Times New Roman"/>
          <w:b w:val="0"/>
          <w:bCs w:val="0"/>
          <w:color w:val="auto"/>
          <w:sz w:val="24"/>
          <w:szCs w:val="24"/>
          <w:lang w:val="en-US" w:eastAsia="zh-CN"/>
        </w:rPr>
        <w:t>7</w:t>
      </w:r>
      <w:r>
        <w:rPr>
          <w:rFonts w:hint="default" w:ascii="Times New Roman" w:hAnsi="Times New Roman" w:eastAsia="宋体" w:cs="Times New Roman"/>
          <w:color w:val="auto"/>
          <w:sz w:val="24"/>
          <w:szCs w:val="24"/>
          <w:lang w:val="en-US" w:eastAsia="zh-CN"/>
        </w:rPr>
        <w:t xml:space="preserve"> </w:t>
      </w:r>
      <w:r>
        <w:rPr>
          <w:rFonts w:hint="eastAsia"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结构验算分析应包括</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验算依据、验算原则、验算结果及分析等</w:t>
      </w:r>
      <w:r>
        <w:rPr>
          <w:rFonts w:hint="eastAsia" w:ascii="Times New Roman" w:hAnsi="Times New Roman" w:eastAsia="宋体" w:cs="Times New Roman"/>
          <w:color w:val="auto"/>
          <w:sz w:val="24"/>
          <w:szCs w:val="24"/>
          <w:lang w:val="en-US" w:eastAsia="zh-CN"/>
        </w:rPr>
        <w:t>。</w:t>
      </w:r>
    </w:p>
    <w:p w14:paraId="6C8E4E95">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cs="Times New Roman"/>
          <w:b w:val="0"/>
          <w:bCs w:val="0"/>
          <w:color w:val="auto"/>
          <w:sz w:val="24"/>
          <w:szCs w:val="24"/>
          <w:lang w:val="en-US" w:eastAsia="zh-CN"/>
        </w:rPr>
        <w:t>8</w:t>
      </w:r>
      <w:r>
        <w:rPr>
          <w:rFonts w:hint="default" w:ascii="Times New Roman" w:hAnsi="Times New Roman" w:cs="Times New Roman"/>
          <w:b w:val="0"/>
          <w:bCs w:val="0"/>
          <w:color w:val="auto"/>
          <w:sz w:val="24"/>
          <w:szCs w:val="24"/>
          <w:lang w:val="en-US" w:eastAsia="zh-CN"/>
        </w:rPr>
        <w:t>.</w:t>
      </w:r>
      <w:r>
        <w:rPr>
          <w:rFonts w:hint="eastAsia" w:ascii="Times New Roman" w:hAnsi="Times New Roman" w:cs="Times New Roman"/>
          <w:b w:val="0"/>
          <w:bCs w:val="0"/>
          <w:color w:val="auto"/>
          <w:sz w:val="24"/>
          <w:szCs w:val="24"/>
          <w:lang w:val="en-US" w:eastAsia="zh-CN"/>
        </w:rPr>
        <w:t>0</w:t>
      </w:r>
      <w:r>
        <w:rPr>
          <w:rFonts w:hint="default" w:ascii="Times New Roman" w:hAnsi="Times New Roman" w:cs="Times New Roman"/>
          <w:b w:val="0"/>
          <w:bCs w:val="0"/>
          <w:color w:val="auto"/>
          <w:sz w:val="24"/>
          <w:szCs w:val="24"/>
          <w:lang w:val="en-US" w:eastAsia="zh-CN"/>
        </w:rPr>
        <w:t>.</w:t>
      </w:r>
      <w:r>
        <w:rPr>
          <w:rFonts w:hint="eastAsia" w:ascii="Times New Roman" w:hAnsi="Times New Roman" w:cs="Times New Roman"/>
          <w:b w:val="0"/>
          <w:bCs w:val="0"/>
          <w:color w:val="auto"/>
          <w:sz w:val="24"/>
          <w:szCs w:val="24"/>
          <w:lang w:val="en-US" w:eastAsia="zh-CN"/>
        </w:rPr>
        <w:t>8</w:t>
      </w:r>
      <w:r>
        <w:rPr>
          <w:rFonts w:hint="eastAsia"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鉴定与评估应按照《既有建筑鉴定与加固通用规范》GB 55021、《工业建筑可靠性鉴定标准》GB 50144、《火灾后建筑结构鉴定标准》T/CECS252</w:t>
      </w:r>
      <w:r>
        <w:rPr>
          <w:rFonts w:hint="eastAsia" w:ascii="Times New Roman" w:hAnsi="Times New Roman" w:eastAsia="宋体" w:cs="Times New Roman"/>
          <w:color w:val="auto"/>
          <w:sz w:val="24"/>
          <w:szCs w:val="24"/>
          <w:lang w:val="en-US" w:eastAsia="zh-CN"/>
        </w:rPr>
        <w:t>等规范</w:t>
      </w:r>
      <w:r>
        <w:rPr>
          <w:rFonts w:hint="default" w:ascii="Times New Roman" w:hAnsi="Times New Roman" w:eastAsia="宋体" w:cs="Times New Roman"/>
          <w:color w:val="auto"/>
          <w:sz w:val="24"/>
          <w:szCs w:val="24"/>
          <w:lang w:val="en-US" w:eastAsia="zh-CN"/>
        </w:rPr>
        <w:t>要求进行鉴定</w:t>
      </w:r>
      <w:r>
        <w:rPr>
          <w:rFonts w:hint="eastAsia" w:ascii="Times New Roman" w:hAnsi="Times New Roman" w:eastAsia="宋体" w:cs="Times New Roman"/>
          <w:color w:val="auto"/>
          <w:sz w:val="24"/>
          <w:szCs w:val="24"/>
          <w:lang w:val="en-US" w:eastAsia="zh-CN"/>
        </w:rPr>
        <w:t>。</w:t>
      </w:r>
    </w:p>
    <w:p w14:paraId="385A78F1">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cs="Times New Roman"/>
          <w:b w:val="0"/>
          <w:bCs w:val="0"/>
          <w:color w:val="auto"/>
          <w:sz w:val="24"/>
          <w:szCs w:val="24"/>
          <w:lang w:val="en-US" w:eastAsia="zh-CN"/>
        </w:rPr>
        <w:t>8</w:t>
      </w:r>
      <w:r>
        <w:rPr>
          <w:rFonts w:hint="default" w:ascii="Times New Roman" w:hAnsi="Times New Roman" w:cs="Times New Roman"/>
          <w:b w:val="0"/>
          <w:bCs w:val="0"/>
          <w:color w:val="auto"/>
          <w:sz w:val="24"/>
          <w:szCs w:val="24"/>
          <w:lang w:val="en-US" w:eastAsia="zh-CN"/>
        </w:rPr>
        <w:t>.</w:t>
      </w:r>
      <w:r>
        <w:rPr>
          <w:rFonts w:hint="eastAsia" w:ascii="Times New Roman" w:hAnsi="Times New Roman" w:cs="Times New Roman"/>
          <w:b w:val="0"/>
          <w:bCs w:val="0"/>
          <w:color w:val="auto"/>
          <w:sz w:val="24"/>
          <w:szCs w:val="24"/>
          <w:lang w:val="en-US" w:eastAsia="zh-CN"/>
        </w:rPr>
        <w:t>0</w:t>
      </w:r>
      <w:r>
        <w:rPr>
          <w:rFonts w:hint="default" w:ascii="Times New Roman" w:hAnsi="Times New Roman" w:cs="Times New Roman"/>
          <w:b w:val="0"/>
          <w:bCs w:val="0"/>
          <w:color w:val="auto"/>
          <w:sz w:val="24"/>
          <w:szCs w:val="24"/>
          <w:lang w:val="en-US" w:eastAsia="zh-CN"/>
        </w:rPr>
        <w:t>.</w:t>
      </w:r>
      <w:r>
        <w:rPr>
          <w:rFonts w:hint="eastAsia" w:ascii="Times New Roman" w:hAnsi="Times New Roman" w:cs="Times New Roman"/>
          <w:b w:val="0"/>
          <w:bCs w:val="0"/>
          <w:color w:val="auto"/>
          <w:sz w:val="24"/>
          <w:szCs w:val="24"/>
          <w:lang w:val="en-US" w:eastAsia="zh-CN"/>
        </w:rPr>
        <w:t>9</w:t>
      </w:r>
      <w:r>
        <w:rPr>
          <w:rFonts w:hint="default" w:ascii="Times New Roman" w:hAnsi="Times New Roman" w:eastAsia="宋体" w:cs="Times New Roman"/>
          <w:color w:val="auto"/>
          <w:sz w:val="24"/>
          <w:szCs w:val="24"/>
          <w:lang w:val="en-US" w:eastAsia="zh-CN"/>
        </w:rPr>
        <w:t xml:space="preserve"> </w:t>
      </w:r>
      <w:r>
        <w:rPr>
          <w:rFonts w:hint="eastAsia"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结论应包括:结构安全性、可靠性等级，抗鉴定结果，房屋危险性鉴定等级等。</w:t>
      </w:r>
    </w:p>
    <w:p w14:paraId="46F6F320">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cs="Times New Roman"/>
          <w:b w:val="0"/>
          <w:bCs w:val="0"/>
          <w:color w:val="auto"/>
          <w:sz w:val="24"/>
          <w:szCs w:val="24"/>
          <w:lang w:val="en-US" w:eastAsia="zh-CN"/>
        </w:rPr>
        <w:t>8</w:t>
      </w:r>
      <w:r>
        <w:rPr>
          <w:rFonts w:hint="default" w:ascii="Times New Roman" w:hAnsi="Times New Roman" w:cs="Times New Roman"/>
          <w:b w:val="0"/>
          <w:bCs w:val="0"/>
          <w:color w:val="auto"/>
          <w:sz w:val="24"/>
          <w:szCs w:val="24"/>
          <w:lang w:val="en-US" w:eastAsia="zh-CN"/>
        </w:rPr>
        <w:t>.</w:t>
      </w:r>
      <w:r>
        <w:rPr>
          <w:rFonts w:hint="eastAsia" w:ascii="Times New Roman" w:hAnsi="Times New Roman" w:cs="Times New Roman"/>
          <w:b w:val="0"/>
          <w:bCs w:val="0"/>
          <w:color w:val="auto"/>
          <w:sz w:val="24"/>
          <w:szCs w:val="24"/>
          <w:lang w:val="en-US" w:eastAsia="zh-CN"/>
        </w:rPr>
        <w:t>0</w:t>
      </w:r>
      <w:r>
        <w:rPr>
          <w:rFonts w:hint="default" w:ascii="Times New Roman" w:hAnsi="Times New Roman" w:cs="Times New Roman"/>
          <w:b w:val="0"/>
          <w:bCs w:val="0"/>
          <w:color w:val="auto"/>
          <w:sz w:val="24"/>
          <w:szCs w:val="24"/>
          <w:lang w:val="en-US" w:eastAsia="zh-CN"/>
        </w:rPr>
        <w:t>.</w:t>
      </w:r>
      <w:r>
        <w:rPr>
          <w:rFonts w:hint="eastAsia" w:ascii="Times New Roman" w:hAnsi="Times New Roman" w:cs="Times New Roman"/>
          <w:b w:val="0"/>
          <w:bCs w:val="0"/>
          <w:color w:val="auto"/>
          <w:sz w:val="24"/>
          <w:szCs w:val="24"/>
          <w:lang w:val="en-US" w:eastAsia="zh-CN"/>
        </w:rPr>
        <w:t>10</w:t>
      </w:r>
      <w:r>
        <w:rPr>
          <w:rFonts w:hint="default" w:ascii="Times New Roman" w:hAnsi="Times New Roman" w:eastAsia="宋体" w:cs="Times New Roman"/>
          <w:b/>
          <w:bCs/>
          <w:color w:val="auto"/>
          <w:sz w:val="24"/>
          <w:szCs w:val="24"/>
          <w:lang w:val="en-US" w:eastAsia="zh-CN"/>
        </w:rPr>
        <w:t xml:space="preserve"> </w:t>
      </w:r>
      <w:r>
        <w:rPr>
          <w:rFonts w:hint="eastAsia"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附件包括:附图(房屋建筑及结构平面示意图、且应注明指北针方向)、现场勘查记录、引用的检测报告、计算书、照片(带时间、地点水印)等。</w:t>
      </w:r>
    </w:p>
    <w:p w14:paraId="595C80B0">
      <w:pPr>
        <w:spacing w:line="360" w:lineRule="auto"/>
        <w:jc w:val="left"/>
        <w:rPr>
          <w:rFonts w:hint="default" w:ascii="Times New Roman" w:hAnsi="Times New Roman" w:cs="Times New Roman"/>
          <w:color w:val="auto"/>
          <w:sz w:val="24"/>
          <w:szCs w:val="24"/>
          <w:lang w:val="en-US" w:eastAsia="zh-CN"/>
        </w:rPr>
      </w:pPr>
      <w:r>
        <w:rPr>
          <w:rFonts w:hint="eastAsia" w:ascii="Times New Roman" w:hAnsi="Times New Roman" w:cs="Times New Roman"/>
          <w:b w:val="0"/>
          <w:bCs w:val="0"/>
          <w:color w:val="auto"/>
          <w:sz w:val="24"/>
          <w:szCs w:val="24"/>
          <w:lang w:val="en-US" w:eastAsia="zh-CN"/>
        </w:rPr>
        <w:t>8.0</w:t>
      </w:r>
      <w:r>
        <w:rPr>
          <w:rFonts w:hint="default" w:ascii="Times New Roman" w:hAnsi="Times New Roman" w:cs="Times New Roman"/>
          <w:b w:val="0"/>
          <w:bCs w:val="0"/>
          <w:color w:val="auto"/>
          <w:sz w:val="24"/>
          <w:szCs w:val="24"/>
          <w:lang w:val="en-US" w:eastAsia="zh-CN"/>
        </w:rPr>
        <w:t>.</w:t>
      </w:r>
      <w:bookmarkStart w:id="64" w:name="_Toc15910"/>
      <w:r>
        <w:rPr>
          <w:rFonts w:hint="eastAsia" w:ascii="Times New Roman" w:hAnsi="Times New Roman" w:cs="Times New Roman"/>
          <w:b w:val="0"/>
          <w:bCs w:val="0"/>
          <w:color w:val="auto"/>
          <w:sz w:val="24"/>
          <w:szCs w:val="24"/>
          <w:lang w:val="en-US" w:eastAsia="zh-CN"/>
        </w:rPr>
        <w:t xml:space="preserve">11 </w:t>
      </w:r>
      <w:r>
        <w:rPr>
          <w:rFonts w:hint="eastAsia" w:ascii="Times New Roman" w:hAnsi="Times New Roman" w:cs="Times New Roman"/>
          <w:color w:val="auto"/>
          <w:sz w:val="24"/>
          <w:szCs w:val="24"/>
          <w:lang w:val="en-US" w:eastAsia="zh-CN"/>
        </w:rPr>
        <w:t xml:space="preserve"> </w:t>
      </w:r>
      <w:r>
        <w:rPr>
          <w:rFonts w:hint="default" w:ascii="Times New Roman" w:hAnsi="Times New Roman" w:cs="Times New Roman"/>
          <w:color w:val="auto"/>
          <w:sz w:val="24"/>
          <w:szCs w:val="24"/>
          <w:lang w:val="en-US" w:eastAsia="zh-CN"/>
        </w:rPr>
        <w:t>报告格式</w:t>
      </w:r>
      <w:bookmarkEnd w:id="64"/>
    </w:p>
    <w:p w14:paraId="62499E8C">
      <w:pPr>
        <w:spacing w:line="360" w:lineRule="auto"/>
        <w:ind w:firstLine="480" w:firstLineChars="200"/>
        <w:jc w:val="left"/>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 xml:space="preserve">1 </w:t>
      </w:r>
      <w:r>
        <w:rPr>
          <w:rFonts w:hint="eastAsia" w:ascii="Times New Roman" w:hAnsi="Times New Roman" w:cs="Times New Roman"/>
          <w:color w:val="auto"/>
          <w:sz w:val="24"/>
          <w:szCs w:val="24"/>
          <w:lang w:val="en-US" w:eastAsia="zh-CN"/>
        </w:rPr>
        <w:t xml:space="preserve"> </w:t>
      </w:r>
      <w:r>
        <w:rPr>
          <w:rFonts w:hint="default" w:ascii="Times New Roman" w:hAnsi="Times New Roman" w:cs="Times New Roman"/>
          <w:color w:val="auto"/>
          <w:sz w:val="24"/>
          <w:szCs w:val="24"/>
          <w:lang w:val="en-US" w:eastAsia="zh-CN"/>
        </w:rPr>
        <w:t>封面：</w:t>
      </w:r>
      <w:r>
        <w:rPr>
          <w:rFonts w:hint="eastAsia" w:ascii="Times New Roman" w:hAnsi="Times New Roman" w:cs="Times New Roman"/>
          <w:color w:val="auto"/>
          <w:sz w:val="24"/>
          <w:szCs w:val="24"/>
          <w:lang w:val="en-US" w:eastAsia="zh-CN"/>
        </w:rPr>
        <w:t>项目</w:t>
      </w:r>
      <w:r>
        <w:rPr>
          <w:rFonts w:hint="default" w:ascii="Times New Roman" w:hAnsi="Times New Roman" w:cs="Times New Roman"/>
          <w:color w:val="auto"/>
          <w:sz w:val="24"/>
          <w:szCs w:val="24"/>
          <w:lang w:val="en-US" w:eastAsia="zh-CN"/>
        </w:rPr>
        <w:t>名称、报告编号、系统二维码、委托单位、编制</w:t>
      </w:r>
      <w:r>
        <w:rPr>
          <w:rFonts w:hint="eastAsia" w:ascii="Times New Roman" w:hAnsi="Times New Roman" w:cs="Times New Roman"/>
          <w:color w:val="auto"/>
          <w:sz w:val="24"/>
          <w:szCs w:val="24"/>
          <w:lang w:val="en-US" w:eastAsia="zh-CN"/>
        </w:rPr>
        <w:t>单位</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报告</w:t>
      </w:r>
      <w:r>
        <w:rPr>
          <w:rFonts w:hint="default" w:ascii="Times New Roman" w:hAnsi="Times New Roman" w:cs="Times New Roman"/>
          <w:color w:val="auto"/>
          <w:sz w:val="24"/>
          <w:szCs w:val="24"/>
          <w:lang w:val="en-US" w:eastAsia="zh-CN"/>
        </w:rPr>
        <w:t>日期</w:t>
      </w:r>
      <w:r>
        <w:rPr>
          <w:rFonts w:hint="eastAsia" w:ascii="Times New Roman" w:hAnsi="Times New Roman" w:cs="Times New Roman"/>
          <w:color w:val="auto"/>
          <w:sz w:val="24"/>
          <w:szCs w:val="24"/>
          <w:lang w:val="en-US" w:eastAsia="zh-CN"/>
        </w:rPr>
        <w:t>（发出日）；</w:t>
      </w:r>
    </w:p>
    <w:p w14:paraId="1E326AFC">
      <w:pPr>
        <w:spacing w:line="360" w:lineRule="auto"/>
        <w:ind w:firstLine="480" w:firstLineChars="200"/>
        <w:jc w:val="left"/>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2  扉页：</w:t>
      </w:r>
      <w:r>
        <w:rPr>
          <w:rFonts w:hint="default" w:ascii="Times New Roman" w:hAnsi="Times New Roman" w:cs="Times New Roman"/>
          <w:color w:val="auto"/>
          <w:sz w:val="24"/>
          <w:szCs w:val="24"/>
          <w:lang w:val="en-US" w:eastAsia="zh-CN"/>
        </w:rPr>
        <w:t>鉴定人员、报告编写人</w:t>
      </w:r>
      <w:r>
        <w:rPr>
          <w:rFonts w:hint="eastAsia" w:ascii="Times New Roman" w:hAnsi="Times New Roman" w:cs="Times New Roman"/>
          <w:color w:val="auto"/>
          <w:sz w:val="24"/>
          <w:szCs w:val="24"/>
          <w:lang w:val="en-US" w:eastAsia="zh-CN"/>
        </w:rPr>
        <w:t>（项目负责人）</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注册人员（注册结构工程师或注册岩土工程师）、</w:t>
      </w:r>
      <w:r>
        <w:rPr>
          <w:rFonts w:hint="default" w:ascii="Times New Roman" w:hAnsi="Times New Roman" w:cs="Times New Roman"/>
          <w:color w:val="auto"/>
          <w:sz w:val="24"/>
          <w:szCs w:val="24"/>
          <w:lang w:val="en-US" w:eastAsia="zh-CN"/>
        </w:rPr>
        <w:t>审核人</w:t>
      </w:r>
      <w:r>
        <w:rPr>
          <w:rFonts w:hint="eastAsia" w:ascii="Times New Roman" w:hAnsi="Times New Roman" w:cs="Times New Roman"/>
          <w:color w:val="auto"/>
          <w:sz w:val="24"/>
          <w:szCs w:val="24"/>
          <w:lang w:val="en-US" w:eastAsia="zh-CN"/>
        </w:rPr>
        <w:t>（鉴定技术负责人）</w:t>
      </w:r>
      <w:r>
        <w:rPr>
          <w:rFonts w:hint="default" w:ascii="Times New Roman" w:hAnsi="Times New Roman" w:cs="Times New Roman"/>
          <w:color w:val="auto"/>
          <w:sz w:val="24"/>
          <w:szCs w:val="24"/>
          <w:lang w:val="en-US" w:eastAsia="zh-CN"/>
        </w:rPr>
        <w:t>、批准人</w:t>
      </w:r>
      <w:r>
        <w:rPr>
          <w:rFonts w:hint="eastAsia" w:ascii="Times New Roman" w:hAnsi="Times New Roman" w:cs="Times New Roman"/>
          <w:color w:val="auto"/>
          <w:sz w:val="24"/>
          <w:szCs w:val="24"/>
          <w:lang w:val="en-US" w:eastAsia="zh-CN"/>
        </w:rPr>
        <w:t>（授权签字人）；</w:t>
      </w:r>
    </w:p>
    <w:p w14:paraId="7F143708">
      <w:pPr>
        <w:spacing w:line="360" w:lineRule="auto"/>
        <w:ind w:firstLine="480" w:firstLineChars="200"/>
        <w:jc w:val="left"/>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lang w:val="en-US" w:eastAsia="zh-CN"/>
        </w:rPr>
        <w:t xml:space="preserve"> </w:t>
      </w:r>
      <w:r>
        <w:rPr>
          <w:rFonts w:hint="eastAsia" w:ascii="Times New Roman" w:hAnsi="Times New Roman" w:cs="Times New Roman"/>
          <w:color w:val="auto"/>
          <w:sz w:val="24"/>
          <w:szCs w:val="24"/>
          <w:lang w:val="en-US" w:eastAsia="zh-CN"/>
        </w:rPr>
        <w:t xml:space="preserve"> 声明；</w:t>
      </w:r>
    </w:p>
    <w:p w14:paraId="2FE39896">
      <w:pPr>
        <w:spacing w:line="360" w:lineRule="auto"/>
        <w:ind w:firstLine="480" w:firstLineChars="200"/>
        <w:jc w:val="left"/>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4  目录；</w:t>
      </w:r>
    </w:p>
    <w:p w14:paraId="2BA5A8BB">
      <w:pPr>
        <w:spacing w:line="360" w:lineRule="auto"/>
        <w:ind w:firstLine="480" w:firstLineChars="200"/>
        <w:jc w:val="left"/>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 xml:space="preserve">5  </w:t>
      </w:r>
      <w:r>
        <w:rPr>
          <w:rFonts w:hint="default" w:ascii="Times New Roman" w:hAnsi="Times New Roman" w:cs="Times New Roman"/>
          <w:color w:val="auto"/>
          <w:sz w:val="24"/>
          <w:szCs w:val="24"/>
          <w:lang w:val="en-US" w:eastAsia="zh-CN"/>
        </w:rPr>
        <w:t>页眉、一级二级标题、表头图名、表格等；</w:t>
      </w:r>
    </w:p>
    <w:p w14:paraId="5FB7D2D1">
      <w:pPr>
        <w:spacing w:line="360" w:lineRule="auto"/>
        <w:ind w:firstLine="480" w:firstLineChars="200"/>
        <w:jc w:val="left"/>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6  报告正文：按照本导则的鉴定报告编写顺序，包括现场检测设备、</w:t>
      </w:r>
      <w:r>
        <w:rPr>
          <w:rFonts w:hint="default" w:ascii="Times New Roman" w:hAnsi="Times New Roman" w:cs="Times New Roman"/>
          <w:color w:val="auto"/>
          <w:sz w:val="24"/>
          <w:szCs w:val="24"/>
          <w:lang w:val="en-US" w:eastAsia="zh-CN"/>
        </w:rPr>
        <w:t>检测</w:t>
      </w:r>
      <w:r>
        <w:rPr>
          <w:rFonts w:hint="eastAsia" w:ascii="Times New Roman" w:hAnsi="Times New Roman" w:cs="Times New Roman"/>
          <w:color w:val="auto"/>
          <w:sz w:val="24"/>
          <w:szCs w:val="24"/>
          <w:lang w:val="en-US" w:eastAsia="zh-CN"/>
        </w:rPr>
        <w:t>内容</w:t>
      </w:r>
      <w:r>
        <w:rPr>
          <w:rFonts w:hint="default" w:ascii="Times New Roman" w:hAnsi="Times New Roman" w:cs="Times New Roman"/>
          <w:color w:val="auto"/>
          <w:sz w:val="24"/>
          <w:szCs w:val="24"/>
          <w:lang w:val="en-US" w:eastAsia="zh-CN"/>
        </w:rPr>
        <w:t>、结构建模、可靠性评级统计表、</w:t>
      </w:r>
      <w:r>
        <w:rPr>
          <w:rFonts w:hint="eastAsia" w:ascii="Times New Roman" w:hAnsi="Times New Roman" w:cs="Times New Roman"/>
          <w:color w:val="auto"/>
          <w:sz w:val="24"/>
          <w:szCs w:val="24"/>
          <w:lang w:val="en-US" w:eastAsia="zh-CN"/>
        </w:rPr>
        <w:t>抗震性能评定</w:t>
      </w:r>
      <w:r>
        <w:rPr>
          <w:rFonts w:hint="default" w:ascii="Times New Roman" w:hAnsi="Times New Roman" w:cs="Times New Roman"/>
          <w:color w:val="auto"/>
          <w:sz w:val="24"/>
          <w:szCs w:val="24"/>
          <w:lang w:val="en-US" w:eastAsia="zh-CN"/>
        </w:rPr>
        <w:t>统计表</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鉴定结论、处理建议</w:t>
      </w:r>
      <w:r>
        <w:rPr>
          <w:rFonts w:hint="eastAsia" w:ascii="Times New Roman" w:hAnsi="Times New Roman" w:cs="Times New Roman"/>
          <w:color w:val="auto"/>
          <w:sz w:val="24"/>
          <w:szCs w:val="24"/>
          <w:lang w:val="en-US" w:eastAsia="zh-CN"/>
        </w:rPr>
        <w:t>；</w:t>
      </w:r>
    </w:p>
    <w:p w14:paraId="7A1FBA75">
      <w:pPr>
        <w:spacing w:line="360" w:lineRule="auto"/>
        <w:ind w:firstLine="480" w:firstLineChars="200"/>
        <w:jc w:val="left"/>
        <w:rPr>
          <w:rFonts w:hint="default"/>
          <w:color w:val="auto"/>
          <w:lang w:val="en-US" w:eastAsia="zh-CN"/>
        </w:rPr>
      </w:pPr>
      <w:r>
        <w:rPr>
          <w:rFonts w:hint="eastAsia" w:ascii="Times New Roman" w:hAnsi="Times New Roman" w:cs="Times New Roman"/>
          <w:color w:val="auto"/>
          <w:sz w:val="24"/>
          <w:szCs w:val="24"/>
          <w:lang w:val="en-US" w:eastAsia="zh-CN"/>
        </w:rPr>
        <w:t>7</w:t>
      </w:r>
      <w:r>
        <w:rPr>
          <w:rFonts w:hint="default" w:ascii="Times New Roman" w:hAnsi="Times New Roman" w:cs="Times New Roman"/>
          <w:color w:val="auto"/>
          <w:sz w:val="24"/>
          <w:szCs w:val="24"/>
          <w:lang w:val="en-US" w:eastAsia="zh-CN"/>
        </w:rPr>
        <w:t xml:space="preserve"> </w:t>
      </w:r>
      <w:r>
        <w:rPr>
          <w:rFonts w:hint="eastAsia" w:ascii="Times New Roman" w:hAnsi="Times New Roman" w:cs="Times New Roman"/>
          <w:color w:val="auto"/>
          <w:sz w:val="24"/>
          <w:szCs w:val="24"/>
          <w:lang w:val="en-US" w:eastAsia="zh-CN"/>
        </w:rPr>
        <w:t xml:space="preserve"> </w:t>
      </w:r>
      <w:r>
        <w:rPr>
          <w:rFonts w:hint="default" w:ascii="Times New Roman" w:hAnsi="Times New Roman" w:cs="Times New Roman"/>
          <w:color w:val="auto"/>
          <w:sz w:val="24"/>
          <w:szCs w:val="24"/>
          <w:lang w:val="en-US" w:eastAsia="zh-CN"/>
        </w:rPr>
        <w:t>报告附件</w:t>
      </w:r>
      <w:r>
        <w:rPr>
          <w:rFonts w:hint="eastAsia" w:ascii="Times New Roman" w:hAnsi="Times New Roman" w:cs="Times New Roman"/>
          <w:color w:val="auto"/>
          <w:sz w:val="24"/>
          <w:szCs w:val="24"/>
          <w:lang w:val="en-US" w:eastAsia="zh-CN"/>
        </w:rPr>
        <w:t>。</w:t>
      </w:r>
    </w:p>
    <w:p w14:paraId="4D6A0EF8">
      <w:pPr>
        <w:pStyle w:val="3"/>
        <w:bidi w:val="0"/>
        <w:jc w:val="center"/>
        <w:rPr>
          <w:rFonts w:hint="default" w:ascii="Times New Roman" w:hAnsi="Times New Roman" w:eastAsia="宋体" w:cs="Times New Roman"/>
          <w:color w:val="auto"/>
          <w:lang w:val="en-US" w:eastAsia="zh-CN"/>
        </w:rPr>
        <w:sectPr>
          <w:pgSz w:w="11906" w:h="16838"/>
          <w:pgMar w:top="1440" w:right="1800" w:bottom="1440" w:left="1800" w:header="851" w:footer="992" w:gutter="0"/>
          <w:pgNumType w:fmt="decimal"/>
          <w:cols w:space="425" w:num="1"/>
          <w:docGrid w:type="lines" w:linePitch="312" w:charSpace="0"/>
        </w:sectPr>
      </w:pPr>
    </w:p>
    <w:p w14:paraId="27640D94">
      <w:pPr>
        <w:pStyle w:val="3"/>
        <w:keepNext/>
        <w:keepLines/>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lang w:val="en-US" w:eastAsia="zh-CN"/>
        </w:rPr>
      </w:pPr>
      <w:bookmarkStart w:id="65" w:name="_Toc540"/>
      <w:bookmarkStart w:id="66" w:name="_Toc15005"/>
      <w:r>
        <w:rPr>
          <w:rFonts w:hint="eastAsia" w:ascii="Times New Roman" w:hAnsi="Times New Roman" w:eastAsia="宋体" w:cs="Times New Roman"/>
          <w:color w:val="auto"/>
          <w:lang w:val="en-US" w:eastAsia="zh-CN"/>
        </w:rPr>
        <w:t>9</w:t>
      </w:r>
      <w:r>
        <w:rPr>
          <w:rFonts w:hint="default" w:ascii="Times New Roman" w:hAnsi="Times New Roman" w:eastAsia="宋体" w:cs="Times New Roman"/>
          <w:color w:val="auto"/>
          <w:lang w:val="en-US" w:eastAsia="zh-CN"/>
        </w:rPr>
        <w:t xml:space="preserve"> </w:t>
      </w:r>
      <w:r>
        <w:rPr>
          <w:rFonts w:hint="eastAsia"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lang w:val="en-US" w:eastAsia="zh-CN"/>
        </w:rPr>
        <w:t>鉴定档案管理</w:t>
      </w:r>
      <w:bookmarkEnd w:id="65"/>
      <w:bookmarkEnd w:id="66"/>
    </w:p>
    <w:p w14:paraId="414BE51F">
      <w:pPr>
        <w:spacing w:line="360" w:lineRule="auto"/>
        <w:jc w:val="left"/>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9.0.1  鉴定机构应建立鉴定资料档案室，档案室的条件应能满足纸质文件和电子文件的长期存放。鉴定机构应建立鉴定资料档案管理制度，并配备专（兼）职的档案管理人员。鉴定档案按类别和年度、鉴定报告编号整理归档。</w:t>
      </w:r>
    </w:p>
    <w:p w14:paraId="4FB14502">
      <w:pPr>
        <w:spacing w:line="360" w:lineRule="auto"/>
        <w:jc w:val="left"/>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9.0.2  鉴定档案文件可以由纸质档案和电子文件组成，电子文件应与相应的纸质文件材料一并归档保存，档案资料包括鉴定过程中形成的所有材料，应能客观、准确、完整、全面地反映鉴定的整个过程，归档资料一般包含的资料有：签定的合同或委托书、委托人提供的重要资料复印件、鉴定方案、鉴定报告原件、现场查勘记录与影像资料、检测原始记录及现场调查表、结构承载力复核计算书、专家咨询与论证意见等。</w:t>
      </w:r>
    </w:p>
    <w:p w14:paraId="7AAF28EA">
      <w:pPr>
        <w:spacing w:line="360" w:lineRule="auto"/>
        <w:jc w:val="left"/>
        <w:rPr>
          <w:rFonts w:hint="eastAsia" w:ascii="Times New Roman" w:hAnsi="Times New Roman" w:cs="Times New Roman"/>
          <w:color w:val="auto"/>
          <w:sz w:val="24"/>
          <w:szCs w:val="24"/>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ascii="Times New Roman" w:hAnsi="Times New Roman" w:cs="Times New Roman"/>
          <w:color w:val="auto"/>
          <w:sz w:val="24"/>
          <w:szCs w:val="24"/>
          <w:lang w:val="en-US" w:eastAsia="zh-CN"/>
        </w:rPr>
        <w:t>9.0.3  鉴定项目负责人应及时将鉴定资料移交档案管理，并有相关记录；鉴定档案的保管期限应为20年，保管期限到期的鉴定资料销毁应进行登记、造册后经鉴定机构负责人批准。</w:t>
      </w:r>
    </w:p>
    <w:p w14:paraId="13C10A57">
      <w:pPr>
        <w:jc w:val="center"/>
        <w:rPr>
          <w:rFonts w:hint="default" w:ascii="Times New Roman" w:hAnsi="Times New Roman" w:eastAsia="宋体" w:cs="Times New Roman"/>
          <w:b/>
          <w:bCs/>
          <w:color w:val="auto"/>
          <w:sz w:val="48"/>
          <w:szCs w:val="48"/>
        </w:rPr>
      </w:pPr>
      <w:r>
        <w:rPr>
          <w:rFonts w:hint="default" w:ascii="Times New Roman" w:hAnsi="Times New Roman" w:cs="Times New Roman"/>
          <w:b/>
          <w:bCs/>
          <w:color w:val="auto"/>
          <w:sz w:val="48"/>
          <w:szCs w:val="48"/>
        </w:rPr>
        <w:t>《</w:t>
      </w:r>
      <w:r>
        <w:rPr>
          <w:rFonts w:hint="default" w:ascii="Times New Roman" w:hAnsi="Times New Roman" w:cs="Times New Roman"/>
          <w:b/>
          <w:bCs/>
          <w:color w:val="auto"/>
          <w:sz w:val="48"/>
          <w:szCs w:val="48"/>
          <w:highlight w:val="none"/>
          <w:lang w:val="en-US" w:eastAsia="zh-CN"/>
        </w:rPr>
        <w:t>既有</w:t>
      </w:r>
      <w:r>
        <w:rPr>
          <w:rFonts w:hint="default" w:ascii="Times New Roman" w:hAnsi="Times New Roman" w:cs="Times New Roman"/>
          <w:b/>
          <w:bCs/>
          <w:color w:val="auto"/>
          <w:sz w:val="48"/>
          <w:szCs w:val="48"/>
          <w:lang w:val="en-US" w:eastAsia="zh-CN"/>
        </w:rPr>
        <w:t>工业</w:t>
      </w:r>
      <w:r>
        <w:rPr>
          <w:rFonts w:hint="default" w:ascii="Times New Roman" w:hAnsi="Times New Roman" w:cs="Times New Roman"/>
          <w:b/>
          <w:bCs/>
          <w:color w:val="auto"/>
          <w:sz w:val="48"/>
          <w:szCs w:val="48"/>
        </w:rPr>
        <w:t>建筑可靠性</w:t>
      </w:r>
      <w:r>
        <w:rPr>
          <w:rFonts w:hint="eastAsia" w:ascii="Times New Roman" w:hAnsi="Times New Roman" w:cs="Times New Roman"/>
          <w:b/>
          <w:bCs/>
          <w:color w:val="auto"/>
          <w:sz w:val="48"/>
          <w:szCs w:val="48"/>
          <w:lang w:val="en-US" w:eastAsia="zh-CN"/>
        </w:rPr>
        <w:t>与抗震</w:t>
      </w:r>
      <w:r>
        <w:rPr>
          <w:rFonts w:hint="default" w:ascii="Times New Roman" w:hAnsi="Times New Roman" w:cs="Times New Roman"/>
          <w:b/>
          <w:bCs/>
          <w:color w:val="auto"/>
          <w:sz w:val="48"/>
          <w:szCs w:val="48"/>
        </w:rPr>
        <w:t>鉴定导则》</w:t>
      </w:r>
    </w:p>
    <w:p w14:paraId="3C4974AD">
      <w:pPr>
        <w:pStyle w:val="3"/>
        <w:bidi w:val="0"/>
        <w:jc w:val="center"/>
        <w:rPr>
          <w:rFonts w:hint="default" w:ascii="Times New Roman" w:hAnsi="Times New Roman" w:cs="Times New Roman"/>
          <w:color w:val="auto"/>
          <w:sz w:val="52"/>
          <w:szCs w:val="52"/>
        </w:rPr>
      </w:pPr>
      <w:bookmarkStart w:id="67" w:name="_Toc27439"/>
      <w:bookmarkStart w:id="68" w:name="_Toc7058"/>
      <w:r>
        <w:rPr>
          <w:rFonts w:hint="eastAsia" w:ascii="Times New Roman" w:hAnsi="Times New Roman" w:cs="Times New Roman"/>
          <w:color w:val="auto"/>
          <w:sz w:val="48"/>
          <w:szCs w:val="48"/>
          <w:lang w:val="en-US" w:eastAsia="zh-CN"/>
        </w:rPr>
        <w:t>附录参考资料</w:t>
      </w:r>
      <w:bookmarkEnd w:id="67"/>
      <w:bookmarkEnd w:id="68"/>
    </w:p>
    <w:p w14:paraId="3B88376B">
      <w:pPr>
        <w:bidi w:val="0"/>
        <w:rPr>
          <w:rFonts w:hint="default" w:ascii="Times New Roman" w:hAnsi="Times New Roman" w:cs="Times New Roman"/>
          <w:b/>
          <w:bCs/>
          <w:color w:val="auto"/>
          <w:sz w:val="36"/>
          <w:szCs w:val="36"/>
        </w:rPr>
      </w:pPr>
    </w:p>
    <w:p w14:paraId="63FA26F6">
      <w:pPr>
        <w:bidi w:val="0"/>
        <w:rPr>
          <w:rFonts w:hint="default" w:ascii="Times New Roman" w:hAnsi="Times New Roman" w:cs="Times New Roman"/>
          <w:b/>
          <w:bCs/>
          <w:color w:val="auto"/>
          <w:sz w:val="36"/>
          <w:szCs w:val="36"/>
          <w:lang w:val="en-US" w:eastAsia="zh-CN"/>
        </w:rPr>
      </w:pPr>
      <w:r>
        <w:rPr>
          <w:rFonts w:hint="default" w:ascii="Times New Roman" w:hAnsi="Times New Roman" w:cs="Times New Roman"/>
          <w:b/>
          <w:bCs/>
          <w:color w:val="auto"/>
          <w:sz w:val="36"/>
          <w:szCs w:val="36"/>
        </w:rPr>
        <w:t>附录</w:t>
      </w:r>
      <w:r>
        <w:rPr>
          <w:rFonts w:hint="default" w:ascii="Times New Roman" w:hAnsi="Times New Roman" w:cs="Times New Roman"/>
          <w:b/>
          <w:bCs/>
          <w:color w:val="auto"/>
          <w:sz w:val="36"/>
          <w:szCs w:val="36"/>
          <w:lang w:val="en-US" w:eastAsia="zh-CN"/>
        </w:rPr>
        <w:t>A  工业</w:t>
      </w:r>
      <w:r>
        <w:rPr>
          <w:rFonts w:hint="default" w:ascii="Times New Roman" w:hAnsi="Times New Roman" w:cs="Times New Roman"/>
          <w:b/>
          <w:bCs/>
          <w:color w:val="auto"/>
          <w:sz w:val="36"/>
          <w:szCs w:val="36"/>
          <w:lang w:eastAsia="zh-CN"/>
        </w:rPr>
        <w:t>建筑可靠性鉴定委托书</w:t>
      </w:r>
      <w:r>
        <w:rPr>
          <w:rFonts w:hint="default" w:ascii="Times New Roman" w:hAnsi="Times New Roman" w:cs="Times New Roman"/>
          <w:b/>
          <w:bCs/>
          <w:color w:val="auto"/>
          <w:sz w:val="36"/>
          <w:szCs w:val="36"/>
          <w:lang w:val="en-US" w:eastAsia="zh-CN"/>
        </w:rPr>
        <w:t>（样板）</w:t>
      </w:r>
    </w:p>
    <w:p w14:paraId="7595F62F">
      <w:pPr>
        <w:bidi w:val="0"/>
        <w:rPr>
          <w:rFonts w:hint="default" w:ascii="Times New Roman" w:hAnsi="Times New Roman" w:cs="Times New Roman"/>
          <w:b/>
          <w:bCs/>
          <w:color w:val="auto"/>
          <w:sz w:val="36"/>
          <w:szCs w:val="36"/>
          <w:lang w:val="en-US" w:eastAsia="zh-CN"/>
        </w:rPr>
      </w:pPr>
      <w:r>
        <w:rPr>
          <w:rFonts w:hint="default" w:ascii="Times New Roman" w:hAnsi="Times New Roman" w:cs="Times New Roman"/>
          <w:b/>
          <w:bCs/>
          <w:color w:val="auto"/>
          <w:sz w:val="36"/>
          <w:szCs w:val="36"/>
          <w:lang w:val="en-US" w:eastAsia="zh-CN"/>
        </w:rPr>
        <w:t>附录B  工业建筑构件排查表（样板）</w:t>
      </w:r>
    </w:p>
    <w:p w14:paraId="7DADB260">
      <w:pPr>
        <w:bidi w:val="0"/>
        <w:rPr>
          <w:rFonts w:hint="default" w:ascii="Times New Roman" w:hAnsi="Times New Roman" w:cs="Times New Roman"/>
          <w:b/>
          <w:bCs/>
          <w:color w:val="auto"/>
          <w:sz w:val="36"/>
          <w:szCs w:val="36"/>
          <w:lang w:val="en-US" w:eastAsia="zh-CN"/>
        </w:rPr>
      </w:pPr>
      <w:r>
        <w:rPr>
          <w:rFonts w:hint="default" w:ascii="Times New Roman" w:hAnsi="Times New Roman" w:cs="Times New Roman"/>
          <w:b/>
          <w:bCs/>
          <w:color w:val="auto"/>
          <w:sz w:val="36"/>
          <w:szCs w:val="36"/>
          <w:lang w:val="en-US" w:eastAsia="zh-CN"/>
        </w:rPr>
        <w:t>附录C  建筑可靠性鉴定方案（样版）</w:t>
      </w:r>
    </w:p>
    <w:p w14:paraId="351DF49B">
      <w:pPr>
        <w:bidi w:val="0"/>
        <w:rPr>
          <w:rFonts w:hint="default" w:ascii="Times New Roman" w:hAnsi="Times New Roman" w:cs="Times New Roman"/>
          <w:b/>
          <w:bCs/>
          <w:color w:val="auto"/>
          <w:sz w:val="36"/>
          <w:szCs w:val="36"/>
          <w:lang w:val="en-US" w:eastAsia="zh-CN"/>
        </w:rPr>
      </w:pPr>
      <w:r>
        <w:rPr>
          <w:rFonts w:hint="default" w:ascii="Times New Roman" w:hAnsi="Times New Roman" w:cs="Times New Roman"/>
          <w:b/>
          <w:bCs/>
          <w:color w:val="auto"/>
          <w:sz w:val="36"/>
          <w:szCs w:val="36"/>
          <w:lang w:val="en-US" w:eastAsia="zh-CN"/>
        </w:rPr>
        <w:t>附录D  工业可靠性鉴定及抗震鉴定报告（样版）</w:t>
      </w:r>
    </w:p>
    <w:p w14:paraId="5F8E6494">
      <w:pPr>
        <w:bidi w:val="0"/>
        <w:rPr>
          <w:rFonts w:hint="default" w:ascii="Times New Roman" w:hAnsi="Times New Roman" w:cs="Times New Roman"/>
          <w:b/>
          <w:bCs/>
          <w:color w:val="auto"/>
          <w:sz w:val="36"/>
          <w:szCs w:val="36"/>
          <w:lang w:val="en-US" w:eastAsia="zh-CN"/>
        </w:rPr>
      </w:pPr>
      <w:r>
        <w:rPr>
          <w:rFonts w:hint="default" w:ascii="Times New Roman" w:hAnsi="Times New Roman" w:cs="Times New Roman"/>
          <w:b/>
          <w:bCs/>
          <w:color w:val="auto"/>
          <w:sz w:val="36"/>
          <w:szCs w:val="36"/>
          <w:lang w:val="en-US" w:eastAsia="zh-CN"/>
        </w:rPr>
        <w:t>附录E  单层工业厂房抗震构造措施核查表（部分）</w:t>
      </w:r>
    </w:p>
    <w:p w14:paraId="0A16D7ED">
      <w:pPr>
        <w:rPr>
          <w:rFonts w:hint="default"/>
          <w:color w:val="auto"/>
        </w:rPr>
        <w:sectPr>
          <w:pgSz w:w="11906" w:h="16838"/>
          <w:pgMar w:top="1440" w:right="1800" w:bottom="1440" w:left="1800" w:header="851" w:footer="992" w:gutter="0"/>
          <w:pgNumType w:fmt="decimal"/>
          <w:cols w:space="425" w:num="1"/>
          <w:docGrid w:type="lines" w:linePitch="312" w:charSpace="0"/>
        </w:sectPr>
      </w:pPr>
    </w:p>
    <w:p w14:paraId="5DD40545">
      <w:pPr>
        <w:pStyle w:val="3"/>
        <w:bidi w:val="0"/>
        <w:jc w:val="center"/>
        <w:rPr>
          <w:rFonts w:hint="default" w:ascii="Times New Roman" w:hAnsi="Times New Roman" w:cs="Times New Roman"/>
          <w:color w:val="auto"/>
          <w:lang w:eastAsia="zh-CN"/>
        </w:rPr>
      </w:pPr>
      <w:bookmarkStart w:id="69" w:name="_Toc2676"/>
      <w:bookmarkStart w:id="70" w:name="_Toc15632"/>
      <w:r>
        <w:rPr>
          <w:rFonts w:hint="default" w:ascii="Times New Roman" w:hAnsi="Times New Roman" w:cs="Times New Roman"/>
          <w:color w:val="auto"/>
        </w:rPr>
        <w:t>附录</w:t>
      </w:r>
      <w:r>
        <w:rPr>
          <w:rFonts w:hint="eastAsia" w:ascii="Times New Roman" w:hAnsi="Times New Roman" w:cs="Times New Roman"/>
          <w:color w:val="auto"/>
          <w:lang w:val="en-US" w:eastAsia="zh-CN"/>
        </w:rPr>
        <w:t xml:space="preserve">A  </w:t>
      </w:r>
      <w:r>
        <w:rPr>
          <w:rFonts w:hint="default" w:ascii="Times New Roman" w:hAnsi="Times New Roman" w:cs="Times New Roman"/>
          <w:color w:val="auto"/>
          <w:lang w:val="en-US" w:eastAsia="zh-CN"/>
        </w:rPr>
        <w:t>工业</w:t>
      </w:r>
      <w:r>
        <w:rPr>
          <w:rFonts w:hint="default" w:ascii="Times New Roman" w:hAnsi="Times New Roman" w:cs="Times New Roman"/>
          <w:color w:val="auto"/>
          <w:lang w:eastAsia="zh-CN"/>
        </w:rPr>
        <w:t>建筑可靠性鉴定委托书</w:t>
      </w:r>
      <w:bookmarkEnd w:id="69"/>
      <w:r>
        <w:rPr>
          <w:rFonts w:hint="eastAsia"/>
          <w:color w:val="auto"/>
          <w:lang w:val="en-US" w:eastAsia="zh-CN"/>
        </w:rPr>
        <w:t>（样板）</w:t>
      </w:r>
      <w:bookmarkEnd w:id="70"/>
    </w:p>
    <w:p w14:paraId="19EB9EA6">
      <w:pPr>
        <w:keepNext w:val="0"/>
        <w:keepLines w:val="0"/>
        <w:pageBreakBefore w:val="0"/>
        <w:widowControl w:val="0"/>
        <w:kinsoku/>
        <w:wordWrap w:val="0"/>
        <w:overflowPunct/>
        <w:topLinePunct w:val="0"/>
        <w:autoSpaceDE/>
        <w:autoSpaceDN/>
        <w:bidi w:val="0"/>
        <w:adjustRightInd/>
        <w:snapToGrid/>
        <w:ind w:firstLine="5880" w:firstLineChars="2800"/>
        <w:jc w:val="both"/>
        <w:textAlignment w:val="auto"/>
        <w:rPr>
          <w:rFonts w:hint="default" w:ascii="Times New Roman" w:hAnsi="Times New Roman" w:eastAsia="宋体" w:cs="Times New Roman"/>
          <w:color w:val="auto"/>
          <w:lang w:eastAsia="zh-CN"/>
        </w:rPr>
      </w:pPr>
      <w:r>
        <w:rPr>
          <w:rFonts w:hint="default" w:ascii="Times New Roman" w:hAnsi="Times New Roman" w:cs="Times New Roman" w:eastAsiaTheme="majorEastAsia"/>
          <w:color w:val="auto"/>
          <w:sz w:val="21"/>
          <w:szCs w:val="21"/>
        </w:rPr>
        <w:t>委托编号：</w:t>
      </w:r>
    </w:p>
    <w:tbl>
      <w:tblPr>
        <w:tblStyle w:val="22"/>
        <w:tblW w:w="97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2"/>
        <w:gridCol w:w="3601"/>
        <w:gridCol w:w="1620"/>
        <w:gridCol w:w="2550"/>
      </w:tblGrid>
      <w:tr w14:paraId="77587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962" w:type="dxa"/>
            <w:vAlign w:val="center"/>
          </w:tcPr>
          <w:p w14:paraId="5BE6FD8F">
            <w:pPr>
              <w:spacing w:line="320" w:lineRule="exact"/>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建筑名称</w:t>
            </w:r>
            <w:r>
              <w:rPr>
                <w:rFonts w:hint="default" w:ascii="Times New Roman" w:hAnsi="Times New Roman" w:cs="Times New Roman" w:eastAsiaTheme="majorEastAsia"/>
                <w:color w:val="auto"/>
                <w:sz w:val="21"/>
                <w:szCs w:val="21"/>
                <w:lang w:val="en-US" w:eastAsia="zh-CN"/>
              </w:rPr>
              <w:t>*</w:t>
            </w:r>
          </w:p>
        </w:tc>
        <w:tc>
          <w:tcPr>
            <w:tcW w:w="3601" w:type="dxa"/>
            <w:vAlign w:val="center"/>
          </w:tcPr>
          <w:p w14:paraId="2EC4D329">
            <w:pPr>
              <w:spacing w:line="320" w:lineRule="exact"/>
              <w:jc w:val="center"/>
              <w:rPr>
                <w:rFonts w:hint="default" w:ascii="Times New Roman" w:hAnsi="Times New Roman" w:cs="Times New Roman" w:eastAsiaTheme="majorEastAsia"/>
                <w:color w:val="auto"/>
                <w:sz w:val="21"/>
                <w:szCs w:val="21"/>
              </w:rPr>
            </w:pPr>
          </w:p>
        </w:tc>
        <w:tc>
          <w:tcPr>
            <w:tcW w:w="1620" w:type="dxa"/>
            <w:vAlign w:val="center"/>
          </w:tcPr>
          <w:p w14:paraId="269A2224">
            <w:pPr>
              <w:spacing w:line="320" w:lineRule="exact"/>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委托日期</w:t>
            </w:r>
            <w:r>
              <w:rPr>
                <w:rFonts w:hint="default" w:ascii="Times New Roman" w:hAnsi="Times New Roman" w:cs="Times New Roman" w:eastAsiaTheme="majorEastAsia"/>
                <w:color w:val="auto"/>
                <w:sz w:val="21"/>
                <w:szCs w:val="21"/>
                <w:lang w:val="en-US" w:eastAsia="zh-CN"/>
              </w:rPr>
              <w:t>*</w:t>
            </w:r>
          </w:p>
        </w:tc>
        <w:tc>
          <w:tcPr>
            <w:tcW w:w="2550" w:type="dxa"/>
            <w:vAlign w:val="center"/>
          </w:tcPr>
          <w:p w14:paraId="63BE7B88">
            <w:pPr>
              <w:spacing w:line="320" w:lineRule="exact"/>
              <w:jc w:val="center"/>
              <w:rPr>
                <w:rFonts w:hint="default" w:ascii="Times New Roman" w:hAnsi="Times New Roman" w:cs="Times New Roman" w:eastAsiaTheme="majorEastAsia"/>
                <w:color w:val="auto"/>
                <w:sz w:val="21"/>
                <w:szCs w:val="21"/>
              </w:rPr>
            </w:pPr>
          </w:p>
        </w:tc>
      </w:tr>
      <w:tr w14:paraId="2B966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962" w:type="dxa"/>
            <w:vAlign w:val="center"/>
          </w:tcPr>
          <w:p w14:paraId="0A2F2355">
            <w:pPr>
              <w:spacing w:line="320" w:lineRule="exact"/>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lang w:val="en-US" w:eastAsia="zh-CN"/>
              </w:rPr>
              <w:t>产权</w:t>
            </w:r>
            <w:r>
              <w:rPr>
                <w:rFonts w:hint="default" w:ascii="Times New Roman" w:hAnsi="Times New Roman" w:cs="Times New Roman" w:eastAsiaTheme="majorEastAsia"/>
                <w:color w:val="auto"/>
                <w:sz w:val="21"/>
                <w:szCs w:val="21"/>
              </w:rPr>
              <w:t>单位</w:t>
            </w:r>
            <w:r>
              <w:rPr>
                <w:rFonts w:hint="default" w:ascii="Times New Roman" w:hAnsi="Times New Roman" w:cs="Times New Roman" w:eastAsiaTheme="majorEastAsia"/>
                <w:color w:val="auto"/>
                <w:sz w:val="21"/>
                <w:szCs w:val="21"/>
                <w:lang w:eastAsia="zh-CN"/>
              </w:rPr>
              <w:t>（</w:t>
            </w:r>
            <w:r>
              <w:rPr>
                <w:rFonts w:hint="default" w:ascii="Times New Roman" w:hAnsi="Times New Roman" w:cs="Times New Roman" w:eastAsiaTheme="majorEastAsia"/>
                <w:color w:val="auto"/>
                <w:sz w:val="21"/>
                <w:szCs w:val="21"/>
                <w:lang w:val="en-US" w:eastAsia="zh-CN"/>
              </w:rPr>
              <w:t>代建</w:t>
            </w:r>
            <w:r>
              <w:rPr>
                <w:rFonts w:hint="default" w:ascii="Times New Roman" w:hAnsi="Times New Roman" w:cs="Times New Roman" w:eastAsiaTheme="majorEastAsia"/>
                <w:color w:val="auto"/>
                <w:sz w:val="21"/>
                <w:szCs w:val="21"/>
                <w:lang w:eastAsia="zh-CN"/>
              </w:rPr>
              <w:t>）</w:t>
            </w:r>
            <w:r>
              <w:rPr>
                <w:rFonts w:hint="default" w:ascii="Times New Roman" w:hAnsi="Times New Roman" w:cs="Times New Roman" w:eastAsiaTheme="majorEastAsia"/>
                <w:color w:val="auto"/>
                <w:sz w:val="21"/>
                <w:szCs w:val="21"/>
                <w:lang w:val="en-US" w:eastAsia="zh-CN"/>
              </w:rPr>
              <w:t>*</w:t>
            </w:r>
          </w:p>
        </w:tc>
        <w:tc>
          <w:tcPr>
            <w:tcW w:w="3601" w:type="dxa"/>
            <w:vAlign w:val="center"/>
          </w:tcPr>
          <w:p w14:paraId="3C7F331C">
            <w:pPr>
              <w:spacing w:line="320" w:lineRule="exact"/>
              <w:jc w:val="center"/>
              <w:rPr>
                <w:rFonts w:hint="default" w:ascii="Times New Roman" w:hAnsi="Times New Roman" w:cs="Times New Roman" w:eastAsiaTheme="majorEastAsia"/>
                <w:color w:val="auto"/>
                <w:sz w:val="21"/>
                <w:szCs w:val="21"/>
              </w:rPr>
            </w:pPr>
          </w:p>
        </w:tc>
        <w:tc>
          <w:tcPr>
            <w:tcW w:w="1620" w:type="dxa"/>
            <w:vAlign w:val="center"/>
          </w:tcPr>
          <w:p w14:paraId="0329DC41">
            <w:pPr>
              <w:spacing w:line="320" w:lineRule="exact"/>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工程地点</w:t>
            </w:r>
            <w:r>
              <w:rPr>
                <w:rFonts w:hint="default" w:ascii="Times New Roman" w:hAnsi="Times New Roman" w:cs="Times New Roman" w:eastAsiaTheme="majorEastAsia"/>
                <w:color w:val="auto"/>
                <w:sz w:val="21"/>
                <w:szCs w:val="21"/>
                <w:lang w:val="en-US" w:eastAsia="zh-CN"/>
              </w:rPr>
              <w:t>*</w:t>
            </w:r>
          </w:p>
        </w:tc>
        <w:tc>
          <w:tcPr>
            <w:tcW w:w="2550" w:type="dxa"/>
            <w:vAlign w:val="center"/>
          </w:tcPr>
          <w:p w14:paraId="718BE70A">
            <w:pPr>
              <w:spacing w:line="320" w:lineRule="exact"/>
              <w:jc w:val="center"/>
              <w:rPr>
                <w:rFonts w:hint="default" w:ascii="Times New Roman" w:hAnsi="Times New Roman" w:cs="Times New Roman" w:eastAsiaTheme="majorEastAsia"/>
                <w:color w:val="auto"/>
                <w:sz w:val="21"/>
                <w:szCs w:val="21"/>
              </w:rPr>
            </w:pPr>
          </w:p>
        </w:tc>
      </w:tr>
      <w:tr w14:paraId="5D330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962" w:type="dxa"/>
            <w:vAlign w:val="center"/>
          </w:tcPr>
          <w:p w14:paraId="3B17FA22">
            <w:pPr>
              <w:spacing w:line="320" w:lineRule="exact"/>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勘察单位</w:t>
            </w:r>
          </w:p>
        </w:tc>
        <w:tc>
          <w:tcPr>
            <w:tcW w:w="3601" w:type="dxa"/>
            <w:vAlign w:val="center"/>
          </w:tcPr>
          <w:p w14:paraId="6A36B2E1">
            <w:pPr>
              <w:spacing w:line="320" w:lineRule="exact"/>
              <w:jc w:val="center"/>
              <w:rPr>
                <w:rFonts w:hint="default" w:ascii="Times New Roman" w:hAnsi="Times New Roman" w:cs="Times New Roman" w:eastAsiaTheme="majorEastAsia"/>
                <w:color w:val="auto"/>
                <w:sz w:val="21"/>
                <w:szCs w:val="21"/>
              </w:rPr>
            </w:pPr>
          </w:p>
        </w:tc>
        <w:tc>
          <w:tcPr>
            <w:tcW w:w="1620" w:type="dxa"/>
            <w:vAlign w:val="center"/>
          </w:tcPr>
          <w:p w14:paraId="2CF1973C">
            <w:pPr>
              <w:spacing w:line="320" w:lineRule="exact"/>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层</w:t>
            </w:r>
            <w:r>
              <w:rPr>
                <w:rFonts w:hint="default" w:ascii="Times New Roman" w:hAnsi="Times New Roman" w:cs="Times New Roman" w:eastAsiaTheme="majorEastAsia"/>
                <w:color w:val="auto"/>
                <w:sz w:val="21"/>
                <w:szCs w:val="21"/>
                <w:lang w:eastAsia="zh-CN"/>
              </w:rPr>
              <w:t xml:space="preserve">  </w:t>
            </w:r>
            <w:r>
              <w:rPr>
                <w:rFonts w:hint="default" w:ascii="Times New Roman" w:hAnsi="Times New Roman" w:cs="Times New Roman" w:eastAsiaTheme="majorEastAsia"/>
                <w:color w:val="auto"/>
                <w:sz w:val="21"/>
                <w:szCs w:val="21"/>
              </w:rPr>
              <w:t xml:space="preserve"> 数</w:t>
            </w:r>
            <w:r>
              <w:rPr>
                <w:rFonts w:hint="default" w:ascii="Times New Roman" w:hAnsi="Times New Roman" w:cs="Times New Roman" w:eastAsiaTheme="majorEastAsia"/>
                <w:color w:val="auto"/>
                <w:sz w:val="21"/>
                <w:szCs w:val="21"/>
                <w:lang w:val="en-US" w:eastAsia="zh-CN"/>
              </w:rPr>
              <w:t>*</w:t>
            </w:r>
          </w:p>
        </w:tc>
        <w:tc>
          <w:tcPr>
            <w:tcW w:w="2550" w:type="dxa"/>
            <w:vAlign w:val="center"/>
          </w:tcPr>
          <w:p w14:paraId="2A635801">
            <w:pPr>
              <w:spacing w:line="320" w:lineRule="exact"/>
              <w:jc w:val="center"/>
              <w:rPr>
                <w:rFonts w:hint="default" w:ascii="Times New Roman" w:hAnsi="Times New Roman" w:cs="Times New Roman" w:eastAsiaTheme="majorEastAsia"/>
                <w:color w:val="auto"/>
                <w:sz w:val="21"/>
                <w:szCs w:val="21"/>
              </w:rPr>
            </w:pPr>
          </w:p>
        </w:tc>
      </w:tr>
      <w:tr w14:paraId="22D9B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962" w:type="dxa"/>
            <w:vAlign w:val="center"/>
          </w:tcPr>
          <w:p w14:paraId="3481BFE3">
            <w:pPr>
              <w:spacing w:line="320" w:lineRule="exact"/>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设计单位</w:t>
            </w:r>
          </w:p>
        </w:tc>
        <w:tc>
          <w:tcPr>
            <w:tcW w:w="3601" w:type="dxa"/>
            <w:vAlign w:val="center"/>
          </w:tcPr>
          <w:p w14:paraId="49EB9158">
            <w:pPr>
              <w:spacing w:line="320" w:lineRule="exact"/>
              <w:jc w:val="center"/>
              <w:rPr>
                <w:rFonts w:hint="default" w:ascii="Times New Roman" w:hAnsi="Times New Roman" w:cs="Times New Roman" w:eastAsiaTheme="majorEastAsia"/>
                <w:color w:val="auto"/>
                <w:sz w:val="21"/>
                <w:szCs w:val="21"/>
              </w:rPr>
            </w:pPr>
          </w:p>
        </w:tc>
        <w:tc>
          <w:tcPr>
            <w:tcW w:w="1620" w:type="dxa"/>
            <w:vAlign w:val="center"/>
          </w:tcPr>
          <w:p w14:paraId="022C3848">
            <w:pPr>
              <w:spacing w:line="320" w:lineRule="exact"/>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结构形式</w:t>
            </w:r>
            <w:r>
              <w:rPr>
                <w:rFonts w:hint="default" w:ascii="Times New Roman" w:hAnsi="Times New Roman" w:cs="Times New Roman" w:eastAsiaTheme="majorEastAsia"/>
                <w:color w:val="auto"/>
                <w:sz w:val="21"/>
                <w:szCs w:val="21"/>
                <w:lang w:val="en-US" w:eastAsia="zh-CN"/>
              </w:rPr>
              <w:t>*</w:t>
            </w:r>
          </w:p>
        </w:tc>
        <w:tc>
          <w:tcPr>
            <w:tcW w:w="2550" w:type="dxa"/>
            <w:vAlign w:val="center"/>
          </w:tcPr>
          <w:p w14:paraId="4BD08F5E">
            <w:pPr>
              <w:spacing w:line="320" w:lineRule="exact"/>
              <w:jc w:val="center"/>
              <w:rPr>
                <w:rFonts w:hint="default" w:ascii="Times New Roman" w:hAnsi="Times New Roman" w:cs="Times New Roman" w:eastAsiaTheme="majorEastAsia"/>
                <w:color w:val="auto"/>
                <w:sz w:val="21"/>
                <w:szCs w:val="21"/>
              </w:rPr>
            </w:pPr>
          </w:p>
        </w:tc>
      </w:tr>
      <w:tr w14:paraId="2EC18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962" w:type="dxa"/>
            <w:vAlign w:val="center"/>
          </w:tcPr>
          <w:p w14:paraId="17DE7EA7">
            <w:pPr>
              <w:spacing w:line="320" w:lineRule="exact"/>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施工单位</w:t>
            </w:r>
          </w:p>
        </w:tc>
        <w:tc>
          <w:tcPr>
            <w:tcW w:w="3601" w:type="dxa"/>
            <w:vAlign w:val="center"/>
          </w:tcPr>
          <w:p w14:paraId="7FA0BA36">
            <w:pPr>
              <w:spacing w:line="320" w:lineRule="exact"/>
              <w:jc w:val="center"/>
              <w:rPr>
                <w:rFonts w:hint="default" w:ascii="Times New Roman" w:hAnsi="Times New Roman" w:cs="Times New Roman" w:eastAsiaTheme="majorEastAsia"/>
                <w:color w:val="auto"/>
                <w:sz w:val="21"/>
                <w:szCs w:val="21"/>
              </w:rPr>
            </w:pPr>
          </w:p>
        </w:tc>
        <w:tc>
          <w:tcPr>
            <w:tcW w:w="1620" w:type="dxa"/>
            <w:vAlign w:val="center"/>
          </w:tcPr>
          <w:p w14:paraId="3F9C699B">
            <w:pPr>
              <w:spacing w:line="320" w:lineRule="exact"/>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建筑面积</w:t>
            </w:r>
            <w:r>
              <w:rPr>
                <w:rFonts w:hint="default" w:ascii="Times New Roman" w:hAnsi="Times New Roman" w:cs="Times New Roman" w:eastAsiaTheme="majorEastAsia"/>
                <w:color w:val="auto"/>
                <w:sz w:val="21"/>
                <w:szCs w:val="21"/>
                <w:lang w:val="en-US" w:eastAsia="zh-CN"/>
              </w:rPr>
              <w:t>*</w:t>
            </w:r>
          </w:p>
        </w:tc>
        <w:tc>
          <w:tcPr>
            <w:tcW w:w="2550" w:type="dxa"/>
            <w:vAlign w:val="center"/>
          </w:tcPr>
          <w:p w14:paraId="4A9E5C14">
            <w:pPr>
              <w:spacing w:line="320" w:lineRule="exact"/>
              <w:jc w:val="center"/>
              <w:rPr>
                <w:rFonts w:hint="default" w:ascii="Times New Roman" w:hAnsi="Times New Roman" w:cs="Times New Roman" w:eastAsiaTheme="majorEastAsia"/>
                <w:color w:val="auto"/>
                <w:sz w:val="21"/>
                <w:szCs w:val="21"/>
              </w:rPr>
            </w:pPr>
          </w:p>
        </w:tc>
      </w:tr>
      <w:tr w14:paraId="48AFE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962" w:type="dxa"/>
            <w:vAlign w:val="center"/>
          </w:tcPr>
          <w:p w14:paraId="5896090B">
            <w:pPr>
              <w:spacing w:line="320" w:lineRule="exact"/>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监理单位</w:t>
            </w:r>
          </w:p>
        </w:tc>
        <w:tc>
          <w:tcPr>
            <w:tcW w:w="3601" w:type="dxa"/>
            <w:vAlign w:val="center"/>
          </w:tcPr>
          <w:p w14:paraId="63D766D4">
            <w:pPr>
              <w:spacing w:line="320" w:lineRule="exact"/>
              <w:jc w:val="center"/>
              <w:rPr>
                <w:rFonts w:hint="default" w:ascii="Times New Roman" w:hAnsi="Times New Roman" w:cs="Times New Roman" w:eastAsiaTheme="majorEastAsia"/>
                <w:color w:val="auto"/>
                <w:sz w:val="21"/>
                <w:szCs w:val="21"/>
              </w:rPr>
            </w:pPr>
          </w:p>
        </w:tc>
        <w:tc>
          <w:tcPr>
            <w:tcW w:w="1620" w:type="dxa"/>
            <w:vAlign w:val="center"/>
          </w:tcPr>
          <w:p w14:paraId="5E499CB0">
            <w:pPr>
              <w:spacing w:line="320" w:lineRule="exact"/>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建成时间</w:t>
            </w:r>
            <w:r>
              <w:rPr>
                <w:rFonts w:hint="default" w:ascii="Times New Roman" w:hAnsi="Times New Roman" w:cs="Times New Roman" w:eastAsiaTheme="majorEastAsia"/>
                <w:color w:val="auto"/>
                <w:sz w:val="21"/>
                <w:szCs w:val="21"/>
                <w:lang w:val="en-US" w:eastAsia="zh-CN"/>
              </w:rPr>
              <w:t>*</w:t>
            </w:r>
          </w:p>
        </w:tc>
        <w:tc>
          <w:tcPr>
            <w:tcW w:w="2550" w:type="dxa"/>
            <w:vAlign w:val="center"/>
          </w:tcPr>
          <w:p w14:paraId="099B5FEA">
            <w:pPr>
              <w:spacing w:line="320" w:lineRule="exact"/>
              <w:jc w:val="center"/>
              <w:rPr>
                <w:rFonts w:hint="default" w:ascii="Times New Roman" w:hAnsi="Times New Roman" w:cs="Times New Roman" w:eastAsiaTheme="majorEastAsia"/>
                <w:color w:val="auto"/>
                <w:sz w:val="21"/>
                <w:szCs w:val="21"/>
              </w:rPr>
            </w:pPr>
          </w:p>
        </w:tc>
      </w:tr>
      <w:tr w14:paraId="33135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1" w:hRule="atLeast"/>
          <w:jc w:val="center"/>
        </w:trPr>
        <w:tc>
          <w:tcPr>
            <w:tcW w:w="1962" w:type="dxa"/>
            <w:vAlign w:val="center"/>
          </w:tcPr>
          <w:p w14:paraId="33258A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鉴定类别</w:t>
            </w:r>
          </w:p>
        </w:tc>
        <w:tc>
          <w:tcPr>
            <w:tcW w:w="7771" w:type="dxa"/>
            <w:gridSpan w:val="3"/>
            <w:vAlign w:val="center"/>
          </w:tcPr>
          <w:p w14:paraId="3321848E">
            <w:pPr>
              <w:spacing w:line="320" w:lineRule="exact"/>
              <w:rPr>
                <w:rFonts w:hint="default" w:ascii="Times New Roman" w:hAnsi="Times New Roman" w:cs="Times New Roman" w:eastAsiaTheme="majorEastAsia"/>
                <w:color w:val="auto"/>
                <w:sz w:val="21"/>
                <w:szCs w:val="21"/>
                <w:lang w:eastAsia="zh-CN"/>
              </w:rPr>
            </w:pPr>
            <w:r>
              <w:rPr>
                <w:rFonts w:hint="default" w:ascii="Times New Roman" w:hAnsi="Times New Roman" w:cs="Times New Roman" w:eastAsiaTheme="majorEastAsia"/>
                <w:color w:val="auto"/>
                <w:sz w:val="21"/>
                <w:szCs w:val="21"/>
                <w:lang w:eastAsia="zh-CN"/>
              </w:rPr>
              <w:t xml:space="preserve">□安全性鉴定      □使用性鉴定       □可靠性鉴定  </w:t>
            </w:r>
            <w:r>
              <w:rPr>
                <w:rFonts w:hint="default" w:ascii="Times New Roman" w:hAnsi="Times New Roman" w:cs="Times New Roman" w:eastAsiaTheme="majorEastAsia"/>
                <w:color w:val="auto"/>
                <w:sz w:val="21"/>
                <w:szCs w:val="21"/>
                <w:lang w:val="en-US" w:eastAsia="zh-CN"/>
              </w:rPr>
              <w:t xml:space="preserve">   </w:t>
            </w:r>
          </w:p>
          <w:p w14:paraId="4DA56A53">
            <w:pPr>
              <w:spacing w:line="320" w:lineRule="exact"/>
              <w:rPr>
                <w:rFonts w:hint="default" w:ascii="Times New Roman" w:hAnsi="Times New Roman" w:cs="Times New Roman" w:eastAsiaTheme="majorEastAsia"/>
                <w:color w:val="auto"/>
                <w:sz w:val="21"/>
                <w:szCs w:val="21"/>
                <w:lang w:eastAsia="zh-CN"/>
              </w:rPr>
            </w:pPr>
            <w:r>
              <w:rPr>
                <w:rFonts w:hint="default" w:ascii="Times New Roman" w:hAnsi="Times New Roman" w:cs="Times New Roman" w:eastAsiaTheme="majorEastAsia"/>
                <w:color w:val="auto"/>
                <w:sz w:val="21"/>
                <w:szCs w:val="21"/>
                <w:lang w:eastAsia="zh-CN"/>
              </w:rPr>
              <w:t>适修性评估：需要□    不需要□       耐久性评估：需要□   不需要□</w:t>
            </w:r>
          </w:p>
        </w:tc>
      </w:tr>
      <w:tr w14:paraId="5625A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962" w:type="dxa"/>
            <w:vAlign w:val="center"/>
          </w:tcPr>
          <w:p w14:paraId="78362C94">
            <w:pPr>
              <w:spacing w:line="320" w:lineRule="exact"/>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鉴定标准</w:t>
            </w:r>
          </w:p>
        </w:tc>
        <w:tc>
          <w:tcPr>
            <w:tcW w:w="7771" w:type="dxa"/>
            <w:gridSpan w:val="3"/>
            <w:vAlign w:val="center"/>
          </w:tcPr>
          <w:p w14:paraId="5D166B78">
            <w:pPr>
              <w:spacing w:line="320" w:lineRule="exact"/>
              <w:jc w:val="center"/>
              <w:rPr>
                <w:rFonts w:hint="default" w:ascii="Times New Roman" w:hAnsi="Times New Roman" w:cs="Times New Roman" w:eastAsiaTheme="majorEastAsia"/>
                <w:color w:val="auto"/>
                <w:sz w:val="21"/>
                <w:szCs w:val="21"/>
                <w:lang w:eastAsia="zh-CN"/>
              </w:rPr>
            </w:pPr>
          </w:p>
        </w:tc>
      </w:tr>
      <w:tr w14:paraId="1AAE3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962" w:type="dxa"/>
            <w:vAlign w:val="center"/>
          </w:tcPr>
          <w:p w14:paraId="3C49B08D">
            <w:pPr>
              <w:spacing w:line="320" w:lineRule="exact"/>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鉴定范围</w:t>
            </w:r>
          </w:p>
        </w:tc>
        <w:tc>
          <w:tcPr>
            <w:tcW w:w="7771" w:type="dxa"/>
            <w:gridSpan w:val="3"/>
            <w:vAlign w:val="center"/>
          </w:tcPr>
          <w:p w14:paraId="06B80D3A">
            <w:pPr>
              <w:spacing w:line="320" w:lineRule="exact"/>
              <w:rPr>
                <w:rFonts w:hint="default" w:ascii="Times New Roman" w:hAnsi="Times New Roman" w:cs="Times New Roman" w:eastAsiaTheme="majorEastAsia"/>
                <w:color w:val="auto"/>
                <w:sz w:val="21"/>
                <w:szCs w:val="21"/>
                <w:u w:val="single"/>
                <w:lang w:eastAsia="zh-CN"/>
              </w:rPr>
            </w:pPr>
            <w:r>
              <w:rPr>
                <w:rFonts w:hint="default" w:ascii="Times New Roman" w:hAnsi="Times New Roman" w:cs="Times New Roman" w:eastAsiaTheme="majorEastAsia"/>
                <w:color w:val="auto"/>
                <w:sz w:val="21"/>
                <w:szCs w:val="21"/>
                <w:lang w:eastAsia="zh-CN"/>
              </w:rPr>
              <w:t>□整幢鉴定       □局部鉴定：</w:t>
            </w:r>
            <w:r>
              <w:rPr>
                <w:rFonts w:hint="default" w:ascii="Times New Roman" w:hAnsi="Times New Roman" w:cs="Times New Roman" w:eastAsiaTheme="majorEastAsia"/>
                <w:color w:val="auto"/>
                <w:sz w:val="21"/>
                <w:szCs w:val="21"/>
                <w:u w:val="single"/>
                <w:lang w:eastAsia="zh-CN"/>
              </w:rPr>
              <w:t xml:space="preserve">        </w:t>
            </w:r>
          </w:p>
        </w:tc>
      </w:tr>
      <w:tr w14:paraId="196FD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7" w:hRule="atLeast"/>
          <w:jc w:val="center"/>
        </w:trPr>
        <w:tc>
          <w:tcPr>
            <w:tcW w:w="1962" w:type="dxa"/>
            <w:vAlign w:val="center"/>
          </w:tcPr>
          <w:p w14:paraId="7DE4D529">
            <w:pPr>
              <w:spacing w:line="320" w:lineRule="exact"/>
              <w:jc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color w:val="auto"/>
                <w:sz w:val="21"/>
                <w:szCs w:val="21"/>
              </w:rPr>
              <w:t>鉴定原因</w:t>
            </w:r>
            <w:r>
              <w:rPr>
                <w:rFonts w:hint="default" w:ascii="Times New Roman" w:hAnsi="Times New Roman" w:cs="Times New Roman" w:eastAsiaTheme="majorEastAsia"/>
                <w:color w:val="auto"/>
                <w:sz w:val="21"/>
                <w:szCs w:val="21"/>
                <w:lang w:val="en-US" w:eastAsia="zh-CN"/>
              </w:rPr>
              <w:t>/目的</w:t>
            </w:r>
          </w:p>
          <w:p w14:paraId="5FADFB3D">
            <w:pPr>
              <w:spacing w:line="320" w:lineRule="exact"/>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及</w:t>
            </w:r>
            <w:r>
              <w:rPr>
                <w:rFonts w:hint="default" w:ascii="Times New Roman" w:hAnsi="Times New Roman" w:cs="Times New Roman" w:eastAsiaTheme="majorEastAsia"/>
                <w:color w:val="auto"/>
                <w:sz w:val="21"/>
                <w:szCs w:val="21"/>
                <w:lang w:val="en-US" w:eastAsia="zh-CN"/>
              </w:rPr>
              <w:t>现用途*</w:t>
            </w:r>
          </w:p>
        </w:tc>
        <w:tc>
          <w:tcPr>
            <w:tcW w:w="7771" w:type="dxa"/>
            <w:gridSpan w:val="3"/>
            <w:vAlign w:val="center"/>
          </w:tcPr>
          <w:p w14:paraId="5A0E5F68">
            <w:pPr>
              <w:spacing w:line="320" w:lineRule="exact"/>
              <w:jc w:val="center"/>
              <w:rPr>
                <w:rFonts w:hint="default" w:ascii="Times New Roman" w:hAnsi="Times New Roman" w:cs="Times New Roman" w:eastAsiaTheme="majorEastAsia"/>
                <w:color w:val="auto"/>
                <w:sz w:val="21"/>
                <w:szCs w:val="21"/>
              </w:rPr>
            </w:pPr>
          </w:p>
        </w:tc>
      </w:tr>
      <w:tr w14:paraId="6A70B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jc w:val="center"/>
        </w:trPr>
        <w:tc>
          <w:tcPr>
            <w:tcW w:w="1962" w:type="dxa"/>
            <w:vAlign w:val="center"/>
          </w:tcPr>
          <w:p w14:paraId="5279E5E9">
            <w:pPr>
              <w:spacing w:line="320" w:lineRule="exact"/>
              <w:jc w:val="center"/>
              <w:rPr>
                <w:rFonts w:hint="default" w:ascii="Times New Roman" w:hAnsi="Times New Roman" w:cs="Times New Roman" w:eastAsiaTheme="majorEastAsia"/>
                <w:color w:val="auto"/>
                <w:sz w:val="21"/>
                <w:szCs w:val="21"/>
                <w:lang w:eastAsia="zh-CN"/>
              </w:rPr>
            </w:pPr>
            <w:r>
              <w:rPr>
                <w:rFonts w:hint="default" w:ascii="Times New Roman" w:hAnsi="Times New Roman" w:cs="Times New Roman" w:eastAsiaTheme="majorEastAsia"/>
                <w:color w:val="auto"/>
                <w:sz w:val="21"/>
                <w:szCs w:val="21"/>
                <w:lang w:eastAsia="zh-CN"/>
              </w:rPr>
              <w:t>委托方可</w:t>
            </w:r>
          </w:p>
          <w:p w14:paraId="0C1F4E76">
            <w:pPr>
              <w:spacing w:line="320" w:lineRule="exact"/>
              <w:jc w:val="center"/>
              <w:rPr>
                <w:rFonts w:hint="default" w:ascii="Times New Roman" w:hAnsi="Times New Roman" w:cs="Times New Roman" w:eastAsiaTheme="majorEastAsia"/>
                <w:color w:val="auto"/>
                <w:sz w:val="21"/>
                <w:szCs w:val="21"/>
                <w:lang w:eastAsia="zh-CN"/>
              </w:rPr>
            </w:pPr>
            <w:r>
              <w:rPr>
                <w:rFonts w:hint="default" w:ascii="Times New Roman" w:hAnsi="Times New Roman" w:cs="Times New Roman" w:eastAsiaTheme="majorEastAsia"/>
                <w:color w:val="auto"/>
                <w:sz w:val="21"/>
                <w:szCs w:val="21"/>
                <w:lang w:eastAsia="zh-CN"/>
              </w:rPr>
              <w:t>提供资料</w:t>
            </w:r>
            <w:r>
              <w:rPr>
                <w:rFonts w:hint="default" w:ascii="Times New Roman" w:hAnsi="Times New Roman" w:cs="Times New Roman" w:eastAsiaTheme="majorEastAsia"/>
                <w:color w:val="auto"/>
                <w:sz w:val="21"/>
                <w:szCs w:val="21"/>
                <w:lang w:val="en-US" w:eastAsia="zh-CN"/>
              </w:rPr>
              <w:t>*</w:t>
            </w:r>
          </w:p>
        </w:tc>
        <w:tc>
          <w:tcPr>
            <w:tcW w:w="7771" w:type="dxa"/>
            <w:gridSpan w:val="3"/>
            <w:vAlign w:val="center"/>
          </w:tcPr>
          <w:p w14:paraId="0718F5BE">
            <w:pPr>
              <w:spacing w:line="320" w:lineRule="exact"/>
              <w:jc w:val="center"/>
              <w:rPr>
                <w:rFonts w:hint="default" w:ascii="Times New Roman" w:hAnsi="Times New Roman" w:cs="Times New Roman" w:eastAsiaTheme="majorEastAsia"/>
                <w:color w:val="auto"/>
                <w:sz w:val="21"/>
                <w:szCs w:val="21"/>
              </w:rPr>
            </w:pPr>
          </w:p>
        </w:tc>
      </w:tr>
      <w:tr w14:paraId="553CE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3" w:hRule="atLeast"/>
          <w:jc w:val="center"/>
        </w:trPr>
        <w:tc>
          <w:tcPr>
            <w:tcW w:w="1962" w:type="dxa"/>
            <w:vAlign w:val="center"/>
          </w:tcPr>
          <w:p w14:paraId="45763DE8">
            <w:pPr>
              <w:spacing w:line="320" w:lineRule="exact"/>
              <w:jc w:val="center"/>
              <w:rPr>
                <w:rFonts w:hint="default" w:ascii="Times New Roman" w:hAnsi="Times New Roman" w:cs="Times New Roman" w:eastAsiaTheme="majorEastAsia"/>
                <w:color w:val="auto"/>
                <w:sz w:val="21"/>
                <w:szCs w:val="21"/>
                <w:lang w:eastAsia="zh-CN"/>
              </w:rPr>
            </w:pPr>
            <w:r>
              <w:rPr>
                <w:rFonts w:hint="default" w:ascii="Times New Roman" w:hAnsi="Times New Roman" w:cs="Times New Roman" w:eastAsiaTheme="majorEastAsia"/>
                <w:color w:val="auto"/>
                <w:sz w:val="21"/>
                <w:szCs w:val="21"/>
                <w:lang w:eastAsia="zh-CN"/>
              </w:rPr>
              <w:t>双方其他</w:t>
            </w:r>
          </w:p>
          <w:p w14:paraId="52347E1D">
            <w:pPr>
              <w:spacing w:line="320" w:lineRule="exact"/>
              <w:jc w:val="center"/>
              <w:rPr>
                <w:rFonts w:hint="default" w:ascii="Times New Roman" w:hAnsi="Times New Roman" w:cs="Times New Roman" w:eastAsiaTheme="majorEastAsia"/>
                <w:color w:val="auto"/>
                <w:sz w:val="21"/>
                <w:szCs w:val="21"/>
                <w:lang w:eastAsia="zh-CN"/>
              </w:rPr>
            </w:pPr>
            <w:r>
              <w:rPr>
                <w:rFonts w:hint="default" w:ascii="Times New Roman" w:hAnsi="Times New Roman" w:cs="Times New Roman" w:eastAsiaTheme="majorEastAsia"/>
                <w:color w:val="auto"/>
                <w:sz w:val="21"/>
                <w:szCs w:val="21"/>
                <w:lang w:eastAsia="zh-CN"/>
              </w:rPr>
              <w:t>需说明事项</w:t>
            </w:r>
          </w:p>
          <w:p w14:paraId="131F03AE">
            <w:pPr>
              <w:spacing w:line="320" w:lineRule="exact"/>
              <w:jc w:val="center"/>
              <w:rPr>
                <w:rFonts w:hint="default" w:ascii="Times New Roman" w:hAnsi="Times New Roman" w:cs="Times New Roman" w:eastAsiaTheme="majorEastAsia"/>
                <w:color w:val="auto"/>
                <w:sz w:val="21"/>
                <w:szCs w:val="21"/>
                <w:lang w:eastAsia="zh-CN"/>
              </w:rPr>
            </w:pPr>
            <w:r>
              <w:rPr>
                <w:rFonts w:hint="default" w:ascii="Times New Roman" w:hAnsi="Times New Roman" w:cs="Times New Roman" w:eastAsiaTheme="majorEastAsia"/>
                <w:color w:val="auto"/>
                <w:sz w:val="21"/>
                <w:szCs w:val="21"/>
                <w:lang w:eastAsia="zh-CN"/>
              </w:rPr>
              <w:t>（</w:t>
            </w:r>
            <w:r>
              <w:rPr>
                <w:rFonts w:hint="default" w:ascii="Times New Roman" w:hAnsi="Times New Roman" w:cs="Times New Roman" w:eastAsiaTheme="majorEastAsia"/>
                <w:color w:val="auto"/>
                <w:sz w:val="21"/>
                <w:szCs w:val="21"/>
                <w:lang w:val="en-US" w:eastAsia="zh-CN"/>
              </w:rPr>
              <w:t>建筑装修、改造、病害等使用情况、周边场地情况等</w:t>
            </w:r>
            <w:r>
              <w:rPr>
                <w:rFonts w:hint="default" w:ascii="Times New Roman" w:hAnsi="Times New Roman" w:cs="Times New Roman" w:eastAsiaTheme="majorEastAsia"/>
                <w:color w:val="auto"/>
                <w:sz w:val="21"/>
                <w:szCs w:val="21"/>
                <w:lang w:eastAsia="zh-CN"/>
              </w:rPr>
              <w:t>）</w:t>
            </w:r>
          </w:p>
        </w:tc>
        <w:tc>
          <w:tcPr>
            <w:tcW w:w="7771" w:type="dxa"/>
            <w:gridSpan w:val="3"/>
            <w:vAlign w:val="top"/>
          </w:tcPr>
          <w:p w14:paraId="73A5A93B">
            <w:pPr>
              <w:jc w:val="left"/>
              <w:rPr>
                <w:rFonts w:hint="default" w:ascii="Times New Roman" w:hAnsi="Times New Roman" w:cs="Times New Roman" w:eastAsiaTheme="majorEastAsia"/>
                <w:color w:val="auto"/>
                <w:sz w:val="21"/>
                <w:szCs w:val="21"/>
                <w:lang w:eastAsia="zh-CN"/>
              </w:rPr>
            </w:pPr>
            <w:r>
              <w:rPr>
                <w:rFonts w:hint="default" w:ascii="Times New Roman" w:hAnsi="Times New Roman" w:cs="Times New Roman" w:eastAsiaTheme="majorEastAsia"/>
                <w:color w:val="auto"/>
                <w:sz w:val="21"/>
                <w:szCs w:val="21"/>
                <w:lang w:eastAsia="zh-CN"/>
              </w:rPr>
              <w:t>委托方：</w:t>
            </w:r>
          </w:p>
          <w:p w14:paraId="4BC47B0C">
            <w:pPr>
              <w:jc w:val="left"/>
              <w:rPr>
                <w:rFonts w:hint="default" w:ascii="Times New Roman" w:hAnsi="Times New Roman" w:cs="Times New Roman" w:eastAsiaTheme="majorEastAsia"/>
                <w:color w:val="auto"/>
                <w:sz w:val="21"/>
                <w:szCs w:val="21"/>
                <w:lang w:eastAsia="zh-CN"/>
              </w:rPr>
            </w:pPr>
          </w:p>
          <w:p w14:paraId="50D4BB51">
            <w:pPr>
              <w:jc w:val="left"/>
              <w:rPr>
                <w:rFonts w:hint="default" w:ascii="Times New Roman" w:hAnsi="Times New Roman" w:cs="Times New Roman" w:eastAsiaTheme="majorEastAsia"/>
                <w:color w:val="auto"/>
                <w:sz w:val="21"/>
                <w:szCs w:val="21"/>
                <w:lang w:eastAsia="zh-CN"/>
              </w:rPr>
            </w:pPr>
          </w:p>
          <w:p w14:paraId="15E53BFF">
            <w:pPr>
              <w:jc w:val="left"/>
              <w:rPr>
                <w:rFonts w:hint="default" w:ascii="Times New Roman" w:hAnsi="Times New Roman" w:cs="Times New Roman" w:eastAsiaTheme="majorEastAsia"/>
                <w:color w:val="auto"/>
                <w:sz w:val="21"/>
                <w:szCs w:val="21"/>
                <w:lang w:eastAsia="zh-CN"/>
              </w:rPr>
            </w:pPr>
          </w:p>
          <w:p w14:paraId="1CEDDBAB">
            <w:pPr>
              <w:jc w:val="left"/>
              <w:rPr>
                <w:rFonts w:hint="default" w:ascii="Times New Roman" w:hAnsi="Times New Roman" w:cs="Times New Roman" w:eastAsiaTheme="majorEastAsia"/>
                <w:color w:val="auto"/>
                <w:sz w:val="21"/>
                <w:szCs w:val="21"/>
                <w:lang w:eastAsia="zh-CN"/>
              </w:rPr>
            </w:pPr>
            <w:r>
              <w:rPr>
                <w:rFonts w:hint="default" w:ascii="Times New Roman" w:hAnsi="Times New Roman" w:cs="Times New Roman" w:eastAsiaTheme="majorEastAsia"/>
                <w:color w:val="auto"/>
                <w:sz w:val="21"/>
                <w:szCs w:val="21"/>
                <w:lang w:eastAsia="zh-CN"/>
              </w:rPr>
              <w:t>鉴定方(填写)：</w:t>
            </w:r>
          </w:p>
          <w:p w14:paraId="1BBE56F7">
            <w:pPr>
              <w:rPr>
                <w:rFonts w:hint="default" w:ascii="Times New Roman" w:hAnsi="Times New Roman" w:cs="Times New Roman" w:eastAsiaTheme="majorEastAsia"/>
                <w:color w:val="auto"/>
                <w:sz w:val="21"/>
                <w:szCs w:val="21"/>
                <w:lang w:eastAsia="zh-CN"/>
              </w:rPr>
            </w:pPr>
          </w:p>
        </w:tc>
      </w:tr>
      <w:tr w14:paraId="4BA48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962" w:type="dxa"/>
            <w:vAlign w:val="center"/>
          </w:tcPr>
          <w:p w14:paraId="6F10C86B">
            <w:pPr>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约定进场时间</w:t>
            </w:r>
          </w:p>
        </w:tc>
        <w:tc>
          <w:tcPr>
            <w:tcW w:w="3601" w:type="dxa"/>
            <w:vAlign w:val="center"/>
          </w:tcPr>
          <w:p w14:paraId="0B3E911D">
            <w:pPr>
              <w:jc w:val="center"/>
              <w:rPr>
                <w:rFonts w:hint="default" w:ascii="Times New Roman" w:hAnsi="Times New Roman" w:cs="Times New Roman" w:eastAsiaTheme="majorEastAsia"/>
                <w:color w:val="auto"/>
                <w:sz w:val="21"/>
                <w:szCs w:val="21"/>
              </w:rPr>
            </w:pPr>
          </w:p>
        </w:tc>
        <w:tc>
          <w:tcPr>
            <w:tcW w:w="1620" w:type="dxa"/>
            <w:vAlign w:val="center"/>
          </w:tcPr>
          <w:p w14:paraId="1CED9C17">
            <w:pPr>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约定提交报告份数</w:t>
            </w:r>
            <w:r>
              <w:rPr>
                <w:rFonts w:hint="default" w:ascii="Times New Roman" w:hAnsi="Times New Roman" w:cs="Times New Roman" w:eastAsiaTheme="majorEastAsia"/>
                <w:color w:val="auto"/>
                <w:sz w:val="21"/>
                <w:szCs w:val="21"/>
                <w:lang w:val="en-US" w:eastAsia="zh-CN"/>
              </w:rPr>
              <w:t>*</w:t>
            </w:r>
          </w:p>
        </w:tc>
        <w:tc>
          <w:tcPr>
            <w:tcW w:w="2550" w:type="dxa"/>
            <w:vAlign w:val="center"/>
          </w:tcPr>
          <w:p w14:paraId="0F0772DC">
            <w:pPr>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lang w:eastAsia="zh-CN"/>
              </w:rPr>
              <w:t xml:space="preserve">                         </w:t>
            </w:r>
            <w:r>
              <w:rPr>
                <w:rFonts w:hint="default" w:ascii="Times New Roman" w:hAnsi="Times New Roman" w:cs="Times New Roman" w:eastAsiaTheme="majorEastAsia"/>
                <w:color w:val="auto"/>
                <w:sz w:val="21"/>
                <w:szCs w:val="21"/>
              </w:rPr>
              <w:t>份</w:t>
            </w:r>
          </w:p>
        </w:tc>
      </w:tr>
      <w:tr w14:paraId="664F1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1962" w:type="dxa"/>
            <w:vAlign w:val="center"/>
          </w:tcPr>
          <w:p w14:paraId="034FD244">
            <w:pPr>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约定报告</w:t>
            </w:r>
          </w:p>
          <w:p w14:paraId="044359F0">
            <w:pPr>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领取方式</w:t>
            </w:r>
            <w:r>
              <w:rPr>
                <w:rFonts w:hint="default" w:ascii="Times New Roman" w:hAnsi="Times New Roman" w:cs="Times New Roman" w:eastAsiaTheme="majorEastAsia"/>
                <w:color w:val="auto"/>
                <w:sz w:val="21"/>
                <w:szCs w:val="21"/>
                <w:lang w:val="en-US" w:eastAsia="zh-CN"/>
              </w:rPr>
              <w:t>*</w:t>
            </w:r>
          </w:p>
        </w:tc>
        <w:tc>
          <w:tcPr>
            <w:tcW w:w="3601" w:type="dxa"/>
            <w:vAlign w:val="center"/>
          </w:tcPr>
          <w:p w14:paraId="6E4F1FA0">
            <w:pPr>
              <w:jc w:val="center"/>
              <w:rPr>
                <w:rFonts w:hint="default" w:ascii="Times New Roman" w:hAnsi="Times New Roman" w:cs="Times New Roman" w:eastAsiaTheme="majorEastAsia"/>
                <w:color w:val="auto"/>
                <w:sz w:val="21"/>
                <w:szCs w:val="21"/>
                <w:lang w:eastAsia="zh-CN"/>
              </w:rPr>
            </w:pPr>
            <w:r>
              <w:rPr>
                <w:rFonts w:hint="default" w:ascii="Times New Roman" w:hAnsi="Times New Roman" w:cs="Times New Roman" w:eastAsiaTheme="majorEastAsia"/>
                <w:color w:val="auto"/>
                <w:sz w:val="21"/>
                <w:szCs w:val="21"/>
                <w:lang w:eastAsia="zh-CN"/>
              </w:rPr>
              <w:t>自取（  ）邮寄（  ） 送达（  ）</w:t>
            </w:r>
          </w:p>
        </w:tc>
        <w:tc>
          <w:tcPr>
            <w:tcW w:w="1620" w:type="dxa"/>
            <w:vAlign w:val="center"/>
          </w:tcPr>
          <w:p w14:paraId="4231A16C">
            <w:pPr>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约定报告送达时间</w:t>
            </w:r>
          </w:p>
        </w:tc>
        <w:tc>
          <w:tcPr>
            <w:tcW w:w="2550" w:type="dxa"/>
            <w:vAlign w:val="center"/>
          </w:tcPr>
          <w:p w14:paraId="0DC3BF4E">
            <w:pPr>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年   月   日</w:t>
            </w:r>
            <w:r>
              <w:rPr>
                <w:rFonts w:hint="default" w:ascii="Times New Roman" w:hAnsi="Times New Roman" w:cs="Times New Roman" w:eastAsiaTheme="majorEastAsia"/>
                <w:color w:val="auto"/>
                <w:sz w:val="21"/>
                <w:szCs w:val="21"/>
                <w:lang w:eastAsia="zh-CN"/>
              </w:rPr>
              <w:t xml:space="preserve">     时</w:t>
            </w:r>
            <w:r>
              <w:rPr>
                <w:rFonts w:hint="default" w:ascii="Times New Roman" w:hAnsi="Times New Roman" w:cs="Times New Roman" w:eastAsiaTheme="majorEastAsia"/>
                <w:color w:val="auto"/>
                <w:sz w:val="21"/>
                <w:szCs w:val="21"/>
              </w:rPr>
              <w:t>前</w:t>
            </w:r>
          </w:p>
        </w:tc>
      </w:tr>
      <w:tr w14:paraId="05D1D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jc w:val="center"/>
        </w:trPr>
        <w:tc>
          <w:tcPr>
            <w:tcW w:w="1962" w:type="dxa"/>
            <w:vAlign w:val="center"/>
          </w:tcPr>
          <w:p w14:paraId="3C152725">
            <w:pPr>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说</w:t>
            </w:r>
            <w:r>
              <w:rPr>
                <w:rFonts w:hint="default" w:ascii="Times New Roman" w:hAnsi="Times New Roman" w:cs="Times New Roman" w:eastAsiaTheme="majorEastAsia"/>
                <w:color w:val="auto"/>
                <w:sz w:val="21"/>
                <w:szCs w:val="21"/>
                <w:lang w:val="en-US" w:eastAsia="zh-CN"/>
              </w:rPr>
              <w:t xml:space="preserve"> </w:t>
            </w:r>
            <w:r>
              <w:rPr>
                <w:rFonts w:hint="default" w:ascii="Times New Roman" w:hAnsi="Times New Roman" w:cs="Times New Roman" w:eastAsiaTheme="majorEastAsia"/>
                <w:color w:val="auto"/>
                <w:sz w:val="21"/>
                <w:szCs w:val="21"/>
              </w:rPr>
              <w:t>明</w:t>
            </w:r>
          </w:p>
        </w:tc>
        <w:tc>
          <w:tcPr>
            <w:tcW w:w="7771" w:type="dxa"/>
            <w:gridSpan w:val="3"/>
            <w:vAlign w:val="center"/>
          </w:tcPr>
          <w:p w14:paraId="5316F826">
            <w:pPr>
              <w:spacing w:line="320" w:lineRule="exact"/>
              <w:rPr>
                <w:rFonts w:hint="default" w:ascii="Times New Roman" w:hAnsi="Times New Roman" w:cs="Times New Roman" w:eastAsiaTheme="majorEastAsia"/>
                <w:color w:val="auto"/>
                <w:sz w:val="21"/>
                <w:szCs w:val="21"/>
                <w:lang w:eastAsia="zh-CN"/>
              </w:rPr>
            </w:pPr>
            <w:r>
              <w:rPr>
                <w:rFonts w:hint="default" w:ascii="Times New Roman" w:hAnsi="Times New Roman" w:cs="Times New Roman" w:eastAsiaTheme="majorEastAsia"/>
                <w:color w:val="auto"/>
                <w:sz w:val="21"/>
                <w:szCs w:val="21"/>
                <w:lang w:eastAsia="zh-CN"/>
              </w:rPr>
              <w:t>1、以上信息除特别注明外，均应由委托方填写，委托信息应填写完整、准确、有效，涉及专业技术部分的内容，鉴定单位应给予指导；</w:t>
            </w:r>
          </w:p>
          <w:p w14:paraId="0B96D182">
            <w:pPr>
              <w:spacing w:line="320" w:lineRule="exact"/>
              <w:rPr>
                <w:rFonts w:hint="default" w:ascii="Times New Roman" w:hAnsi="Times New Roman" w:cs="Times New Roman" w:eastAsiaTheme="majorEastAsia"/>
                <w:color w:val="auto"/>
                <w:sz w:val="21"/>
                <w:szCs w:val="21"/>
                <w:lang w:eastAsia="zh-CN"/>
              </w:rPr>
            </w:pPr>
            <w:r>
              <w:rPr>
                <w:rFonts w:hint="default" w:ascii="Times New Roman" w:hAnsi="Times New Roman" w:cs="Times New Roman" w:eastAsiaTheme="majorEastAsia"/>
                <w:color w:val="auto"/>
                <w:sz w:val="21"/>
                <w:szCs w:val="21"/>
                <w:lang w:eastAsia="zh-CN"/>
              </w:rPr>
              <w:t>2、共同约定部分双方签字后即为认可。</w:t>
            </w:r>
          </w:p>
        </w:tc>
      </w:tr>
      <w:tr w14:paraId="2E520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3" w:hRule="atLeast"/>
          <w:jc w:val="center"/>
        </w:trPr>
        <w:tc>
          <w:tcPr>
            <w:tcW w:w="5563" w:type="dxa"/>
            <w:gridSpan w:val="2"/>
            <w:vAlign w:val="top"/>
          </w:tcPr>
          <w:p w14:paraId="1A003B22">
            <w:pPr>
              <w:rPr>
                <w:rFonts w:hint="default" w:ascii="Times New Roman" w:hAnsi="Times New Roman" w:cs="Times New Roman" w:eastAsiaTheme="majorEastAsia"/>
                <w:color w:val="auto"/>
                <w:sz w:val="21"/>
                <w:szCs w:val="21"/>
                <w:lang w:eastAsia="zh-CN"/>
              </w:rPr>
            </w:pPr>
          </w:p>
          <w:p w14:paraId="0C2F91DF">
            <w:pPr>
              <w:rPr>
                <w:rFonts w:hint="default" w:ascii="Times New Roman" w:hAnsi="Times New Roman" w:cs="Times New Roman" w:eastAsiaTheme="majorEastAsia"/>
                <w:color w:val="auto"/>
                <w:sz w:val="21"/>
                <w:szCs w:val="21"/>
                <w:lang w:eastAsia="zh-CN"/>
              </w:rPr>
            </w:pPr>
            <w:r>
              <w:rPr>
                <w:rFonts w:hint="default" w:ascii="Times New Roman" w:hAnsi="Times New Roman" w:cs="Times New Roman" w:eastAsiaTheme="majorEastAsia"/>
                <w:color w:val="auto"/>
                <w:sz w:val="21"/>
                <w:szCs w:val="21"/>
                <w:lang w:eastAsia="zh-CN"/>
              </w:rPr>
              <w:t>委托方：                （</w:t>
            </w:r>
            <w:r>
              <w:rPr>
                <w:rFonts w:hint="default" w:ascii="Times New Roman" w:hAnsi="Times New Roman" w:cs="Times New Roman" w:eastAsiaTheme="majorEastAsia"/>
                <w:color w:val="auto"/>
                <w:sz w:val="21"/>
                <w:szCs w:val="21"/>
                <w:lang w:val="en-US" w:eastAsia="zh-CN"/>
              </w:rPr>
              <w:t>签</w:t>
            </w:r>
            <w:r>
              <w:rPr>
                <w:rFonts w:hint="default" w:ascii="Times New Roman" w:hAnsi="Times New Roman" w:cs="Times New Roman" w:eastAsiaTheme="majorEastAsia"/>
                <w:color w:val="auto"/>
                <w:sz w:val="21"/>
                <w:szCs w:val="21"/>
                <w:lang w:eastAsia="zh-CN"/>
              </w:rPr>
              <w:t>章）</w:t>
            </w:r>
          </w:p>
          <w:p w14:paraId="243AF405">
            <w:pPr>
              <w:rPr>
                <w:rFonts w:hint="default" w:ascii="Times New Roman" w:hAnsi="Times New Roman" w:cs="Times New Roman" w:eastAsiaTheme="majorEastAsia"/>
                <w:color w:val="auto"/>
                <w:sz w:val="21"/>
                <w:szCs w:val="21"/>
                <w:lang w:eastAsia="zh-CN"/>
              </w:rPr>
            </w:pPr>
          </w:p>
          <w:p w14:paraId="0E895630">
            <w:pPr>
              <w:rPr>
                <w:rFonts w:hint="default" w:ascii="Times New Roman" w:hAnsi="Times New Roman" w:cs="Times New Roman" w:eastAsiaTheme="majorEastAsia"/>
                <w:color w:val="auto"/>
                <w:sz w:val="21"/>
                <w:szCs w:val="21"/>
                <w:lang w:eastAsia="zh-CN"/>
              </w:rPr>
            </w:pPr>
          </w:p>
          <w:p w14:paraId="0BAA2834">
            <w:pPr>
              <w:rPr>
                <w:rFonts w:hint="default" w:ascii="Times New Roman" w:hAnsi="Times New Roman" w:cs="Times New Roman" w:eastAsiaTheme="majorEastAsia"/>
                <w:color w:val="auto"/>
                <w:sz w:val="21"/>
                <w:szCs w:val="21"/>
                <w:lang w:eastAsia="zh-CN"/>
              </w:rPr>
            </w:pPr>
          </w:p>
          <w:p w14:paraId="3E2DEB18">
            <w:pPr>
              <w:rPr>
                <w:rFonts w:hint="default" w:ascii="Times New Roman" w:hAnsi="Times New Roman" w:cs="Times New Roman" w:eastAsiaTheme="majorEastAsia"/>
                <w:color w:val="auto"/>
                <w:sz w:val="21"/>
                <w:szCs w:val="21"/>
                <w:lang w:eastAsia="zh-CN"/>
              </w:rPr>
            </w:pPr>
          </w:p>
          <w:p w14:paraId="254C2A6F">
            <w:pPr>
              <w:rPr>
                <w:rFonts w:hint="default" w:ascii="Times New Roman" w:hAnsi="Times New Roman" w:cs="Times New Roman" w:eastAsiaTheme="majorEastAsia"/>
                <w:color w:val="auto"/>
                <w:sz w:val="21"/>
                <w:szCs w:val="21"/>
                <w:lang w:eastAsia="zh-CN"/>
              </w:rPr>
            </w:pPr>
            <w:r>
              <w:rPr>
                <w:rFonts w:hint="default" w:ascii="Times New Roman" w:hAnsi="Times New Roman" w:cs="Times New Roman" w:eastAsiaTheme="majorEastAsia"/>
                <w:color w:val="auto"/>
                <w:sz w:val="21"/>
                <w:szCs w:val="21"/>
                <w:lang w:eastAsia="zh-CN"/>
              </w:rPr>
              <w:t xml:space="preserve">联系人：             </w:t>
            </w:r>
            <w:r>
              <w:rPr>
                <w:rFonts w:hint="default" w:ascii="Times New Roman" w:hAnsi="Times New Roman" w:cs="Times New Roman" w:eastAsiaTheme="majorEastAsia"/>
                <w:color w:val="auto"/>
                <w:sz w:val="21"/>
                <w:szCs w:val="21"/>
                <w:lang w:val="en-US" w:eastAsia="zh-CN"/>
              </w:rPr>
              <w:t xml:space="preserve"> </w:t>
            </w:r>
            <w:r>
              <w:rPr>
                <w:rFonts w:hint="default" w:ascii="Times New Roman" w:hAnsi="Times New Roman" w:cs="Times New Roman" w:eastAsiaTheme="majorEastAsia"/>
                <w:color w:val="auto"/>
                <w:sz w:val="21"/>
                <w:szCs w:val="21"/>
                <w:lang w:eastAsia="zh-CN"/>
              </w:rPr>
              <w:t xml:space="preserve">   电话：</w:t>
            </w:r>
          </w:p>
        </w:tc>
        <w:tc>
          <w:tcPr>
            <w:tcW w:w="4170" w:type="dxa"/>
            <w:gridSpan w:val="2"/>
            <w:vAlign w:val="top"/>
          </w:tcPr>
          <w:p w14:paraId="2A9A4754">
            <w:pPr>
              <w:rPr>
                <w:rFonts w:hint="default" w:ascii="Times New Roman" w:hAnsi="Times New Roman" w:cs="Times New Roman" w:eastAsiaTheme="majorEastAsia"/>
                <w:color w:val="auto"/>
                <w:sz w:val="21"/>
                <w:szCs w:val="21"/>
                <w:lang w:eastAsia="zh-CN"/>
              </w:rPr>
            </w:pPr>
          </w:p>
          <w:p w14:paraId="6F5C11DB">
            <w:pPr>
              <w:rPr>
                <w:rFonts w:hint="default" w:ascii="Times New Roman" w:hAnsi="Times New Roman" w:cs="Times New Roman" w:eastAsiaTheme="majorEastAsia"/>
                <w:color w:val="auto"/>
                <w:sz w:val="21"/>
                <w:szCs w:val="21"/>
                <w:lang w:eastAsia="zh-CN"/>
              </w:rPr>
            </w:pPr>
            <w:r>
              <w:rPr>
                <w:rFonts w:hint="default" w:ascii="Times New Roman" w:hAnsi="Times New Roman" w:cs="Times New Roman" w:eastAsiaTheme="majorEastAsia"/>
                <w:color w:val="auto"/>
                <w:sz w:val="21"/>
                <w:szCs w:val="21"/>
                <w:lang w:eastAsia="zh-CN"/>
              </w:rPr>
              <w:t>鉴定单位：</w:t>
            </w:r>
          </w:p>
          <w:p w14:paraId="24C1A44B">
            <w:pPr>
              <w:rPr>
                <w:rFonts w:hint="default" w:ascii="Times New Roman" w:hAnsi="Times New Roman" w:cs="Times New Roman" w:eastAsiaTheme="majorEastAsia"/>
                <w:color w:val="auto"/>
                <w:sz w:val="21"/>
                <w:szCs w:val="21"/>
                <w:lang w:eastAsia="zh-CN"/>
              </w:rPr>
            </w:pPr>
          </w:p>
          <w:p w14:paraId="231BEAEF">
            <w:pPr>
              <w:rPr>
                <w:rFonts w:hint="default" w:ascii="Times New Roman" w:hAnsi="Times New Roman" w:cs="Times New Roman" w:eastAsiaTheme="majorEastAsia"/>
                <w:color w:val="auto"/>
                <w:sz w:val="21"/>
                <w:szCs w:val="21"/>
                <w:lang w:eastAsia="zh-CN"/>
              </w:rPr>
            </w:pPr>
          </w:p>
          <w:p w14:paraId="7BC0A20A">
            <w:pPr>
              <w:rPr>
                <w:rFonts w:hint="default" w:ascii="Times New Roman" w:hAnsi="Times New Roman" w:cs="Times New Roman" w:eastAsiaTheme="majorEastAsia"/>
                <w:color w:val="auto"/>
                <w:sz w:val="21"/>
                <w:szCs w:val="21"/>
                <w:lang w:eastAsia="zh-CN"/>
              </w:rPr>
            </w:pPr>
          </w:p>
          <w:p w14:paraId="79538DA0">
            <w:pPr>
              <w:rPr>
                <w:rFonts w:hint="default" w:ascii="Times New Roman" w:hAnsi="Times New Roman" w:cs="Times New Roman" w:eastAsiaTheme="majorEastAsia"/>
                <w:color w:val="auto"/>
                <w:sz w:val="21"/>
                <w:szCs w:val="21"/>
                <w:lang w:eastAsia="zh-CN"/>
              </w:rPr>
            </w:pPr>
          </w:p>
          <w:p w14:paraId="3A514A8F">
            <w:pPr>
              <w:rPr>
                <w:rFonts w:hint="default" w:ascii="Times New Roman" w:hAnsi="Times New Roman" w:cs="Times New Roman" w:eastAsiaTheme="majorEastAsia"/>
                <w:color w:val="auto"/>
                <w:sz w:val="21"/>
                <w:szCs w:val="21"/>
                <w:lang w:eastAsia="zh-CN"/>
              </w:rPr>
            </w:pPr>
            <w:r>
              <w:rPr>
                <w:rFonts w:hint="default" w:ascii="Times New Roman" w:hAnsi="Times New Roman" w:cs="Times New Roman" w:eastAsiaTheme="majorEastAsia"/>
                <w:color w:val="auto"/>
                <w:sz w:val="21"/>
                <w:szCs w:val="21"/>
                <w:lang w:eastAsia="zh-CN"/>
              </w:rPr>
              <w:t>联系人：　　        电话：</w:t>
            </w:r>
          </w:p>
        </w:tc>
      </w:tr>
    </w:tbl>
    <w:p w14:paraId="18E9117D">
      <w:pPr>
        <w:pStyle w:val="3"/>
        <w:bidi w:val="0"/>
        <w:jc w:val="center"/>
        <w:rPr>
          <w:rFonts w:hint="default" w:ascii="Times New Roman" w:hAnsi="Times New Roman" w:cs="Times New Roman"/>
          <w:color w:val="auto"/>
          <w:lang w:val="en-US" w:eastAsia="zh-CN"/>
        </w:rPr>
      </w:pPr>
      <w:bookmarkStart w:id="71" w:name="_Toc30138"/>
      <w:bookmarkStart w:id="72" w:name="_Toc5205"/>
      <w:bookmarkStart w:id="73" w:name="_Toc14798"/>
      <w:r>
        <w:rPr>
          <w:rFonts w:hint="default" w:ascii="Times New Roman" w:hAnsi="Times New Roman" w:cs="Times New Roman"/>
          <w:color w:val="auto"/>
          <w:lang w:val="en-US" w:eastAsia="zh-CN"/>
        </w:rPr>
        <w:t xml:space="preserve">附录B </w:t>
      </w:r>
      <w:r>
        <w:rPr>
          <w:rFonts w:hint="eastAsia" w:ascii="Times New Roman" w:hAnsi="Times New Roman" w:cs="Times New Roman"/>
          <w:color w:val="auto"/>
          <w:lang w:val="en-US" w:eastAsia="zh-CN"/>
        </w:rPr>
        <w:t xml:space="preserve"> </w:t>
      </w:r>
      <w:r>
        <w:rPr>
          <w:rFonts w:hint="default" w:ascii="Times New Roman" w:hAnsi="Times New Roman" w:cs="Times New Roman"/>
          <w:color w:val="auto"/>
          <w:lang w:val="en-US" w:eastAsia="zh-CN"/>
        </w:rPr>
        <w:t>工业建筑构件排查表</w:t>
      </w:r>
      <w:bookmarkEnd w:id="71"/>
      <w:bookmarkEnd w:id="72"/>
      <w:r>
        <w:rPr>
          <w:rFonts w:hint="eastAsia"/>
          <w:color w:val="auto"/>
          <w:lang w:val="en-US" w:eastAsia="zh-CN"/>
        </w:rPr>
        <w:t>（样板）</w:t>
      </w:r>
      <w:bookmarkEnd w:id="73"/>
    </w:p>
    <w:p w14:paraId="4050997D">
      <w:pPr>
        <w:keepNext w:val="0"/>
        <w:keepLines w:val="0"/>
        <w:pageBreakBefore w:val="0"/>
        <w:widowControl w:val="0"/>
        <w:kinsoku/>
        <w:wordWrap w:val="0"/>
        <w:overflowPunct/>
        <w:topLinePunct w:val="0"/>
        <w:autoSpaceDE/>
        <w:autoSpaceDN/>
        <w:bidi w:val="0"/>
        <w:adjustRightInd/>
        <w:snapToGrid/>
        <w:ind w:firstLine="5880" w:firstLineChars="2800"/>
        <w:jc w:val="both"/>
        <w:textAlignment w:val="auto"/>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年     月     日</w:t>
      </w:r>
    </w:p>
    <w:tbl>
      <w:tblPr>
        <w:tblStyle w:val="22"/>
        <w:tblW w:w="94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549"/>
        <w:gridCol w:w="1282"/>
        <w:gridCol w:w="2761"/>
        <w:gridCol w:w="503"/>
        <w:gridCol w:w="1903"/>
        <w:gridCol w:w="1762"/>
      </w:tblGrid>
      <w:tr w14:paraId="48189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exact"/>
          <w:jc w:val="center"/>
        </w:trPr>
        <w:tc>
          <w:tcPr>
            <w:tcW w:w="2511" w:type="dxa"/>
            <w:gridSpan w:val="3"/>
            <w:shd w:val="clear" w:color="auto" w:fill="auto"/>
            <w:vAlign w:val="center"/>
          </w:tcPr>
          <w:p w14:paraId="6F1D2946">
            <w:pPr>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工程名称</w:t>
            </w:r>
          </w:p>
        </w:tc>
        <w:tc>
          <w:tcPr>
            <w:tcW w:w="6929" w:type="dxa"/>
            <w:gridSpan w:val="4"/>
            <w:shd w:val="clear" w:color="auto" w:fill="auto"/>
          </w:tcPr>
          <w:p w14:paraId="4CC54C9A">
            <w:pPr>
              <w:spacing w:line="360" w:lineRule="auto"/>
              <w:jc w:val="center"/>
              <w:rPr>
                <w:rFonts w:hint="default" w:ascii="Times New Roman" w:hAnsi="Times New Roman" w:eastAsia="宋体" w:cs="Times New Roman"/>
                <w:color w:val="auto"/>
                <w:sz w:val="21"/>
                <w:szCs w:val="21"/>
              </w:rPr>
            </w:pPr>
          </w:p>
        </w:tc>
      </w:tr>
      <w:tr w14:paraId="73FDF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exact"/>
          <w:jc w:val="center"/>
        </w:trPr>
        <w:tc>
          <w:tcPr>
            <w:tcW w:w="2511" w:type="dxa"/>
            <w:gridSpan w:val="3"/>
            <w:vMerge w:val="restart"/>
            <w:shd w:val="clear" w:color="auto" w:fill="auto"/>
            <w:vAlign w:val="center"/>
          </w:tcPr>
          <w:p w14:paraId="72A3DC15">
            <w:pPr>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结构类型</w:t>
            </w:r>
          </w:p>
        </w:tc>
        <w:tc>
          <w:tcPr>
            <w:tcW w:w="6929" w:type="dxa"/>
            <w:gridSpan w:val="4"/>
            <w:shd w:val="clear" w:color="auto" w:fill="auto"/>
            <w:vAlign w:val="bottom"/>
          </w:tcPr>
          <w:p w14:paraId="133F070B">
            <w:pPr>
              <w:pStyle w:val="44"/>
              <w:numPr>
                <w:ilvl w:val="0"/>
                <w:numId w:val="2"/>
              </w:numPr>
              <w:spacing w:line="360" w:lineRule="auto"/>
              <w:ind w:firstLineChars="0"/>
              <w:jc w:val="left"/>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rPr>
              <w:t xml:space="preserve">砌体结构    □钢筋混凝土结构  □ 钢结构  </w:t>
            </w:r>
          </w:p>
        </w:tc>
      </w:tr>
      <w:tr w14:paraId="0C64C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exact"/>
          <w:jc w:val="center"/>
        </w:trPr>
        <w:tc>
          <w:tcPr>
            <w:tcW w:w="2511" w:type="dxa"/>
            <w:gridSpan w:val="3"/>
            <w:vMerge w:val="continue"/>
            <w:shd w:val="clear" w:color="auto" w:fill="auto"/>
            <w:vAlign w:val="center"/>
          </w:tcPr>
          <w:p w14:paraId="4F2FCE5B">
            <w:pPr>
              <w:spacing w:line="360" w:lineRule="auto"/>
              <w:jc w:val="center"/>
              <w:rPr>
                <w:rFonts w:hint="default" w:ascii="Times New Roman" w:hAnsi="Times New Roman" w:eastAsia="宋体" w:cs="Times New Roman"/>
                <w:color w:val="auto"/>
                <w:sz w:val="21"/>
                <w:szCs w:val="21"/>
              </w:rPr>
            </w:pPr>
          </w:p>
        </w:tc>
        <w:tc>
          <w:tcPr>
            <w:tcW w:w="6929" w:type="dxa"/>
            <w:gridSpan w:val="4"/>
            <w:shd w:val="clear" w:color="auto" w:fill="auto"/>
            <w:vAlign w:val="bottom"/>
          </w:tcPr>
          <w:p w14:paraId="780C56A4">
            <w:pPr>
              <w:spacing w:line="360" w:lineRule="auto"/>
              <w:jc w:val="left"/>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 xml:space="preserve"> 砖木结构    □其他</w:t>
            </w:r>
            <w:r>
              <w:rPr>
                <w:rFonts w:hint="default" w:ascii="Times New Roman" w:hAnsi="Times New Roman" w:eastAsia="宋体" w:cs="Times New Roman"/>
                <w:color w:val="auto"/>
                <w:sz w:val="21"/>
                <w:szCs w:val="21"/>
                <w:u w:val="single"/>
              </w:rPr>
              <w:t xml:space="preserve">            </w:t>
            </w:r>
          </w:p>
        </w:tc>
      </w:tr>
      <w:tr w14:paraId="4CBB0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exact"/>
          <w:jc w:val="center"/>
        </w:trPr>
        <w:tc>
          <w:tcPr>
            <w:tcW w:w="2511" w:type="dxa"/>
            <w:gridSpan w:val="3"/>
            <w:shd w:val="clear" w:color="auto" w:fill="auto"/>
            <w:vAlign w:val="center"/>
          </w:tcPr>
          <w:p w14:paraId="71D61DB9">
            <w:pPr>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建筑面积</w:t>
            </w:r>
          </w:p>
        </w:tc>
        <w:tc>
          <w:tcPr>
            <w:tcW w:w="2761" w:type="dxa"/>
            <w:shd w:val="clear" w:color="auto" w:fill="auto"/>
          </w:tcPr>
          <w:p w14:paraId="3E3F499A">
            <w:pPr>
              <w:spacing w:line="360" w:lineRule="auto"/>
              <w:jc w:val="center"/>
              <w:rPr>
                <w:rFonts w:hint="default" w:ascii="Times New Roman" w:hAnsi="Times New Roman" w:eastAsia="宋体" w:cs="Times New Roman"/>
                <w:color w:val="auto"/>
                <w:sz w:val="21"/>
                <w:szCs w:val="21"/>
              </w:rPr>
            </w:pPr>
          </w:p>
        </w:tc>
        <w:tc>
          <w:tcPr>
            <w:tcW w:w="2406" w:type="dxa"/>
            <w:gridSpan w:val="2"/>
            <w:shd w:val="clear" w:color="auto" w:fill="auto"/>
            <w:vAlign w:val="center"/>
          </w:tcPr>
          <w:p w14:paraId="1CF77B7A">
            <w:pPr>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层高</w:t>
            </w:r>
          </w:p>
        </w:tc>
        <w:tc>
          <w:tcPr>
            <w:tcW w:w="1762" w:type="dxa"/>
            <w:shd w:val="clear" w:color="auto" w:fill="auto"/>
          </w:tcPr>
          <w:p w14:paraId="5D48CBB0">
            <w:pPr>
              <w:spacing w:line="360" w:lineRule="auto"/>
              <w:jc w:val="center"/>
              <w:rPr>
                <w:rFonts w:hint="default" w:ascii="Times New Roman" w:hAnsi="Times New Roman" w:eastAsia="宋体" w:cs="Times New Roman"/>
                <w:color w:val="auto"/>
                <w:sz w:val="21"/>
                <w:szCs w:val="21"/>
              </w:rPr>
            </w:pPr>
          </w:p>
        </w:tc>
      </w:tr>
      <w:tr w14:paraId="2F48B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exact"/>
          <w:jc w:val="center"/>
        </w:trPr>
        <w:tc>
          <w:tcPr>
            <w:tcW w:w="2511" w:type="dxa"/>
            <w:gridSpan w:val="3"/>
            <w:shd w:val="clear" w:color="auto" w:fill="auto"/>
            <w:vAlign w:val="center"/>
          </w:tcPr>
          <w:p w14:paraId="3EEED90C">
            <w:pPr>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地上层数</w:t>
            </w:r>
          </w:p>
        </w:tc>
        <w:tc>
          <w:tcPr>
            <w:tcW w:w="2761" w:type="dxa"/>
            <w:shd w:val="clear" w:color="auto" w:fill="auto"/>
          </w:tcPr>
          <w:p w14:paraId="6C097A99">
            <w:pPr>
              <w:spacing w:line="360" w:lineRule="auto"/>
              <w:jc w:val="center"/>
              <w:rPr>
                <w:rFonts w:hint="default" w:ascii="Times New Roman" w:hAnsi="Times New Roman" w:eastAsia="宋体" w:cs="Times New Roman"/>
                <w:color w:val="auto"/>
                <w:sz w:val="21"/>
                <w:szCs w:val="21"/>
              </w:rPr>
            </w:pPr>
          </w:p>
        </w:tc>
        <w:tc>
          <w:tcPr>
            <w:tcW w:w="2406" w:type="dxa"/>
            <w:gridSpan w:val="2"/>
            <w:shd w:val="clear" w:color="auto" w:fill="auto"/>
            <w:vAlign w:val="center"/>
          </w:tcPr>
          <w:p w14:paraId="42B1263C">
            <w:pPr>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地下层数</w:t>
            </w:r>
          </w:p>
        </w:tc>
        <w:tc>
          <w:tcPr>
            <w:tcW w:w="1762" w:type="dxa"/>
            <w:shd w:val="clear" w:color="auto" w:fill="auto"/>
          </w:tcPr>
          <w:p w14:paraId="21149FF2">
            <w:pPr>
              <w:spacing w:line="360" w:lineRule="auto"/>
              <w:jc w:val="center"/>
              <w:rPr>
                <w:rFonts w:hint="default" w:ascii="Times New Roman" w:hAnsi="Times New Roman" w:eastAsia="宋体" w:cs="Times New Roman"/>
                <w:color w:val="auto"/>
                <w:sz w:val="21"/>
                <w:szCs w:val="21"/>
              </w:rPr>
            </w:pPr>
          </w:p>
        </w:tc>
      </w:tr>
      <w:tr w14:paraId="14F19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exact"/>
          <w:jc w:val="center"/>
        </w:trPr>
        <w:tc>
          <w:tcPr>
            <w:tcW w:w="2511" w:type="dxa"/>
            <w:gridSpan w:val="3"/>
            <w:shd w:val="clear" w:color="auto" w:fill="auto"/>
            <w:vAlign w:val="center"/>
          </w:tcPr>
          <w:p w14:paraId="1409812B">
            <w:pPr>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总长×总宽</w:t>
            </w:r>
          </w:p>
        </w:tc>
        <w:tc>
          <w:tcPr>
            <w:tcW w:w="2761" w:type="dxa"/>
            <w:shd w:val="clear" w:color="auto" w:fill="auto"/>
          </w:tcPr>
          <w:p w14:paraId="4BAD0060">
            <w:pPr>
              <w:spacing w:line="360" w:lineRule="auto"/>
              <w:jc w:val="center"/>
              <w:rPr>
                <w:rFonts w:hint="default" w:ascii="Times New Roman" w:hAnsi="Times New Roman" w:eastAsia="宋体" w:cs="Times New Roman"/>
                <w:color w:val="auto"/>
                <w:sz w:val="21"/>
                <w:szCs w:val="21"/>
              </w:rPr>
            </w:pPr>
          </w:p>
        </w:tc>
        <w:tc>
          <w:tcPr>
            <w:tcW w:w="2406" w:type="dxa"/>
            <w:gridSpan w:val="2"/>
            <w:shd w:val="clear" w:color="auto" w:fill="auto"/>
            <w:vAlign w:val="center"/>
          </w:tcPr>
          <w:p w14:paraId="46F42DBA">
            <w:pPr>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基本柱距/开间尺寸</w:t>
            </w:r>
          </w:p>
        </w:tc>
        <w:tc>
          <w:tcPr>
            <w:tcW w:w="1762" w:type="dxa"/>
            <w:shd w:val="clear" w:color="auto" w:fill="auto"/>
          </w:tcPr>
          <w:p w14:paraId="208B2405">
            <w:pPr>
              <w:spacing w:line="360" w:lineRule="auto"/>
              <w:jc w:val="center"/>
              <w:rPr>
                <w:rFonts w:hint="default" w:ascii="Times New Roman" w:hAnsi="Times New Roman" w:eastAsia="宋体" w:cs="Times New Roman"/>
                <w:color w:val="auto"/>
                <w:sz w:val="21"/>
                <w:szCs w:val="21"/>
              </w:rPr>
            </w:pPr>
          </w:p>
        </w:tc>
      </w:tr>
      <w:tr w14:paraId="09FC5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exact"/>
          <w:jc w:val="center"/>
        </w:trPr>
        <w:tc>
          <w:tcPr>
            <w:tcW w:w="680" w:type="dxa"/>
            <w:vMerge w:val="restart"/>
            <w:shd w:val="clear" w:color="auto" w:fill="auto"/>
            <w:vAlign w:val="center"/>
          </w:tcPr>
          <w:p w14:paraId="1397BA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混凝土结构</w:t>
            </w:r>
          </w:p>
        </w:tc>
        <w:tc>
          <w:tcPr>
            <w:tcW w:w="549" w:type="dxa"/>
            <w:vMerge w:val="restart"/>
            <w:shd w:val="clear" w:color="auto" w:fill="auto"/>
            <w:vAlign w:val="center"/>
          </w:tcPr>
          <w:p w14:paraId="562360CE">
            <w:pPr>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设计构</w:t>
            </w:r>
          </w:p>
          <w:p w14:paraId="3EDF3F4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件总数</w:t>
            </w:r>
          </w:p>
        </w:tc>
        <w:tc>
          <w:tcPr>
            <w:tcW w:w="1282" w:type="dxa"/>
            <w:shd w:val="clear" w:color="auto" w:fill="auto"/>
            <w:vAlign w:val="center"/>
          </w:tcPr>
          <w:p w14:paraId="158C4923">
            <w:pPr>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柱</w:t>
            </w:r>
          </w:p>
        </w:tc>
        <w:tc>
          <w:tcPr>
            <w:tcW w:w="2761" w:type="dxa"/>
            <w:shd w:val="clear" w:color="auto" w:fill="auto"/>
            <w:vAlign w:val="center"/>
          </w:tcPr>
          <w:p w14:paraId="41DE873A">
            <w:pPr>
              <w:spacing w:line="360" w:lineRule="auto"/>
              <w:jc w:val="center"/>
              <w:rPr>
                <w:rFonts w:hint="default" w:ascii="Times New Roman" w:hAnsi="Times New Roman" w:eastAsia="宋体" w:cs="Times New Roman"/>
                <w:color w:val="auto"/>
                <w:sz w:val="21"/>
                <w:szCs w:val="21"/>
              </w:rPr>
            </w:pPr>
          </w:p>
        </w:tc>
        <w:tc>
          <w:tcPr>
            <w:tcW w:w="503" w:type="dxa"/>
            <w:vMerge w:val="restart"/>
            <w:shd w:val="clear" w:color="auto" w:fill="auto"/>
            <w:vAlign w:val="center"/>
          </w:tcPr>
          <w:p w14:paraId="10F688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缺失构件数</w:t>
            </w:r>
          </w:p>
        </w:tc>
        <w:tc>
          <w:tcPr>
            <w:tcW w:w="1903" w:type="dxa"/>
            <w:shd w:val="clear" w:color="auto" w:fill="auto"/>
            <w:vAlign w:val="center"/>
          </w:tcPr>
          <w:p w14:paraId="5CEAD3F2">
            <w:pPr>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柱</w:t>
            </w:r>
          </w:p>
        </w:tc>
        <w:tc>
          <w:tcPr>
            <w:tcW w:w="1762" w:type="dxa"/>
            <w:shd w:val="clear" w:color="auto" w:fill="auto"/>
            <w:vAlign w:val="center"/>
          </w:tcPr>
          <w:p w14:paraId="37D1E2F3">
            <w:pPr>
              <w:spacing w:line="360" w:lineRule="auto"/>
              <w:jc w:val="center"/>
              <w:rPr>
                <w:rFonts w:hint="default" w:ascii="Times New Roman" w:hAnsi="Times New Roman" w:eastAsia="宋体" w:cs="Times New Roman"/>
                <w:color w:val="auto"/>
                <w:sz w:val="21"/>
                <w:szCs w:val="21"/>
              </w:rPr>
            </w:pPr>
          </w:p>
        </w:tc>
      </w:tr>
      <w:tr w14:paraId="6D6BE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exact"/>
          <w:jc w:val="center"/>
        </w:trPr>
        <w:tc>
          <w:tcPr>
            <w:tcW w:w="680" w:type="dxa"/>
            <w:vMerge w:val="continue"/>
            <w:shd w:val="clear" w:color="auto" w:fill="auto"/>
            <w:vAlign w:val="center"/>
          </w:tcPr>
          <w:p w14:paraId="31A237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549" w:type="dxa"/>
            <w:vMerge w:val="continue"/>
            <w:shd w:val="clear" w:color="auto" w:fill="auto"/>
            <w:vAlign w:val="center"/>
          </w:tcPr>
          <w:p w14:paraId="37321D16">
            <w:pPr>
              <w:jc w:val="center"/>
              <w:rPr>
                <w:rFonts w:hint="default" w:ascii="Times New Roman" w:hAnsi="Times New Roman" w:eastAsia="宋体" w:cs="Times New Roman"/>
                <w:color w:val="auto"/>
                <w:sz w:val="21"/>
                <w:szCs w:val="21"/>
              </w:rPr>
            </w:pPr>
          </w:p>
        </w:tc>
        <w:tc>
          <w:tcPr>
            <w:tcW w:w="1282" w:type="dxa"/>
            <w:shd w:val="clear" w:color="auto" w:fill="auto"/>
            <w:vAlign w:val="center"/>
          </w:tcPr>
          <w:p w14:paraId="1892A0F9">
            <w:pPr>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梁</w:t>
            </w:r>
          </w:p>
        </w:tc>
        <w:tc>
          <w:tcPr>
            <w:tcW w:w="2761" w:type="dxa"/>
            <w:shd w:val="clear" w:color="auto" w:fill="auto"/>
            <w:vAlign w:val="center"/>
          </w:tcPr>
          <w:p w14:paraId="4C362AFA">
            <w:pPr>
              <w:spacing w:line="360" w:lineRule="auto"/>
              <w:jc w:val="center"/>
              <w:rPr>
                <w:rFonts w:hint="default" w:ascii="Times New Roman" w:hAnsi="Times New Roman" w:eastAsia="宋体" w:cs="Times New Roman"/>
                <w:color w:val="auto"/>
                <w:sz w:val="21"/>
                <w:szCs w:val="21"/>
              </w:rPr>
            </w:pPr>
          </w:p>
        </w:tc>
        <w:tc>
          <w:tcPr>
            <w:tcW w:w="503" w:type="dxa"/>
            <w:vMerge w:val="continue"/>
            <w:shd w:val="clear" w:color="auto" w:fill="auto"/>
            <w:vAlign w:val="center"/>
          </w:tcPr>
          <w:p w14:paraId="551B8D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903" w:type="dxa"/>
            <w:shd w:val="clear" w:color="auto" w:fill="auto"/>
            <w:vAlign w:val="center"/>
          </w:tcPr>
          <w:p w14:paraId="1D0A1840">
            <w:pPr>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梁</w:t>
            </w:r>
          </w:p>
        </w:tc>
        <w:tc>
          <w:tcPr>
            <w:tcW w:w="1762" w:type="dxa"/>
            <w:shd w:val="clear" w:color="auto" w:fill="auto"/>
            <w:vAlign w:val="center"/>
          </w:tcPr>
          <w:p w14:paraId="27511A54">
            <w:pPr>
              <w:spacing w:line="360" w:lineRule="auto"/>
              <w:jc w:val="center"/>
              <w:rPr>
                <w:rFonts w:hint="default" w:ascii="Times New Roman" w:hAnsi="Times New Roman" w:eastAsia="宋体" w:cs="Times New Roman"/>
                <w:color w:val="auto"/>
                <w:sz w:val="21"/>
                <w:szCs w:val="21"/>
              </w:rPr>
            </w:pPr>
          </w:p>
        </w:tc>
      </w:tr>
      <w:tr w14:paraId="170C3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exact"/>
          <w:jc w:val="center"/>
        </w:trPr>
        <w:tc>
          <w:tcPr>
            <w:tcW w:w="680" w:type="dxa"/>
            <w:vMerge w:val="continue"/>
            <w:shd w:val="clear" w:color="auto" w:fill="auto"/>
            <w:vAlign w:val="center"/>
          </w:tcPr>
          <w:p w14:paraId="5EDD4E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549" w:type="dxa"/>
            <w:vMerge w:val="continue"/>
            <w:shd w:val="clear" w:color="auto" w:fill="auto"/>
            <w:vAlign w:val="center"/>
          </w:tcPr>
          <w:p w14:paraId="6B18491A">
            <w:pPr>
              <w:jc w:val="center"/>
              <w:rPr>
                <w:rFonts w:hint="default" w:ascii="Times New Roman" w:hAnsi="Times New Roman" w:eastAsia="宋体" w:cs="Times New Roman"/>
                <w:color w:val="auto"/>
                <w:sz w:val="21"/>
                <w:szCs w:val="21"/>
              </w:rPr>
            </w:pPr>
          </w:p>
        </w:tc>
        <w:tc>
          <w:tcPr>
            <w:tcW w:w="1282" w:type="dxa"/>
            <w:shd w:val="clear" w:color="auto" w:fill="auto"/>
            <w:vAlign w:val="center"/>
          </w:tcPr>
          <w:p w14:paraId="1DB95FC9">
            <w:pPr>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板</w:t>
            </w:r>
          </w:p>
        </w:tc>
        <w:tc>
          <w:tcPr>
            <w:tcW w:w="2761" w:type="dxa"/>
            <w:shd w:val="clear" w:color="auto" w:fill="auto"/>
            <w:vAlign w:val="center"/>
          </w:tcPr>
          <w:p w14:paraId="6B9C66E0">
            <w:pPr>
              <w:spacing w:line="360" w:lineRule="auto"/>
              <w:jc w:val="center"/>
              <w:rPr>
                <w:rFonts w:hint="default" w:ascii="Times New Roman" w:hAnsi="Times New Roman" w:eastAsia="宋体" w:cs="Times New Roman"/>
                <w:color w:val="auto"/>
                <w:sz w:val="21"/>
                <w:szCs w:val="21"/>
              </w:rPr>
            </w:pPr>
          </w:p>
        </w:tc>
        <w:tc>
          <w:tcPr>
            <w:tcW w:w="503" w:type="dxa"/>
            <w:vMerge w:val="continue"/>
            <w:shd w:val="clear" w:color="auto" w:fill="auto"/>
            <w:vAlign w:val="center"/>
          </w:tcPr>
          <w:p w14:paraId="6A239C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903" w:type="dxa"/>
            <w:shd w:val="clear" w:color="auto" w:fill="auto"/>
            <w:vAlign w:val="center"/>
          </w:tcPr>
          <w:p w14:paraId="7343675F">
            <w:pPr>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板</w:t>
            </w:r>
          </w:p>
        </w:tc>
        <w:tc>
          <w:tcPr>
            <w:tcW w:w="1762" w:type="dxa"/>
            <w:shd w:val="clear" w:color="auto" w:fill="auto"/>
            <w:vAlign w:val="center"/>
          </w:tcPr>
          <w:p w14:paraId="7BE18DDC">
            <w:pPr>
              <w:spacing w:line="360" w:lineRule="auto"/>
              <w:jc w:val="center"/>
              <w:rPr>
                <w:rFonts w:hint="default" w:ascii="Times New Roman" w:hAnsi="Times New Roman" w:eastAsia="宋体" w:cs="Times New Roman"/>
                <w:color w:val="auto"/>
                <w:sz w:val="21"/>
                <w:szCs w:val="21"/>
              </w:rPr>
            </w:pPr>
          </w:p>
        </w:tc>
      </w:tr>
      <w:tr w14:paraId="0C91C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exact"/>
          <w:jc w:val="center"/>
        </w:trPr>
        <w:tc>
          <w:tcPr>
            <w:tcW w:w="680" w:type="dxa"/>
            <w:vMerge w:val="continue"/>
            <w:shd w:val="clear" w:color="auto" w:fill="auto"/>
            <w:vAlign w:val="center"/>
          </w:tcPr>
          <w:p w14:paraId="4A7D62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549" w:type="dxa"/>
            <w:vMerge w:val="continue"/>
            <w:shd w:val="clear" w:color="auto" w:fill="auto"/>
            <w:vAlign w:val="center"/>
          </w:tcPr>
          <w:p w14:paraId="472917DF">
            <w:pPr>
              <w:jc w:val="center"/>
              <w:rPr>
                <w:rFonts w:hint="default" w:ascii="Times New Roman" w:hAnsi="Times New Roman" w:eastAsia="宋体" w:cs="Times New Roman"/>
                <w:color w:val="auto"/>
                <w:sz w:val="21"/>
                <w:szCs w:val="21"/>
              </w:rPr>
            </w:pPr>
          </w:p>
        </w:tc>
        <w:tc>
          <w:tcPr>
            <w:tcW w:w="1282" w:type="dxa"/>
            <w:shd w:val="clear" w:color="auto" w:fill="auto"/>
            <w:vAlign w:val="center"/>
          </w:tcPr>
          <w:p w14:paraId="0E85A819">
            <w:pPr>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墙</w:t>
            </w:r>
          </w:p>
        </w:tc>
        <w:tc>
          <w:tcPr>
            <w:tcW w:w="2761" w:type="dxa"/>
            <w:shd w:val="clear" w:color="auto" w:fill="auto"/>
          </w:tcPr>
          <w:p w14:paraId="388E71A4">
            <w:pPr>
              <w:spacing w:line="360" w:lineRule="auto"/>
              <w:jc w:val="center"/>
              <w:rPr>
                <w:rFonts w:hint="default" w:ascii="Times New Roman" w:hAnsi="Times New Roman" w:eastAsia="宋体" w:cs="Times New Roman"/>
                <w:color w:val="auto"/>
                <w:sz w:val="21"/>
                <w:szCs w:val="21"/>
              </w:rPr>
            </w:pPr>
          </w:p>
        </w:tc>
        <w:tc>
          <w:tcPr>
            <w:tcW w:w="503" w:type="dxa"/>
            <w:vMerge w:val="continue"/>
            <w:shd w:val="clear" w:color="auto" w:fill="auto"/>
            <w:vAlign w:val="center"/>
          </w:tcPr>
          <w:p w14:paraId="4BAA81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903" w:type="dxa"/>
            <w:shd w:val="clear" w:color="auto" w:fill="auto"/>
            <w:vAlign w:val="center"/>
          </w:tcPr>
          <w:p w14:paraId="67242129">
            <w:pPr>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墙</w:t>
            </w:r>
          </w:p>
        </w:tc>
        <w:tc>
          <w:tcPr>
            <w:tcW w:w="1762" w:type="dxa"/>
            <w:shd w:val="clear" w:color="auto" w:fill="auto"/>
            <w:vAlign w:val="center"/>
          </w:tcPr>
          <w:p w14:paraId="70191043">
            <w:pPr>
              <w:spacing w:line="360" w:lineRule="auto"/>
              <w:jc w:val="center"/>
              <w:rPr>
                <w:rFonts w:hint="default" w:ascii="Times New Roman" w:hAnsi="Times New Roman" w:eastAsia="宋体" w:cs="Times New Roman"/>
                <w:color w:val="auto"/>
                <w:sz w:val="21"/>
                <w:szCs w:val="21"/>
              </w:rPr>
            </w:pPr>
          </w:p>
        </w:tc>
      </w:tr>
      <w:tr w14:paraId="1B1DB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exact"/>
          <w:jc w:val="center"/>
        </w:trPr>
        <w:tc>
          <w:tcPr>
            <w:tcW w:w="680" w:type="dxa"/>
            <w:vMerge w:val="continue"/>
            <w:shd w:val="clear" w:color="auto" w:fill="auto"/>
            <w:vAlign w:val="center"/>
          </w:tcPr>
          <w:p w14:paraId="4FED55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549" w:type="dxa"/>
            <w:vMerge w:val="continue"/>
            <w:shd w:val="clear" w:color="auto" w:fill="auto"/>
            <w:vAlign w:val="center"/>
          </w:tcPr>
          <w:p w14:paraId="5EF6DDD4">
            <w:pPr>
              <w:jc w:val="center"/>
              <w:rPr>
                <w:rFonts w:hint="default" w:ascii="Times New Roman" w:hAnsi="Times New Roman" w:eastAsia="宋体" w:cs="Times New Roman"/>
                <w:color w:val="auto"/>
                <w:sz w:val="21"/>
                <w:szCs w:val="21"/>
              </w:rPr>
            </w:pPr>
          </w:p>
        </w:tc>
        <w:tc>
          <w:tcPr>
            <w:tcW w:w="1282" w:type="dxa"/>
            <w:shd w:val="clear" w:color="auto" w:fill="auto"/>
            <w:vAlign w:val="center"/>
          </w:tcPr>
          <w:p w14:paraId="3FA8FA4A">
            <w:pPr>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桁架</w:t>
            </w:r>
          </w:p>
        </w:tc>
        <w:tc>
          <w:tcPr>
            <w:tcW w:w="2761" w:type="dxa"/>
            <w:shd w:val="clear" w:color="auto" w:fill="auto"/>
          </w:tcPr>
          <w:p w14:paraId="5096AE6A">
            <w:pPr>
              <w:spacing w:line="360" w:lineRule="auto"/>
              <w:jc w:val="center"/>
              <w:rPr>
                <w:rFonts w:hint="default" w:ascii="Times New Roman" w:hAnsi="Times New Roman" w:eastAsia="宋体" w:cs="Times New Roman"/>
                <w:color w:val="auto"/>
                <w:sz w:val="21"/>
                <w:szCs w:val="21"/>
              </w:rPr>
            </w:pPr>
          </w:p>
        </w:tc>
        <w:tc>
          <w:tcPr>
            <w:tcW w:w="503" w:type="dxa"/>
            <w:vMerge w:val="continue"/>
            <w:shd w:val="clear" w:color="auto" w:fill="auto"/>
            <w:vAlign w:val="center"/>
          </w:tcPr>
          <w:p w14:paraId="3FAE07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903" w:type="dxa"/>
            <w:shd w:val="clear" w:color="auto" w:fill="auto"/>
            <w:vAlign w:val="center"/>
          </w:tcPr>
          <w:p w14:paraId="1272ECC3">
            <w:pPr>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桁架</w:t>
            </w:r>
          </w:p>
        </w:tc>
        <w:tc>
          <w:tcPr>
            <w:tcW w:w="1762" w:type="dxa"/>
            <w:shd w:val="clear" w:color="auto" w:fill="auto"/>
            <w:vAlign w:val="center"/>
          </w:tcPr>
          <w:p w14:paraId="5DF1AA43">
            <w:pPr>
              <w:spacing w:line="360" w:lineRule="auto"/>
              <w:jc w:val="center"/>
              <w:rPr>
                <w:rFonts w:hint="default" w:ascii="Times New Roman" w:hAnsi="Times New Roman" w:eastAsia="宋体" w:cs="Times New Roman"/>
                <w:color w:val="auto"/>
                <w:sz w:val="21"/>
                <w:szCs w:val="21"/>
              </w:rPr>
            </w:pPr>
          </w:p>
        </w:tc>
      </w:tr>
      <w:tr w14:paraId="2E9B6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exact"/>
          <w:jc w:val="center"/>
        </w:trPr>
        <w:tc>
          <w:tcPr>
            <w:tcW w:w="680" w:type="dxa"/>
            <w:vMerge w:val="continue"/>
            <w:shd w:val="clear" w:color="auto" w:fill="auto"/>
            <w:vAlign w:val="center"/>
          </w:tcPr>
          <w:p w14:paraId="5E6B42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549" w:type="dxa"/>
            <w:vMerge w:val="restart"/>
            <w:shd w:val="clear" w:color="auto" w:fill="auto"/>
            <w:vAlign w:val="center"/>
          </w:tcPr>
          <w:p w14:paraId="53E7F27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设计连接数量</w:t>
            </w:r>
          </w:p>
        </w:tc>
        <w:tc>
          <w:tcPr>
            <w:tcW w:w="1282" w:type="dxa"/>
            <w:shd w:val="clear" w:color="auto" w:fill="auto"/>
            <w:vAlign w:val="center"/>
          </w:tcPr>
          <w:p w14:paraId="044D2F6D">
            <w:pPr>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梁－柱</w:t>
            </w:r>
          </w:p>
        </w:tc>
        <w:tc>
          <w:tcPr>
            <w:tcW w:w="2761" w:type="dxa"/>
            <w:shd w:val="clear" w:color="auto" w:fill="auto"/>
          </w:tcPr>
          <w:p w14:paraId="20210F90">
            <w:pPr>
              <w:spacing w:line="360" w:lineRule="auto"/>
              <w:jc w:val="center"/>
              <w:rPr>
                <w:rFonts w:hint="default" w:ascii="Times New Roman" w:hAnsi="Times New Roman" w:eastAsia="宋体" w:cs="Times New Roman"/>
                <w:color w:val="auto"/>
                <w:sz w:val="21"/>
                <w:szCs w:val="21"/>
              </w:rPr>
            </w:pPr>
          </w:p>
        </w:tc>
        <w:tc>
          <w:tcPr>
            <w:tcW w:w="503" w:type="dxa"/>
            <w:vMerge w:val="restart"/>
            <w:shd w:val="clear" w:color="auto" w:fill="auto"/>
            <w:vAlign w:val="center"/>
          </w:tcPr>
          <w:p w14:paraId="2F5ECC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缺失连接数量</w:t>
            </w:r>
          </w:p>
        </w:tc>
        <w:tc>
          <w:tcPr>
            <w:tcW w:w="1903" w:type="dxa"/>
            <w:shd w:val="clear" w:color="auto" w:fill="auto"/>
            <w:vAlign w:val="center"/>
          </w:tcPr>
          <w:p w14:paraId="62CB8B0D">
            <w:pPr>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梁－柱</w:t>
            </w:r>
          </w:p>
        </w:tc>
        <w:tc>
          <w:tcPr>
            <w:tcW w:w="1762" w:type="dxa"/>
            <w:shd w:val="clear" w:color="auto" w:fill="auto"/>
            <w:vAlign w:val="center"/>
          </w:tcPr>
          <w:p w14:paraId="35A24E1C">
            <w:pPr>
              <w:spacing w:line="360" w:lineRule="auto"/>
              <w:jc w:val="center"/>
              <w:rPr>
                <w:rFonts w:hint="default" w:ascii="Times New Roman" w:hAnsi="Times New Roman" w:eastAsia="宋体" w:cs="Times New Roman"/>
                <w:color w:val="auto"/>
                <w:sz w:val="21"/>
                <w:szCs w:val="21"/>
              </w:rPr>
            </w:pPr>
          </w:p>
        </w:tc>
      </w:tr>
      <w:tr w14:paraId="799BE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exact"/>
          <w:jc w:val="center"/>
        </w:trPr>
        <w:tc>
          <w:tcPr>
            <w:tcW w:w="680" w:type="dxa"/>
            <w:vMerge w:val="continue"/>
            <w:shd w:val="clear" w:color="auto" w:fill="auto"/>
            <w:vAlign w:val="center"/>
          </w:tcPr>
          <w:p w14:paraId="19D541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549" w:type="dxa"/>
            <w:vMerge w:val="continue"/>
            <w:shd w:val="clear" w:color="auto" w:fill="auto"/>
            <w:vAlign w:val="center"/>
          </w:tcPr>
          <w:p w14:paraId="2533DC4F">
            <w:pPr>
              <w:spacing w:line="360" w:lineRule="auto"/>
              <w:jc w:val="center"/>
              <w:rPr>
                <w:rFonts w:hint="default" w:ascii="Times New Roman" w:hAnsi="Times New Roman" w:eastAsia="宋体" w:cs="Times New Roman"/>
                <w:color w:val="auto"/>
                <w:sz w:val="21"/>
                <w:szCs w:val="21"/>
              </w:rPr>
            </w:pPr>
          </w:p>
        </w:tc>
        <w:tc>
          <w:tcPr>
            <w:tcW w:w="1282" w:type="dxa"/>
            <w:shd w:val="clear" w:color="auto" w:fill="auto"/>
            <w:vAlign w:val="center"/>
          </w:tcPr>
          <w:p w14:paraId="519789CE">
            <w:pPr>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屋架－柱</w:t>
            </w:r>
          </w:p>
        </w:tc>
        <w:tc>
          <w:tcPr>
            <w:tcW w:w="2761" w:type="dxa"/>
            <w:shd w:val="clear" w:color="auto" w:fill="auto"/>
          </w:tcPr>
          <w:p w14:paraId="3D8E8C23">
            <w:pPr>
              <w:spacing w:line="360" w:lineRule="auto"/>
              <w:jc w:val="center"/>
              <w:rPr>
                <w:rFonts w:hint="default" w:ascii="Times New Roman" w:hAnsi="Times New Roman" w:eastAsia="宋体" w:cs="Times New Roman"/>
                <w:color w:val="auto"/>
                <w:sz w:val="21"/>
                <w:szCs w:val="21"/>
              </w:rPr>
            </w:pPr>
          </w:p>
        </w:tc>
        <w:tc>
          <w:tcPr>
            <w:tcW w:w="503" w:type="dxa"/>
            <w:vMerge w:val="continue"/>
            <w:shd w:val="clear" w:color="auto" w:fill="auto"/>
            <w:vAlign w:val="center"/>
          </w:tcPr>
          <w:p w14:paraId="20A2EE90">
            <w:pPr>
              <w:spacing w:line="360" w:lineRule="auto"/>
              <w:jc w:val="center"/>
              <w:rPr>
                <w:rFonts w:hint="default" w:ascii="Times New Roman" w:hAnsi="Times New Roman" w:eastAsia="宋体" w:cs="Times New Roman"/>
                <w:color w:val="auto"/>
                <w:sz w:val="21"/>
                <w:szCs w:val="21"/>
              </w:rPr>
            </w:pPr>
          </w:p>
        </w:tc>
        <w:tc>
          <w:tcPr>
            <w:tcW w:w="1903" w:type="dxa"/>
            <w:shd w:val="clear" w:color="auto" w:fill="auto"/>
            <w:vAlign w:val="center"/>
          </w:tcPr>
          <w:p w14:paraId="25A6C79B">
            <w:pPr>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屋架－柱</w:t>
            </w:r>
          </w:p>
        </w:tc>
        <w:tc>
          <w:tcPr>
            <w:tcW w:w="1762" w:type="dxa"/>
            <w:shd w:val="clear" w:color="auto" w:fill="auto"/>
            <w:vAlign w:val="center"/>
          </w:tcPr>
          <w:p w14:paraId="0A444F1E">
            <w:pPr>
              <w:spacing w:line="360" w:lineRule="auto"/>
              <w:jc w:val="center"/>
              <w:rPr>
                <w:rFonts w:hint="default" w:ascii="Times New Roman" w:hAnsi="Times New Roman" w:eastAsia="宋体" w:cs="Times New Roman"/>
                <w:color w:val="auto"/>
                <w:sz w:val="21"/>
                <w:szCs w:val="21"/>
              </w:rPr>
            </w:pPr>
          </w:p>
        </w:tc>
      </w:tr>
      <w:tr w14:paraId="3B534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exact"/>
          <w:jc w:val="center"/>
        </w:trPr>
        <w:tc>
          <w:tcPr>
            <w:tcW w:w="680" w:type="dxa"/>
            <w:vMerge w:val="continue"/>
            <w:shd w:val="clear" w:color="auto" w:fill="auto"/>
            <w:vAlign w:val="center"/>
          </w:tcPr>
          <w:p w14:paraId="6C3FCB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549" w:type="dxa"/>
            <w:vMerge w:val="continue"/>
            <w:shd w:val="clear" w:color="auto" w:fill="auto"/>
            <w:vAlign w:val="center"/>
          </w:tcPr>
          <w:p w14:paraId="665FBC06">
            <w:pPr>
              <w:spacing w:line="360" w:lineRule="auto"/>
              <w:jc w:val="center"/>
              <w:rPr>
                <w:rFonts w:hint="default" w:ascii="Times New Roman" w:hAnsi="Times New Roman" w:eastAsia="宋体" w:cs="Times New Roman"/>
                <w:color w:val="auto"/>
                <w:sz w:val="21"/>
                <w:szCs w:val="21"/>
              </w:rPr>
            </w:pPr>
          </w:p>
        </w:tc>
        <w:tc>
          <w:tcPr>
            <w:tcW w:w="1282" w:type="dxa"/>
            <w:shd w:val="clear" w:color="auto" w:fill="auto"/>
            <w:vAlign w:val="center"/>
          </w:tcPr>
          <w:p w14:paraId="01BD1DB5">
            <w:pPr>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梁－墙</w:t>
            </w:r>
          </w:p>
        </w:tc>
        <w:tc>
          <w:tcPr>
            <w:tcW w:w="2761" w:type="dxa"/>
            <w:shd w:val="clear" w:color="auto" w:fill="auto"/>
          </w:tcPr>
          <w:p w14:paraId="4F294EF7">
            <w:pPr>
              <w:spacing w:line="360" w:lineRule="auto"/>
              <w:jc w:val="center"/>
              <w:rPr>
                <w:rFonts w:hint="default" w:ascii="Times New Roman" w:hAnsi="Times New Roman" w:eastAsia="宋体" w:cs="Times New Roman"/>
                <w:color w:val="auto"/>
                <w:sz w:val="21"/>
                <w:szCs w:val="21"/>
              </w:rPr>
            </w:pPr>
          </w:p>
        </w:tc>
        <w:tc>
          <w:tcPr>
            <w:tcW w:w="503" w:type="dxa"/>
            <w:vMerge w:val="continue"/>
            <w:shd w:val="clear" w:color="auto" w:fill="auto"/>
            <w:vAlign w:val="center"/>
          </w:tcPr>
          <w:p w14:paraId="7EC74BFF">
            <w:pPr>
              <w:spacing w:line="360" w:lineRule="auto"/>
              <w:jc w:val="center"/>
              <w:rPr>
                <w:rFonts w:hint="default" w:ascii="Times New Roman" w:hAnsi="Times New Roman" w:eastAsia="宋体" w:cs="Times New Roman"/>
                <w:color w:val="auto"/>
                <w:sz w:val="21"/>
                <w:szCs w:val="21"/>
              </w:rPr>
            </w:pPr>
          </w:p>
        </w:tc>
        <w:tc>
          <w:tcPr>
            <w:tcW w:w="1903" w:type="dxa"/>
            <w:shd w:val="clear" w:color="auto" w:fill="auto"/>
            <w:vAlign w:val="center"/>
          </w:tcPr>
          <w:p w14:paraId="3EBB668E">
            <w:pPr>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梁－墙</w:t>
            </w:r>
          </w:p>
        </w:tc>
        <w:tc>
          <w:tcPr>
            <w:tcW w:w="1762" w:type="dxa"/>
            <w:shd w:val="clear" w:color="auto" w:fill="auto"/>
            <w:vAlign w:val="center"/>
          </w:tcPr>
          <w:p w14:paraId="365A253C">
            <w:pPr>
              <w:spacing w:line="360" w:lineRule="auto"/>
              <w:jc w:val="center"/>
              <w:rPr>
                <w:rFonts w:hint="default" w:ascii="Times New Roman" w:hAnsi="Times New Roman" w:eastAsia="宋体" w:cs="Times New Roman"/>
                <w:color w:val="auto"/>
                <w:sz w:val="21"/>
                <w:szCs w:val="21"/>
              </w:rPr>
            </w:pPr>
          </w:p>
        </w:tc>
      </w:tr>
      <w:tr w14:paraId="17FA9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exact"/>
          <w:jc w:val="center"/>
        </w:trPr>
        <w:tc>
          <w:tcPr>
            <w:tcW w:w="680" w:type="dxa"/>
            <w:vMerge w:val="continue"/>
            <w:shd w:val="clear" w:color="auto" w:fill="auto"/>
            <w:vAlign w:val="center"/>
          </w:tcPr>
          <w:p w14:paraId="059201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549" w:type="dxa"/>
            <w:vMerge w:val="continue"/>
            <w:shd w:val="clear" w:color="auto" w:fill="auto"/>
            <w:vAlign w:val="center"/>
          </w:tcPr>
          <w:p w14:paraId="4D49B527">
            <w:pPr>
              <w:spacing w:line="360" w:lineRule="auto"/>
              <w:jc w:val="center"/>
              <w:rPr>
                <w:rFonts w:hint="default" w:ascii="Times New Roman" w:hAnsi="Times New Roman" w:eastAsia="宋体" w:cs="Times New Roman"/>
                <w:color w:val="auto"/>
                <w:sz w:val="21"/>
                <w:szCs w:val="21"/>
              </w:rPr>
            </w:pPr>
          </w:p>
        </w:tc>
        <w:tc>
          <w:tcPr>
            <w:tcW w:w="1282" w:type="dxa"/>
            <w:shd w:val="clear" w:color="auto" w:fill="auto"/>
            <w:vAlign w:val="center"/>
          </w:tcPr>
          <w:p w14:paraId="1FB77781">
            <w:pPr>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屋架－墙</w:t>
            </w:r>
          </w:p>
        </w:tc>
        <w:tc>
          <w:tcPr>
            <w:tcW w:w="2761" w:type="dxa"/>
            <w:shd w:val="clear" w:color="auto" w:fill="auto"/>
          </w:tcPr>
          <w:p w14:paraId="5C705DA3">
            <w:pPr>
              <w:spacing w:line="360" w:lineRule="auto"/>
              <w:jc w:val="center"/>
              <w:rPr>
                <w:rFonts w:hint="default" w:ascii="Times New Roman" w:hAnsi="Times New Roman" w:eastAsia="宋体" w:cs="Times New Roman"/>
                <w:color w:val="auto"/>
                <w:sz w:val="21"/>
                <w:szCs w:val="21"/>
              </w:rPr>
            </w:pPr>
          </w:p>
        </w:tc>
        <w:tc>
          <w:tcPr>
            <w:tcW w:w="503" w:type="dxa"/>
            <w:vMerge w:val="continue"/>
            <w:shd w:val="clear" w:color="auto" w:fill="auto"/>
            <w:vAlign w:val="center"/>
          </w:tcPr>
          <w:p w14:paraId="5DC524E2">
            <w:pPr>
              <w:spacing w:line="360" w:lineRule="auto"/>
              <w:jc w:val="center"/>
              <w:rPr>
                <w:rFonts w:hint="default" w:ascii="Times New Roman" w:hAnsi="Times New Roman" w:eastAsia="宋体" w:cs="Times New Roman"/>
                <w:color w:val="auto"/>
                <w:sz w:val="21"/>
                <w:szCs w:val="21"/>
              </w:rPr>
            </w:pPr>
          </w:p>
        </w:tc>
        <w:tc>
          <w:tcPr>
            <w:tcW w:w="1903" w:type="dxa"/>
            <w:shd w:val="clear" w:color="auto" w:fill="auto"/>
            <w:vAlign w:val="center"/>
          </w:tcPr>
          <w:p w14:paraId="6F24D6CD">
            <w:pPr>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屋架－墙</w:t>
            </w:r>
          </w:p>
        </w:tc>
        <w:tc>
          <w:tcPr>
            <w:tcW w:w="1762" w:type="dxa"/>
            <w:shd w:val="clear" w:color="auto" w:fill="auto"/>
            <w:vAlign w:val="center"/>
          </w:tcPr>
          <w:p w14:paraId="73517B78">
            <w:pPr>
              <w:spacing w:line="360" w:lineRule="auto"/>
              <w:jc w:val="center"/>
              <w:rPr>
                <w:rFonts w:hint="default" w:ascii="Times New Roman" w:hAnsi="Times New Roman" w:eastAsia="宋体" w:cs="Times New Roman"/>
                <w:color w:val="auto"/>
                <w:sz w:val="21"/>
                <w:szCs w:val="21"/>
              </w:rPr>
            </w:pPr>
          </w:p>
        </w:tc>
      </w:tr>
      <w:tr w14:paraId="48CCF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exact"/>
          <w:jc w:val="center"/>
        </w:trPr>
        <w:tc>
          <w:tcPr>
            <w:tcW w:w="680" w:type="dxa"/>
            <w:vMerge w:val="continue"/>
            <w:shd w:val="clear" w:color="auto" w:fill="auto"/>
            <w:vAlign w:val="center"/>
          </w:tcPr>
          <w:p w14:paraId="0318CC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549" w:type="dxa"/>
            <w:vMerge w:val="continue"/>
            <w:shd w:val="clear" w:color="auto" w:fill="auto"/>
            <w:vAlign w:val="center"/>
          </w:tcPr>
          <w:p w14:paraId="69700BB7">
            <w:pPr>
              <w:spacing w:line="360" w:lineRule="auto"/>
              <w:jc w:val="center"/>
              <w:rPr>
                <w:rFonts w:hint="default" w:ascii="Times New Roman" w:hAnsi="Times New Roman" w:eastAsia="宋体" w:cs="Times New Roman"/>
                <w:color w:val="auto"/>
                <w:sz w:val="21"/>
                <w:szCs w:val="21"/>
              </w:rPr>
            </w:pPr>
          </w:p>
        </w:tc>
        <w:tc>
          <w:tcPr>
            <w:tcW w:w="1282" w:type="dxa"/>
            <w:shd w:val="clear" w:color="auto" w:fill="auto"/>
            <w:vAlign w:val="center"/>
          </w:tcPr>
          <w:p w14:paraId="0A7E5EA7">
            <w:pPr>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其他连接</w:t>
            </w:r>
          </w:p>
        </w:tc>
        <w:tc>
          <w:tcPr>
            <w:tcW w:w="2761" w:type="dxa"/>
            <w:shd w:val="clear" w:color="auto" w:fill="auto"/>
          </w:tcPr>
          <w:p w14:paraId="2D01D7C1">
            <w:pPr>
              <w:spacing w:line="360" w:lineRule="auto"/>
              <w:jc w:val="center"/>
              <w:rPr>
                <w:rFonts w:hint="default" w:ascii="Times New Roman" w:hAnsi="Times New Roman" w:eastAsia="宋体" w:cs="Times New Roman"/>
                <w:color w:val="auto"/>
                <w:sz w:val="21"/>
                <w:szCs w:val="21"/>
              </w:rPr>
            </w:pPr>
          </w:p>
        </w:tc>
        <w:tc>
          <w:tcPr>
            <w:tcW w:w="503" w:type="dxa"/>
            <w:vMerge w:val="continue"/>
            <w:shd w:val="clear" w:color="auto" w:fill="auto"/>
            <w:vAlign w:val="center"/>
          </w:tcPr>
          <w:p w14:paraId="3ABECB99">
            <w:pPr>
              <w:spacing w:line="360" w:lineRule="auto"/>
              <w:jc w:val="center"/>
              <w:rPr>
                <w:rFonts w:hint="default" w:ascii="Times New Roman" w:hAnsi="Times New Roman" w:eastAsia="宋体" w:cs="Times New Roman"/>
                <w:color w:val="auto"/>
                <w:sz w:val="21"/>
                <w:szCs w:val="21"/>
              </w:rPr>
            </w:pPr>
          </w:p>
        </w:tc>
        <w:tc>
          <w:tcPr>
            <w:tcW w:w="1903" w:type="dxa"/>
            <w:shd w:val="clear" w:color="auto" w:fill="auto"/>
            <w:vAlign w:val="center"/>
          </w:tcPr>
          <w:p w14:paraId="4495872C">
            <w:pPr>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其他连接</w:t>
            </w:r>
          </w:p>
        </w:tc>
        <w:tc>
          <w:tcPr>
            <w:tcW w:w="1762" w:type="dxa"/>
            <w:shd w:val="clear" w:color="auto" w:fill="auto"/>
            <w:vAlign w:val="center"/>
          </w:tcPr>
          <w:p w14:paraId="376F6D9D">
            <w:pPr>
              <w:spacing w:line="360" w:lineRule="auto"/>
              <w:jc w:val="center"/>
              <w:rPr>
                <w:rFonts w:hint="default" w:ascii="Times New Roman" w:hAnsi="Times New Roman" w:eastAsia="宋体" w:cs="Times New Roman"/>
                <w:color w:val="auto"/>
                <w:sz w:val="21"/>
                <w:szCs w:val="21"/>
              </w:rPr>
            </w:pPr>
          </w:p>
        </w:tc>
      </w:tr>
      <w:tr w14:paraId="10934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80" w:type="dxa"/>
            <w:vMerge w:val="continue"/>
            <w:shd w:val="clear" w:color="auto" w:fill="auto"/>
            <w:vAlign w:val="center"/>
          </w:tcPr>
          <w:p w14:paraId="7A1C5D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831" w:type="dxa"/>
            <w:gridSpan w:val="2"/>
            <w:shd w:val="clear" w:color="auto" w:fill="auto"/>
            <w:vAlign w:val="center"/>
          </w:tcPr>
          <w:p w14:paraId="2D44EA90">
            <w:pPr>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缺失构造措施</w:t>
            </w:r>
          </w:p>
        </w:tc>
        <w:tc>
          <w:tcPr>
            <w:tcW w:w="6929" w:type="dxa"/>
            <w:gridSpan w:val="4"/>
            <w:shd w:val="clear" w:color="auto" w:fill="auto"/>
            <w:vAlign w:val="center"/>
          </w:tcPr>
          <w:p w14:paraId="47E75421">
            <w:pPr>
              <w:spacing w:line="360" w:lineRule="auto"/>
              <w:rPr>
                <w:rFonts w:hint="default" w:ascii="Times New Roman" w:hAnsi="Times New Roman" w:eastAsia="宋体" w:cs="Times New Roman"/>
                <w:color w:val="auto"/>
                <w:sz w:val="21"/>
                <w:szCs w:val="21"/>
              </w:rPr>
            </w:pPr>
          </w:p>
        </w:tc>
      </w:tr>
      <w:tr w14:paraId="06F4E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exact"/>
          <w:jc w:val="center"/>
        </w:trPr>
        <w:tc>
          <w:tcPr>
            <w:tcW w:w="680" w:type="dxa"/>
            <w:vMerge w:val="restart"/>
            <w:shd w:val="clear" w:color="auto" w:fill="auto"/>
            <w:vAlign w:val="center"/>
          </w:tcPr>
          <w:p w14:paraId="7D92B3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钢结构</w:t>
            </w:r>
          </w:p>
        </w:tc>
        <w:tc>
          <w:tcPr>
            <w:tcW w:w="549" w:type="dxa"/>
            <w:vMerge w:val="restart"/>
            <w:shd w:val="clear" w:color="auto" w:fill="auto"/>
            <w:vAlign w:val="center"/>
          </w:tcPr>
          <w:p w14:paraId="4658D0BD">
            <w:pPr>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设计构</w:t>
            </w:r>
          </w:p>
          <w:p w14:paraId="7FF8B88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件总数</w:t>
            </w:r>
          </w:p>
        </w:tc>
        <w:tc>
          <w:tcPr>
            <w:tcW w:w="1282" w:type="dxa"/>
            <w:shd w:val="clear" w:color="auto" w:fill="auto"/>
            <w:vAlign w:val="center"/>
          </w:tcPr>
          <w:p w14:paraId="03CBEBB0">
            <w:pPr>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柱</w:t>
            </w:r>
          </w:p>
        </w:tc>
        <w:tc>
          <w:tcPr>
            <w:tcW w:w="2761" w:type="dxa"/>
            <w:shd w:val="clear" w:color="auto" w:fill="auto"/>
            <w:vAlign w:val="center"/>
          </w:tcPr>
          <w:p w14:paraId="411D6DEB">
            <w:pPr>
              <w:spacing w:line="360" w:lineRule="auto"/>
              <w:jc w:val="center"/>
              <w:rPr>
                <w:rFonts w:hint="default" w:ascii="Times New Roman" w:hAnsi="Times New Roman" w:eastAsia="宋体" w:cs="Times New Roman"/>
                <w:color w:val="auto"/>
                <w:sz w:val="21"/>
                <w:szCs w:val="21"/>
              </w:rPr>
            </w:pPr>
          </w:p>
        </w:tc>
        <w:tc>
          <w:tcPr>
            <w:tcW w:w="503" w:type="dxa"/>
            <w:vMerge w:val="restart"/>
            <w:shd w:val="clear" w:color="auto" w:fill="auto"/>
            <w:vAlign w:val="center"/>
          </w:tcPr>
          <w:p w14:paraId="210EA5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缺失构件数</w:t>
            </w:r>
          </w:p>
        </w:tc>
        <w:tc>
          <w:tcPr>
            <w:tcW w:w="1903" w:type="dxa"/>
            <w:shd w:val="clear" w:color="auto" w:fill="auto"/>
            <w:vAlign w:val="center"/>
          </w:tcPr>
          <w:p w14:paraId="4A00D2A9">
            <w:pPr>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柱</w:t>
            </w:r>
          </w:p>
        </w:tc>
        <w:tc>
          <w:tcPr>
            <w:tcW w:w="1762" w:type="dxa"/>
            <w:shd w:val="clear" w:color="auto" w:fill="auto"/>
            <w:vAlign w:val="center"/>
          </w:tcPr>
          <w:p w14:paraId="1C9E7B82">
            <w:pPr>
              <w:spacing w:line="360" w:lineRule="auto"/>
              <w:jc w:val="center"/>
              <w:rPr>
                <w:rFonts w:hint="default" w:ascii="Times New Roman" w:hAnsi="Times New Roman" w:eastAsia="宋体" w:cs="Times New Roman"/>
                <w:color w:val="auto"/>
                <w:sz w:val="21"/>
                <w:szCs w:val="21"/>
              </w:rPr>
            </w:pPr>
          </w:p>
        </w:tc>
      </w:tr>
      <w:tr w14:paraId="6B34F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exact"/>
          <w:jc w:val="center"/>
        </w:trPr>
        <w:tc>
          <w:tcPr>
            <w:tcW w:w="680" w:type="dxa"/>
            <w:vMerge w:val="continue"/>
            <w:shd w:val="clear" w:color="auto" w:fill="auto"/>
            <w:vAlign w:val="center"/>
          </w:tcPr>
          <w:p w14:paraId="7BB90ABF">
            <w:pPr>
              <w:spacing w:line="360" w:lineRule="auto"/>
              <w:jc w:val="center"/>
              <w:rPr>
                <w:rFonts w:hint="default" w:ascii="Times New Roman" w:hAnsi="Times New Roman" w:eastAsia="宋体" w:cs="Times New Roman"/>
                <w:color w:val="auto"/>
                <w:sz w:val="21"/>
                <w:szCs w:val="21"/>
              </w:rPr>
            </w:pPr>
          </w:p>
        </w:tc>
        <w:tc>
          <w:tcPr>
            <w:tcW w:w="549" w:type="dxa"/>
            <w:vMerge w:val="continue"/>
            <w:shd w:val="clear" w:color="auto" w:fill="auto"/>
            <w:vAlign w:val="center"/>
          </w:tcPr>
          <w:p w14:paraId="04DE4B55">
            <w:pPr>
              <w:jc w:val="center"/>
              <w:rPr>
                <w:rFonts w:hint="default" w:ascii="Times New Roman" w:hAnsi="Times New Roman" w:eastAsia="宋体" w:cs="Times New Roman"/>
                <w:color w:val="auto"/>
                <w:sz w:val="21"/>
                <w:szCs w:val="21"/>
              </w:rPr>
            </w:pPr>
          </w:p>
        </w:tc>
        <w:tc>
          <w:tcPr>
            <w:tcW w:w="1282" w:type="dxa"/>
            <w:shd w:val="clear" w:color="auto" w:fill="auto"/>
            <w:vAlign w:val="center"/>
          </w:tcPr>
          <w:p w14:paraId="5EFCBECA">
            <w:pPr>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梁</w:t>
            </w:r>
          </w:p>
        </w:tc>
        <w:tc>
          <w:tcPr>
            <w:tcW w:w="2761" w:type="dxa"/>
            <w:shd w:val="clear" w:color="auto" w:fill="auto"/>
            <w:vAlign w:val="center"/>
          </w:tcPr>
          <w:p w14:paraId="21302D17">
            <w:pPr>
              <w:spacing w:line="360" w:lineRule="auto"/>
              <w:jc w:val="center"/>
              <w:rPr>
                <w:rFonts w:hint="default" w:ascii="Times New Roman" w:hAnsi="Times New Roman" w:eastAsia="宋体" w:cs="Times New Roman"/>
                <w:color w:val="auto"/>
                <w:sz w:val="21"/>
                <w:szCs w:val="21"/>
              </w:rPr>
            </w:pPr>
          </w:p>
        </w:tc>
        <w:tc>
          <w:tcPr>
            <w:tcW w:w="503" w:type="dxa"/>
            <w:vMerge w:val="continue"/>
            <w:shd w:val="clear" w:color="auto" w:fill="auto"/>
            <w:vAlign w:val="center"/>
          </w:tcPr>
          <w:p w14:paraId="503E9F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903" w:type="dxa"/>
            <w:shd w:val="clear" w:color="auto" w:fill="auto"/>
            <w:vAlign w:val="center"/>
          </w:tcPr>
          <w:p w14:paraId="0D854A27">
            <w:pPr>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梁</w:t>
            </w:r>
          </w:p>
        </w:tc>
        <w:tc>
          <w:tcPr>
            <w:tcW w:w="1762" w:type="dxa"/>
            <w:shd w:val="clear" w:color="auto" w:fill="auto"/>
            <w:vAlign w:val="center"/>
          </w:tcPr>
          <w:p w14:paraId="4D7A6301">
            <w:pPr>
              <w:spacing w:line="360" w:lineRule="auto"/>
              <w:jc w:val="center"/>
              <w:rPr>
                <w:rFonts w:hint="default" w:ascii="Times New Roman" w:hAnsi="Times New Roman" w:eastAsia="宋体" w:cs="Times New Roman"/>
                <w:color w:val="auto"/>
                <w:sz w:val="21"/>
                <w:szCs w:val="21"/>
              </w:rPr>
            </w:pPr>
          </w:p>
        </w:tc>
      </w:tr>
      <w:tr w14:paraId="7D4C7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exact"/>
          <w:jc w:val="center"/>
        </w:trPr>
        <w:tc>
          <w:tcPr>
            <w:tcW w:w="680" w:type="dxa"/>
            <w:vMerge w:val="continue"/>
            <w:shd w:val="clear" w:color="auto" w:fill="auto"/>
            <w:vAlign w:val="center"/>
          </w:tcPr>
          <w:p w14:paraId="69F3B7F3">
            <w:pPr>
              <w:spacing w:line="360" w:lineRule="auto"/>
              <w:jc w:val="center"/>
              <w:rPr>
                <w:rFonts w:hint="default" w:ascii="Times New Roman" w:hAnsi="Times New Roman" w:eastAsia="宋体" w:cs="Times New Roman"/>
                <w:color w:val="auto"/>
                <w:sz w:val="21"/>
                <w:szCs w:val="21"/>
              </w:rPr>
            </w:pPr>
          </w:p>
        </w:tc>
        <w:tc>
          <w:tcPr>
            <w:tcW w:w="549" w:type="dxa"/>
            <w:vMerge w:val="continue"/>
            <w:shd w:val="clear" w:color="auto" w:fill="auto"/>
            <w:vAlign w:val="center"/>
          </w:tcPr>
          <w:p w14:paraId="45E4CB1B">
            <w:pPr>
              <w:jc w:val="center"/>
              <w:rPr>
                <w:rFonts w:hint="default" w:ascii="Times New Roman" w:hAnsi="Times New Roman" w:eastAsia="宋体" w:cs="Times New Roman"/>
                <w:color w:val="auto"/>
                <w:sz w:val="21"/>
                <w:szCs w:val="21"/>
              </w:rPr>
            </w:pPr>
          </w:p>
        </w:tc>
        <w:tc>
          <w:tcPr>
            <w:tcW w:w="1282" w:type="dxa"/>
            <w:shd w:val="clear" w:color="auto" w:fill="auto"/>
            <w:vAlign w:val="center"/>
          </w:tcPr>
          <w:p w14:paraId="75509EE0">
            <w:pPr>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板</w:t>
            </w:r>
          </w:p>
        </w:tc>
        <w:tc>
          <w:tcPr>
            <w:tcW w:w="2761" w:type="dxa"/>
            <w:shd w:val="clear" w:color="auto" w:fill="auto"/>
            <w:vAlign w:val="center"/>
          </w:tcPr>
          <w:p w14:paraId="30EBEFF0">
            <w:pPr>
              <w:spacing w:line="360" w:lineRule="auto"/>
              <w:jc w:val="center"/>
              <w:rPr>
                <w:rFonts w:hint="default" w:ascii="Times New Roman" w:hAnsi="Times New Roman" w:eastAsia="宋体" w:cs="Times New Roman"/>
                <w:color w:val="auto"/>
                <w:sz w:val="21"/>
                <w:szCs w:val="21"/>
              </w:rPr>
            </w:pPr>
          </w:p>
        </w:tc>
        <w:tc>
          <w:tcPr>
            <w:tcW w:w="503" w:type="dxa"/>
            <w:vMerge w:val="continue"/>
            <w:shd w:val="clear" w:color="auto" w:fill="auto"/>
            <w:vAlign w:val="center"/>
          </w:tcPr>
          <w:p w14:paraId="666087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903" w:type="dxa"/>
            <w:shd w:val="clear" w:color="auto" w:fill="auto"/>
            <w:vAlign w:val="center"/>
          </w:tcPr>
          <w:p w14:paraId="2042E31A">
            <w:pPr>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板</w:t>
            </w:r>
          </w:p>
        </w:tc>
        <w:tc>
          <w:tcPr>
            <w:tcW w:w="1762" w:type="dxa"/>
            <w:shd w:val="clear" w:color="auto" w:fill="auto"/>
            <w:vAlign w:val="center"/>
          </w:tcPr>
          <w:p w14:paraId="410F26B3">
            <w:pPr>
              <w:spacing w:line="360" w:lineRule="auto"/>
              <w:jc w:val="center"/>
              <w:rPr>
                <w:rFonts w:hint="default" w:ascii="Times New Roman" w:hAnsi="Times New Roman" w:eastAsia="宋体" w:cs="Times New Roman"/>
                <w:color w:val="auto"/>
                <w:sz w:val="21"/>
                <w:szCs w:val="21"/>
              </w:rPr>
            </w:pPr>
          </w:p>
        </w:tc>
      </w:tr>
      <w:tr w14:paraId="6F2FE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exact"/>
          <w:jc w:val="center"/>
        </w:trPr>
        <w:tc>
          <w:tcPr>
            <w:tcW w:w="680" w:type="dxa"/>
            <w:vMerge w:val="continue"/>
            <w:shd w:val="clear" w:color="auto" w:fill="auto"/>
            <w:vAlign w:val="center"/>
          </w:tcPr>
          <w:p w14:paraId="7A1B07EE">
            <w:pPr>
              <w:spacing w:line="360" w:lineRule="auto"/>
              <w:jc w:val="center"/>
              <w:rPr>
                <w:rFonts w:hint="default" w:ascii="Times New Roman" w:hAnsi="Times New Roman" w:eastAsia="宋体" w:cs="Times New Roman"/>
                <w:color w:val="auto"/>
                <w:sz w:val="21"/>
                <w:szCs w:val="21"/>
              </w:rPr>
            </w:pPr>
          </w:p>
        </w:tc>
        <w:tc>
          <w:tcPr>
            <w:tcW w:w="549" w:type="dxa"/>
            <w:vMerge w:val="continue"/>
            <w:shd w:val="clear" w:color="auto" w:fill="auto"/>
            <w:vAlign w:val="center"/>
          </w:tcPr>
          <w:p w14:paraId="7A0C28EC">
            <w:pPr>
              <w:jc w:val="center"/>
              <w:rPr>
                <w:rFonts w:hint="default" w:ascii="Times New Roman" w:hAnsi="Times New Roman" w:eastAsia="宋体" w:cs="Times New Roman"/>
                <w:color w:val="auto"/>
                <w:sz w:val="21"/>
                <w:szCs w:val="21"/>
              </w:rPr>
            </w:pPr>
          </w:p>
        </w:tc>
        <w:tc>
          <w:tcPr>
            <w:tcW w:w="1282" w:type="dxa"/>
            <w:shd w:val="clear" w:color="auto" w:fill="auto"/>
            <w:vAlign w:val="center"/>
          </w:tcPr>
          <w:p w14:paraId="3F8AE27E">
            <w:pPr>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墙</w:t>
            </w:r>
          </w:p>
        </w:tc>
        <w:tc>
          <w:tcPr>
            <w:tcW w:w="2761" w:type="dxa"/>
            <w:shd w:val="clear" w:color="auto" w:fill="auto"/>
          </w:tcPr>
          <w:p w14:paraId="4E1FBFE2">
            <w:pPr>
              <w:spacing w:line="360" w:lineRule="auto"/>
              <w:jc w:val="center"/>
              <w:rPr>
                <w:rFonts w:hint="default" w:ascii="Times New Roman" w:hAnsi="Times New Roman" w:eastAsia="宋体" w:cs="Times New Roman"/>
                <w:color w:val="auto"/>
                <w:sz w:val="21"/>
                <w:szCs w:val="21"/>
              </w:rPr>
            </w:pPr>
          </w:p>
        </w:tc>
        <w:tc>
          <w:tcPr>
            <w:tcW w:w="503" w:type="dxa"/>
            <w:vMerge w:val="continue"/>
            <w:shd w:val="clear" w:color="auto" w:fill="auto"/>
            <w:vAlign w:val="center"/>
          </w:tcPr>
          <w:p w14:paraId="33111F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903" w:type="dxa"/>
            <w:shd w:val="clear" w:color="auto" w:fill="auto"/>
            <w:vAlign w:val="center"/>
          </w:tcPr>
          <w:p w14:paraId="32E739DA">
            <w:pPr>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墙</w:t>
            </w:r>
          </w:p>
        </w:tc>
        <w:tc>
          <w:tcPr>
            <w:tcW w:w="1762" w:type="dxa"/>
            <w:shd w:val="clear" w:color="auto" w:fill="auto"/>
            <w:vAlign w:val="center"/>
          </w:tcPr>
          <w:p w14:paraId="6BA334DD">
            <w:pPr>
              <w:spacing w:line="360" w:lineRule="auto"/>
              <w:jc w:val="center"/>
              <w:rPr>
                <w:rFonts w:hint="default" w:ascii="Times New Roman" w:hAnsi="Times New Roman" w:eastAsia="宋体" w:cs="Times New Roman"/>
                <w:color w:val="auto"/>
                <w:sz w:val="21"/>
                <w:szCs w:val="21"/>
              </w:rPr>
            </w:pPr>
          </w:p>
        </w:tc>
      </w:tr>
      <w:tr w14:paraId="4CA26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exact"/>
          <w:jc w:val="center"/>
        </w:trPr>
        <w:tc>
          <w:tcPr>
            <w:tcW w:w="680" w:type="dxa"/>
            <w:vMerge w:val="continue"/>
            <w:shd w:val="clear" w:color="auto" w:fill="auto"/>
            <w:vAlign w:val="center"/>
          </w:tcPr>
          <w:p w14:paraId="1B923890">
            <w:pPr>
              <w:spacing w:line="360" w:lineRule="auto"/>
              <w:jc w:val="center"/>
              <w:rPr>
                <w:rFonts w:hint="default" w:ascii="Times New Roman" w:hAnsi="Times New Roman" w:eastAsia="宋体" w:cs="Times New Roman"/>
                <w:color w:val="auto"/>
                <w:sz w:val="21"/>
                <w:szCs w:val="21"/>
              </w:rPr>
            </w:pPr>
          </w:p>
        </w:tc>
        <w:tc>
          <w:tcPr>
            <w:tcW w:w="549" w:type="dxa"/>
            <w:vMerge w:val="continue"/>
            <w:shd w:val="clear" w:color="auto" w:fill="auto"/>
            <w:vAlign w:val="center"/>
          </w:tcPr>
          <w:p w14:paraId="5390A7BB">
            <w:pPr>
              <w:jc w:val="center"/>
              <w:rPr>
                <w:rFonts w:hint="default" w:ascii="Times New Roman" w:hAnsi="Times New Roman" w:eastAsia="宋体" w:cs="Times New Roman"/>
                <w:color w:val="auto"/>
                <w:sz w:val="21"/>
                <w:szCs w:val="21"/>
              </w:rPr>
            </w:pPr>
          </w:p>
        </w:tc>
        <w:tc>
          <w:tcPr>
            <w:tcW w:w="1282" w:type="dxa"/>
            <w:shd w:val="clear" w:color="auto" w:fill="auto"/>
            <w:vAlign w:val="center"/>
          </w:tcPr>
          <w:p w14:paraId="6F7F8C58">
            <w:pPr>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檩条</w:t>
            </w:r>
          </w:p>
        </w:tc>
        <w:tc>
          <w:tcPr>
            <w:tcW w:w="2761" w:type="dxa"/>
            <w:shd w:val="clear" w:color="auto" w:fill="auto"/>
          </w:tcPr>
          <w:p w14:paraId="0B37FCE4">
            <w:pPr>
              <w:spacing w:line="360" w:lineRule="auto"/>
              <w:jc w:val="center"/>
              <w:rPr>
                <w:rFonts w:hint="default" w:ascii="Times New Roman" w:hAnsi="Times New Roman" w:eastAsia="宋体" w:cs="Times New Roman"/>
                <w:color w:val="auto"/>
                <w:sz w:val="21"/>
                <w:szCs w:val="21"/>
              </w:rPr>
            </w:pPr>
          </w:p>
        </w:tc>
        <w:tc>
          <w:tcPr>
            <w:tcW w:w="503" w:type="dxa"/>
            <w:vMerge w:val="continue"/>
            <w:shd w:val="clear" w:color="auto" w:fill="auto"/>
            <w:vAlign w:val="center"/>
          </w:tcPr>
          <w:p w14:paraId="7DED60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903" w:type="dxa"/>
            <w:shd w:val="clear" w:color="auto" w:fill="auto"/>
            <w:vAlign w:val="center"/>
          </w:tcPr>
          <w:p w14:paraId="168D1599">
            <w:pPr>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檩条</w:t>
            </w:r>
          </w:p>
        </w:tc>
        <w:tc>
          <w:tcPr>
            <w:tcW w:w="1762" w:type="dxa"/>
            <w:shd w:val="clear" w:color="auto" w:fill="auto"/>
            <w:vAlign w:val="center"/>
          </w:tcPr>
          <w:p w14:paraId="3D825923">
            <w:pPr>
              <w:spacing w:line="360" w:lineRule="auto"/>
              <w:jc w:val="center"/>
              <w:rPr>
                <w:rFonts w:hint="default" w:ascii="Times New Roman" w:hAnsi="Times New Roman" w:eastAsia="宋体" w:cs="Times New Roman"/>
                <w:color w:val="auto"/>
                <w:sz w:val="21"/>
                <w:szCs w:val="21"/>
              </w:rPr>
            </w:pPr>
          </w:p>
        </w:tc>
      </w:tr>
      <w:tr w14:paraId="7535A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exact"/>
          <w:jc w:val="center"/>
        </w:trPr>
        <w:tc>
          <w:tcPr>
            <w:tcW w:w="680" w:type="dxa"/>
            <w:vMerge w:val="continue"/>
            <w:shd w:val="clear" w:color="auto" w:fill="auto"/>
            <w:vAlign w:val="center"/>
          </w:tcPr>
          <w:p w14:paraId="0CC7E3FB">
            <w:pPr>
              <w:spacing w:line="360" w:lineRule="auto"/>
              <w:jc w:val="center"/>
              <w:rPr>
                <w:rFonts w:hint="default" w:ascii="Times New Roman" w:hAnsi="Times New Roman" w:eastAsia="宋体" w:cs="Times New Roman"/>
                <w:color w:val="auto"/>
                <w:sz w:val="21"/>
                <w:szCs w:val="21"/>
              </w:rPr>
            </w:pPr>
          </w:p>
        </w:tc>
        <w:tc>
          <w:tcPr>
            <w:tcW w:w="549" w:type="dxa"/>
            <w:vMerge w:val="continue"/>
            <w:shd w:val="clear" w:color="auto" w:fill="auto"/>
            <w:vAlign w:val="center"/>
          </w:tcPr>
          <w:p w14:paraId="6B81BC58">
            <w:pPr>
              <w:jc w:val="center"/>
              <w:rPr>
                <w:rFonts w:hint="default" w:ascii="Times New Roman" w:hAnsi="Times New Roman" w:eastAsia="宋体" w:cs="Times New Roman"/>
                <w:color w:val="auto"/>
                <w:sz w:val="21"/>
                <w:szCs w:val="21"/>
              </w:rPr>
            </w:pPr>
          </w:p>
        </w:tc>
        <w:tc>
          <w:tcPr>
            <w:tcW w:w="1282" w:type="dxa"/>
            <w:shd w:val="clear" w:color="auto" w:fill="auto"/>
            <w:vAlign w:val="center"/>
          </w:tcPr>
          <w:p w14:paraId="6B236398">
            <w:pPr>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支撑</w:t>
            </w:r>
          </w:p>
        </w:tc>
        <w:tc>
          <w:tcPr>
            <w:tcW w:w="2761" w:type="dxa"/>
            <w:shd w:val="clear" w:color="auto" w:fill="auto"/>
          </w:tcPr>
          <w:p w14:paraId="47B0A026">
            <w:pPr>
              <w:spacing w:line="360" w:lineRule="auto"/>
              <w:jc w:val="center"/>
              <w:rPr>
                <w:rFonts w:hint="default" w:ascii="Times New Roman" w:hAnsi="Times New Roman" w:eastAsia="宋体" w:cs="Times New Roman"/>
                <w:color w:val="auto"/>
                <w:sz w:val="21"/>
                <w:szCs w:val="21"/>
              </w:rPr>
            </w:pPr>
          </w:p>
        </w:tc>
        <w:tc>
          <w:tcPr>
            <w:tcW w:w="503" w:type="dxa"/>
            <w:vMerge w:val="continue"/>
            <w:shd w:val="clear" w:color="auto" w:fill="auto"/>
            <w:vAlign w:val="center"/>
          </w:tcPr>
          <w:p w14:paraId="5DFCBB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903" w:type="dxa"/>
            <w:shd w:val="clear" w:color="auto" w:fill="auto"/>
            <w:vAlign w:val="center"/>
          </w:tcPr>
          <w:p w14:paraId="43A78FB7">
            <w:pPr>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支撑</w:t>
            </w:r>
          </w:p>
        </w:tc>
        <w:tc>
          <w:tcPr>
            <w:tcW w:w="1762" w:type="dxa"/>
            <w:shd w:val="clear" w:color="auto" w:fill="auto"/>
            <w:vAlign w:val="center"/>
          </w:tcPr>
          <w:p w14:paraId="0E412BB0">
            <w:pPr>
              <w:spacing w:line="360" w:lineRule="auto"/>
              <w:jc w:val="center"/>
              <w:rPr>
                <w:rFonts w:hint="default" w:ascii="Times New Roman" w:hAnsi="Times New Roman" w:eastAsia="宋体" w:cs="Times New Roman"/>
                <w:color w:val="auto"/>
                <w:sz w:val="21"/>
                <w:szCs w:val="21"/>
              </w:rPr>
            </w:pPr>
          </w:p>
        </w:tc>
      </w:tr>
      <w:tr w14:paraId="10D76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exact"/>
          <w:jc w:val="center"/>
        </w:trPr>
        <w:tc>
          <w:tcPr>
            <w:tcW w:w="680" w:type="dxa"/>
            <w:vMerge w:val="continue"/>
            <w:shd w:val="clear" w:color="auto" w:fill="auto"/>
            <w:vAlign w:val="center"/>
          </w:tcPr>
          <w:p w14:paraId="267AD028">
            <w:pPr>
              <w:spacing w:line="360" w:lineRule="auto"/>
              <w:jc w:val="center"/>
              <w:rPr>
                <w:rFonts w:hint="default" w:ascii="Times New Roman" w:hAnsi="Times New Roman" w:eastAsia="宋体" w:cs="Times New Roman"/>
                <w:color w:val="auto"/>
                <w:sz w:val="21"/>
                <w:szCs w:val="21"/>
              </w:rPr>
            </w:pPr>
          </w:p>
        </w:tc>
        <w:tc>
          <w:tcPr>
            <w:tcW w:w="549" w:type="dxa"/>
            <w:vMerge w:val="continue"/>
            <w:shd w:val="clear" w:color="auto" w:fill="auto"/>
            <w:vAlign w:val="center"/>
          </w:tcPr>
          <w:p w14:paraId="5090655F">
            <w:pPr>
              <w:jc w:val="center"/>
              <w:rPr>
                <w:rFonts w:hint="default" w:ascii="Times New Roman" w:hAnsi="Times New Roman" w:eastAsia="宋体" w:cs="Times New Roman"/>
                <w:color w:val="auto"/>
                <w:sz w:val="21"/>
                <w:szCs w:val="21"/>
              </w:rPr>
            </w:pPr>
          </w:p>
        </w:tc>
        <w:tc>
          <w:tcPr>
            <w:tcW w:w="1282" w:type="dxa"/>
            <w:shd w:val="clear" w:color="auto" w:fill="auto"/>
            <w:vAlign w:val="center"/>
          </w:tcPr>
          <w:p w14:paraId="4E8DDB5B">
            <w:pPr>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斜撑</w:t>
            </w:r>
          </w:p>
        </w:tc>
        <w:tc>
          <w:tcPr>
            <w:tcW w:w="2761" w:type="dxa"/>
            <w:shd w:val="clear" w:color="auto" w:fill="auto"/>
          </w:tcPr>
          <w:p w14:paraId="332516D7">
            <w:pPr>
              <w:spacing w:line="360" w:lineRule="auto"/>
              <w:jc w:val="center"/>
              <w:rPr>
                <w:rFonts w:hint="default" w:ascii="Times New Roman" w:hAnsi="Times New Roman" w:eastAsia="宋体" w:cs="Times New Roman"/>
                <w:color w:val="auto"/>
                <w:sz w:val="21"/>
                <w:szCs w:val="21"/>
              </w:rPr>
            </w:pPr>
          </w:p>
        </w:tc>
        <w:tc>
          <w:tcPr>
            <w:tcW w:w="503" w:type="dxa"/>
            <w:vMerge w:val="continue"/>
            <w:shd w:val="clear" w:color="auto" w:fill="auto"/>
            <w:vAlign w:val="center"/>
          </w:tcPr>
          <w:p w14:paraId="30E9F5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903" w:type="dxa"/>
            <w:shd w:val="clear" w:color="auto" w:fill="auto"/>
            <w:vAlign w:val="center"/>
          </w:tcPr>
          <w:p w14:paraId="1A761680">
            <w:pPr>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斜撑</w:t>
            </w:r>
          </w:p>
        </w:tc>
        <w:tc>
          <w:tcPr>
            <w:tcW w:w="1762" w:type="dxa"/>
            <w:shd w:val="clear" w:color="auto" w:fill="auto"/>
            <w:vAlign w:val="center"/>
          </w:tcPr>
          <w:p w14:paraId="3F49E4B2">
            <w:pPr>
              <w:spacing w:line="360" w:lineRule="auto"/>
              <w:jc w:val="center"/>
              <w:rPr>
                <w:rFonts w:hint="default" w:ascii="Times New Roman" w:hAnsi="Times New Roman" w:eastAsia="宋体" w:cs="Times New Roman"/>
                <w:color w:val="auto"/>
                <w:sz w:val="21"/>
                <w:szCs w:val="21"/>
              </w:rPr>
            </w:pPr>
          </w:p>
        </w:tc>
      </w:tr>
      <w:tr w14:paraId="17C42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exact"/>
          <w:jc w:val="center"/>
        </w:trPr>
        <w:tc>
          <w:tcPr>
            <w:tcW w:w="680" w:type="dxa"/>
            <w:vMerge w:val="continue"/>
            <w:shd w:val="clear" w:color="auto" w:fill="auto"/>
            <w:vAlign w:val="center"/>
          </w:tcPr>
          <w:p w14:paraId="320B0947">
            <w:pPr>
              <w:spacing w:line="360" w:lineRule="auto"/>
              <w:jc w:val="center"/>
              <w:rPr>
                <w:rFonts w:hint="default" w:ascii="Times New Roman" w:hAnsi="Times New Roman" w:eastAsia="宋体" w:cs="Times New Roman"/>
                <w:color w:val="auto"/>
                <w:sz w:val="21"/>
                <w:szCs w:val="21"/>
              </w:rPr>
            </w:pPr>
          </w:p>
        </w:tc>
        <w:tc>
          <w:tcPr>
            <w:tcW w:w="549" w:type="dxa"/>
            <w:vMerge w:val="continue"/>
            <w:shd w:val="clear" w:color="auto" w:fill="auto"/>
            <w:vAlign w:val="center"/>
          </w:tcPr>
          <w:p w14:paraId="6C6FA841">
            <w:pPr>
              <w:jc w:val="center"/>
              <w:rPr>
                <w:rFonts w:hint="default" w:ascii="Times New Roman" w:hAnsi="Times New Roman" w:eastAsia="宋体" w:cs="Times New Roman"/>
                <w:color w:val="auto"/>
                <w:sz w:val="21"/>
                <w:szCs w:val="21"/>
              </w:rPr>
            </w:pPr>
          </w:p>
        </w:tc>
        <w:tc>
          <w:tcPr>
            <w:tcW w:w="1282" w:type="dxa"/>
            <w:shd w:val="clear" w:color="auto" w:fill="auto"/>
            <w:vAlign w:val="center"/>
          </w:tcPr>
          <w:p w14:paraId="1296C00D">
            <w:pPr>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系杆</w:t>
            </w:r>
          </w:p>
        </w:tc>
        <w:tc>
          <w:tcPr>
            <w:tcW w:w="2761" w:type="dxa"/>
            <w:shd w:val="clear" w:color="auto" w:fill="auto"/>
          </w:tcPr>
          <w:p w14:paraId="3C525EB5">
            <w:pPr>
              <w:spacing w:line="360" w:lineRule="auto"/>
              <w:jc w:val="center"/>
              <w:rPr>
                <w:rFonts w:hint="default" w:ascii="Times New Roman" w:hAnsi="Times New Roman" w:eastAsia="宋体" w:cs="Times New Roman"/>
                <w:color w:val="auto"/>
                <w:sz w:val="21"/>
                <w:szCs w:val="21"/>
              </w:rPr>
            </w:pPr>
          </w:p>
        </w:tc>
        <w:tc>
          <w:tcPr>
            <w:tcW w:w="503" w:type="dxa"/>
            <w:vMerge w:val="continue"/>
            <w:shd w:val="clear" w:color="auto" w:fill="auto"/>
            <w:vAlign w:val="center"/>
          </w:tcPr>
          <w:p w14:paraId="3F0811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903" w:type="dxa"/>
            <w:shd w:val="clear" w:color="auto" w:fill="auto"/>
            <w:vAlign w:val="center"/>
          </w:tcPr>
          <w:p w14:paraId="338614DA">
            <w:pPr>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系杆</w:t>
            </w:r>
          </w:p>
        </w:tc>
        <w:tc>
          <w:tcPr>
            <w:tcW w:w="1762" w:type="dxa"/>
            <w:shd w:val="clear" w:color="auto" w:fill="auto"/>
            <w:vAlign w:val="center"/>
          </w:tcPr>
          <w:p w14:paraId="39DABE52">
            <w:pPr>
              <w:spacing w:line="360" w:lineRule="auto"/>
              <w:jc w:val="center"/>
              <w:rPr>
                <w:rFonts w:hint="default" w:ascii="Times New Roman" w:hAnsi="Times New Roman" w:eastAsia="宋体" w:cs="Times New Roman"/>
                <w:color w:val="auto"/>
                <w:sz w:val="21"/>
                <w:szCs w:val="21"/>
              </w:rPr>
            </w:pPr>
          </w:p>
        </w:tc>
      </w:tr>
      <w:tr w14:paraId="38AE7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exact"/>
          <w:jc w:val="center"/>
        </w:trPr>
        <w:tc>
          <w:tcPr>
            <w:tcW w:w="680" w:type="dxa"/>
            <w:vMerge w:val="continue"/>
            <w:shd w:val="clear" w:color="auto" w:fill="auto"/>
            <w:vAlign w:val="center"/>
          </w:tcPr>
          <w:p w14:paraId="5A69E393">
            <w:pPr>
              <w:spacing w:line="360" w:lineRule="auto"/>
              <w:jc w:val="center"/>
              <w:rPr>
                <w:rFonts w:hint="default" w:ascii="Times New Roman" w:hAnsi="Times New Roman" w:eastAsia="宋体" w:cs="Times New Roman"/>
                <w:color w:val="auto"/>
                <w:sz w:val="21"/>
                <w:szCs w:val="21"/>
              </w:rPr>
            </w:pPr>
          </w:p>
        </w:tc>
        <w:tc>
          <w:tcPr>
            <w:tcW w:w="549" w:type="dxa"/>
            <w:vMerge w:val="continue"/>
            <w:shd w:val="clear" w:color="auto" w:fill="auto"/>
            <w:vAlign w:val="center"/>
          </w:tcPr>
          <w:p w14:paraId="2B4C63C8">
            <w:pPr>
              <w:jc w:val="center"/>
              <w:rPr>
                <w:rFonts w:hint="default" w:ascii="Times New Roman" w:hAnsi="Times New Roman" w:eastAsia="宋体" w:cs="Times New Roman"/>
                <w:color w:val="auto"/>
                <w:sz w:val="21"/>
                <w:szCs w:val="21"/>
              </w:rPr>
            </w:pPr>
          </w:p>
        </w:tc>
        <w:tc>
          <w:tcPr>
            <w:tcW w:w="1282" w:type="dxa"/>
            <w:shd w:val="clear" w:color="auto" w:fill="auto"/>
            <w:vAlign w:val="center"/>
          </w:tcPr>
          <w:p w14:paraId="2C9CC048">
            <w:pPr>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吊车梁</w:t>
            </w:r>
          </w:p>
        </w:tc>
        <w:tc>
          <w:tcPr>
            <w:tcW w:w="2761" w:type="dxa"/>
            <w:shd w:val="clear" w:color="auto" w:fill="auto"/>
          </w:tcPr>
          <w:p w14:paraId="14894EB8">
            <w:pPr>
              <w:spacing w:line="360" w:lineRule="auto"/>
              <w:jc w:val="center"/>
              <w:rPr>
                <w:rFonts w:hint="default" w:ascii="Times New Roman" w:hAnsi="Times New Roman" w:eastAsia="宋体" w:cs="Times New Roman"/>
                <w:color w:val="auto"/>
                <w:sz w:val="21"/>
                <w:szCs w:val="21"/>
              </w:rPr>
            </w:pPr>
          </w:p>
        </w:tc>
        <w:tc>
          <w:tcPr>
            <w:tcW w:w="503" w:type="dxa"/>
            <w:vMerge w:val="continue"/>
            <w:shd w:val="clear" w:color="auto" w:fill="auto"/>
            <w:vAlign w:val="center"/>
          </w:tcPr>
          <w:p w14:paraId="729DA4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903" w:type="dxa"/>
            <w:shd w:val="clear" w:color="auto" w:fill="auto"/>
            <w:vAlign w:val="center"/>
          </w:tcPr>
          <w:p w14:paraId="24AADA24">
            <w:pPr>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吊车梁</w:t>
            </w:r>
          </w:p>
        </w:tc>
        <w:tc>
          <w:tcPr>
            <w:tcW w:w="1762" w:type="dxa"/>
            <w:shd w:val="clear" w:color="auto" w:fill="auto"/>
            <w:vAlign w:val="center"/>
          </w:tcPr>
          <w:p w14:paraId="497F6E12">
            <w:pPr>
              <w:spacing w:line="360" w:lineRule="auto"/>
              <w:jc w:val="center"/>
              <w:rPr>
                <w:rFonts w:hint="default" w:ascii="Times New Roman" w:hAnsi="Times New Roman" w:eastAsia="宋体" w:cs="Times New Roman"/>
                <w:color w:val="auto"/>
                <w:sz w:val="21"/>
                <w:szCs w:val="21"/>
              </w:rPr>
            </w:pPr>
          </w:p>
        </w:tc>
      </w:tr>
      <w:tr w14:paraId="4DBD7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exact"/>
          <w:jc w:val="center"/>
        </w:trPr>
        <w:tc>
          <w:tcPr>
            <w:tcW w:w="680" w:type="dxa"/>
            <w:vMerge w:val="continue"/>
            <w:shd w:val="clear" w:color="auto" w:fill="auto"/>
            <w:vAlign w:val="center"/>
          </w:tcPr>
          <w:p w14:paraId="1922FC8B">
            <w:pPr>
              <w:spacing w:line="360" w:lineRule="auto"/>
              <w:jc w:val="center"/>
              <w:rPr>
                <w:rFonts w:hint="default" w:ascii="Times New Roman" w:hAnsi="Times New Roman" w:eastAsia="宋体" w:cs="Times New Roman"/>
                <w:color w:val="auto"/>
                <w:sz w:val="21"/>
                <w:szCs w:val="21"/>
              </w:rPr>
            </w:pPr>
          </w:p>
        </w:tc>
        <w:tc>
          <w:tcPr>
            <w:tcW w:w="549" w:type="dxa"/>
            <w:vMerge w:val="restart"/>
            <w:shd w:val="clear" w:color="auto" w:fill="auto"/>
            <w:vAlign w:val="center"/>
          </w:tcPr>
          <w:p w14:paraId="6E3F207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设计连接数量</w:t>
            </w:r>
          </w:p>
        </w:tc>
        <w:tc>
          <w:tcPr>
            <w:tcW w:w="1282" w:type="dxa"/>
            <w:shd w:val="clear" w:color="auto" w:fill="auto"/>
            <w:vAlign w:val="center"/>
          </w:tcPr>
          <w:p w14:paraId="06CE1389">
            <w:pPr>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梁－柱</w:t>
            </w:r>
          </w:p>
        </w:tc>
        <w:tc>
          <w:tcPr>
            <w:tcW w:w="2761" w:type="dxa"/>
            <w:shd w:val="clear" w:color="auto" w:fill="auto"/>
          </w:tcPr>
          <w:p w14:paraId="2AD02432">
            <w:pPr>
              <w:spacing w:line="360" w:lineRule="auto"/>
              <w:jc w:val="center"/>
              <w:rPr>
                <w:rFonts w:hint="default" w:ascii="Times New Roman" w:hAnsi="Times New Roman" w:eastAsia="宋体" w:cs="Times New Roman"/>
                <w:color w:val="auto"/>
                <w:sz w:val="21"/>
                <w:szCs w:val="21"/>
              </w:rPr>
            </w:pPr>
          </w:p>
        </w:tc>
        <w:tc>
          <w:tcPr>
            <w:tcW w:w="503" w:type="dxa"/>
            <w:vMerge w:val="restart"/>
            <w:shd w:val="clear" w:color="auto" w:fill="auto"/>
            <w:vAlign w:val="center"/>
          </w:tcPr>
          <w:p w14:paraId="0E0959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缺失连接数量</w:t>
            </w:r>
          </w:p>
        </w:tc>
        <w:tc>
          <w:tcPr>
            <w:tcW w:w="1903" w:type="dxa"/>
            <w:shd w:val="clear" w:color="auto" w:fill="auto"/>
            <w:vAlign w:val="center"/>
          </w:tcPr>
          <w:p w14:paraId="17AFB480">
            <w:pPr>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梁－柱</w:t>
            </w:r>
          </w:p>
        </w:tc>
        <w:tc>
          <w:tcPr>
            <w:tcW w:w="1762" w:type="dxa"/>
            <w:shd w:val="clear" w:color="auto" w:fill="auto"/>
            <w:vAlign w:val="center"/>
          </w:tcPr>
          <w:p w14:paraId="4AAC441A">
            <w:pPr>
              <w:spacing w:line="360" w:lineRule="auto"/>
              <w:jc w:val="center"/>
              <w:rPr>
                <w:rFonts w:hint="default" w:ascii="Times New Roman" w:hAnsi="Times New Roman" w:eastAsia="宋体" w:cs="Times New Roman"/>
                <w:color w:val="auto"/>
                <w:sz w:val="21"/>
                <w:szCs w:val="21"/>
              </w:rPr>
            </w:pPr>
          </w:p>
        </w:tc>
      </w:tr>
      <w:tr w14:paraId="552CA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exact"/>
          <w:jc w:val="center"/>
        </w:trPr>
        <w:tc>
          <w:tcPr>
            <w:tcW w:w="680" w:type="dxa"/>
            <w:vMerge w:val="continue"/>
            <w:shd w:val="clear" w:color="auto" w:fill="auto"/>
            <w:vAlign w:val="center"/>
          </w:tcPr>
          <w:p w14:paraId="7966B8E5">
            <w:pPr>
              <w:spacing w:line="360" w:lineRule="auto"/>
              <w:jc w:val="center"/>
              <w:rPr>
                <w:rFonts w:hint="default" w:ascii="Times New Roman" w:hAnsi="Times New Roman" w:eastAsia="宋体" w:cs="Times New Roman"/>
                <w:color w:val="auto"/>
                <w:sz w:val="21"/>
                <w:szCs w:val="21"/>
              </w:rPr>
            </w:pPr>
          </w:p>
        </w:tc>
        <w:tc>
          <w:tcPr>
            <w:tcW w:w="549" w:type="dxa"/>
            <w:vMerge w:val="continue"/>
            <w:shd w:val="clear" w:color="auto" w:fill="auto"/>
            <w:vAlign w:val="center"/>
          </w:tcPr>
          <w:p w14:paraId="74D01469">
            <w:pPr>
              <w:spacing w:line="360" w:lineRule="auto"/>
              <w:jc w:val="center"/>
              <w:rPr>
                <w:rFonts w:hint="default" w:ascii="Times New Roman" w:hAnsi="Times New Roman" w:eastAsia="宋体" w:cs="Times New Roman"/>
                <w:color w:val="auto"/>
                <w:sz w:val="21"/>
                <w:szCs w:val="21"/>
              </w:rPr>
            </w:pPr>
          </w:p>
        </w:tc>
        <w:tc>
          <w:tcPr>
            <w:tcW w:w="1282" w:type="dxa"/>
            <w:shd w:val="clear" w:color="auto" w:fill="auto"/>
            <w:vAlign w:val="center"/>
          </w:tcPr>
          <w:p w14:paraId="6DABFDA6">
            <w:pPr>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屋架－柱</w:t>
            </w:r>
          </w:p>
        </w:tc>
        <w:tc>
          <w:tcPr>
            <w:tcW w:w="2761" w:type="dxa"/>
            <w:shd w:val="clear" w:color="auto" w:fill="auto"/>
          </w:tcPr>
          <w:p w14:paraId="7A2EACBB">
            <w:pPr>
              <w:spacing w:line="360" w:lineRule="auto"/>
              <w:jc w:val="center"/>
              <w:rPr>
                <w:rFonts w:hint="default" w:ascii="Times New Roman" w:hAnsi="Times New Roman" w:eastAsia="宋体" w:cs="Times New Roman"/>
                <w:color w:val="auto"/>
                <w:sz w:val="21"/>
                <w:szCs w:val="21"/>
              </w:rPr>
            </w:pPr>
          </w:p>
        </w:tc>
        <w:tc>
          <w:tcPr>
            <w:tcW w:w="503" w:type="dxa"/>
            <w:vMerge w:val="continue"/>
            <w:shd w:val="clear" w:color="auto" w:fill="auto"/>
            <w:vAlign w:val="center"/>
          </w:tcPr>
          <w:p w14:paraId="6BA583A2">
            <w:pPr>
              <w:spacing w:line="360" w:lineRule="auto"/>
              <w:jc w:val="center"/>
              <w:rPr>
                <w:rFonts w:hint="default" w:ascii="Times New Roman" w:hAnsi="Times New Roman" w:eastAsia="宋体" w:cs="Times New Roman"/>
                <w:color w:val="auto"/>
                <w:sz w:val="21"/>
                <w:szCs w:val="21"/>
              </w:rPr>
            </w:pPr>
          </w:p>
        </w:tc>
        <w:tc>
          <w:tcPr>
            <w:tcW w:w="1903" w:type="dxa"/>
            <w:shd w:val="clear" w:color="auto" w:fill="auto"/>
            <w:vAlign w:val="center"/>
          </w:tcPr>
          <w:p w14:paraId="47B7C7E0">
            <w:pPr>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屋架－柱</w:t>
            </w:r>
          </w:p>
        </w:tc>
        <w:tc>
          <w:tcPr>
            <w:tcW w:w="1762" w:type="dxa"/>
            <w:shd w:val="clear" w:color="auto" w:fill="auto"/>
            <w:vAlign w:val="center"/>
          </w:tcPr>
          <w:p w14:paraId="707BB71C">
            <w:pPr>
              <w:spacing w:line="360" w:lineRule="auto"/>
              <w:jc w:val="center"/>
              <w:rPr>
                <w:rFonts w:hint="default" w:ascii="Times New Roman" w:hAnsi="Times New Roman" w:eastAsia="宋体" w:cs="Times New Roman"/>
                <w:color w:val="auto"/>
                <w:sz w:val="21"/>
                <w:szCs w:val="21"/>
              </w:rPr>
            </w:pPr>
          </w:p>
        </w:tc>
      </w:tr>
      <w:tr w14:paraId="0FC6A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exact"/>
          <w:jc w:val="center"/>
        </w:trPr>
        <w:tc>
          <w:tcPr>
            <w:tcW w:w="680" w:type="dxa"/>
            <w:vMerge w:val="continue"/>
            <w:shd w:val="clear" w:color="auto" w:fill="auto"/>
            <w:vAlign w:val="center"/>
          </w:tcPr>
          <w:p w14:paraId="2DD32FE6">
            <w:pPr>
              <w:spacing w:line="360" w:lineRule="auto"/>
              <w:jc w:val="center"/>
              <w:rPr>
                <w:rFonts w:hint="default" w:ascii="Times New Roman" w:hAnsi="Times New Roman" w:eastAsia="宋体" w:cs="Times New Roman"/>
                <w:color w:val="auto"/>
                <w:sz w:val="21"/>
                <w:szCs w:val="21"/>
              </w:rPr>
            </w:pPr>
          </w:p>
        </w:tc>
        <w:tc>
          <w:tcPr>
            <w:tcW w:w="549" w:type="dxa"/>
            <w:vMerge w:val="continue"/>
            <w:shd w:val="clear" w:color="auto" w:fill="auto"/>
            <w:vAlign w:val="center"/>
          </w:tcPr>
          <w:p w14:paraId="19E144DA">
            <w:pPr>
              <w:spacing w:line="360" w:lineRule="auto"/>
              <w:jc w:val="center"/>
              <w:rPr>
                <w:rFonts w:hint="default" w:ascii="Times New Roman" w:hAnsi="Times New Roman" w:eastAsia="宋体" w:cs="Times New Roman"/>
                <w:color w:val="auto"/>
                <w:sz w:val="21"/>
                <w:szCs w:val="21"/>
              </w:rPr>
            </w:pPr>
          </w:p>
        </w:tc>
        <w:tc>
          <w:tcPr>
            <w:tcW w:w="1282" w:type="dxa"/>
            <w:shd w:val="clear" w:color="auto" w:fill="auto"/>
            <w:vAlign w:val="center"/>
          </w:tcPr>
          <w:p w14:paraId="721B1ECF">
            <w:pPr>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屋架-梁</w:t>
            </w:r>
          </w:p>
        </w:tc>
        <w:tc>
          <w:tcPr>
            <w:tcW w:w="2761" w:type="dxa"/>
            <w:shd w:val="clear" w:color="auto" w:fill="auto"/>
          </w:tcPr>
          <w:p w14:paraId="1579CD35">
            <w:pPr>
              <w:spacing w:line="360" w:lineRule="auto"/>
              <w:jc w:val="center"/>
              <w:rPr>
                <w:rFonts w:hint="default" w:ascii="Times New Roman" w:hAnsi="Times New Roman" w:eastAsia="宋体" w:cs="Times New Roman"/>
                <w:color w:val="auto"/>
                <w:sz w:val="21"/>
                <w:szCs w:val="21"/>
              </w:rPr>
            </w:pPr>
          </w:p>
        </w:tc>
        <w:tc>
          <w:tcPr>
            <w:tcW w:w="503" w:type="dxa"/>
            <w:vMerge w:val="continue"/>
            <w:shd w:val="clear" w:color="auto" w:fill="auto"/>
            <w:vAlign w:val="center"/>
          </w:tcPr>
          <w:p w14:paraId="7CC23434">
            <w:pPr>
              <w:spacing w:line="360" w:lineRule="auto"/>
              <w:jc w:val="center"/>
              <w:rPr>
                <w:rFonts w:hint="default" w:ascii="Times New Roman" w:hAnsi="Times New Roman" w:eastAsia="宋体" w:cs="Times New Roman"/>
                <w:color w:val="auto"/>
                <w:sz w:val="21"/>
                <w:szCs w:val="21"/>
              </w:rPr>
            </w:pPr>
          </w:p>
        </w:tc>
        <w:tc>
          <w:tcPr>
            <w:tcW w:w="1903" w:type="dxa"/>
            <w:shd w:val="clear" w:color="auto" w:fill="auto"/>
            <w:vAlign w:val="center"/>
          </w:tcPr>
          <w:p w14:paraId="4159B9CF">
            <w:pPr>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屋架-梁</w:t>
            </w:r>
          </w:p>
        </w:tc>
        <w:tc>
          <w:tcPr>
            <w:tcW w:w="1762" w:type="dxa"/>
            <w:shd w:val="clear" w:color="auto" w:fill="auto"/>
            <w:vAlign w:val="center"/>
          </w:tcPr>
          <w:p w14:paraId="2A3A0B0C">
            <w:pPr>
              <w:spacing w:line="360" w:lineRule="auto"/>
              <w:jc w:val="center"/>
              <w:rPr>
                <w:rFonts w:hint="default" w:ascii="Times New Roman" w:hAnsi="Times New Roman" w:eastAsia="宋体" w:cs="Times New Roman"/>
                <w:color w:val="auto"/>
                <w:sz w:val="21"/>
                <w:szCs w:val="21"/>
              </w:rPr>
            </w:pPr>
          </w:p>
        </w:tc>
      </w:tr>
      <w:tr w14:paraId="1DE70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exact"/>
          <w:jc w:val="center"/>
        </w:trPr>
        <w:tc>
          <w:tcPr>
            <w:tcW w:w="680" w:type="dxa"/>
            <w:vMerge w:val="continue"/>
            <w:shd w:val="clear" w:color="auto" w:fill="auto"/>
            <w:vAlign w:val="center"/>
          </w:tcPr>
          <w:p w14:paraId="52AE07D8">
            <w:pPr>
              <w:spacing w:line="360" w:lineRule="auto"/>
              <w:jc w:val="center"/>
              <w:rPr>
                <w:rFonts w:hint="default" w:ascii="Times New Roman" w:hAnsi="Times New Roman" w:eastAsia="宋体" w:cs="Times New Roman"/>
                <w:color w:val="auto"/>
                <w:sz w:val="21"/>
                <w:szCs w:val="21"/>
              </w:rPr>
            </w:pPr>
          </w:p>
        </w:tc>
        <w:tc>
          <w:tcPr>
            <w:tcW w:w="549" w:type="dxa"/>
            <w:vMerge w:val="continue"/>
            <w:shd w:val="clear" w:color="auto" w:fill="auto"/>
            <w:vAlign w:val="center"/>
          </w:tcPr>
          <w:p w14:paraId="796FD776">
            <w:pPr>
              <w:spacing w:line="360" w:lineRule="auto"/>
              <w:jc w:val="center"/>
              <w:rPr>
                <w:rFonts w:hint="default" w:ascii="Times New Roman" w:hAnsi="Times New Roman" w:eastAsia="宋体" w:cs="Times New Roman"/>
                <w:color w:val="auto"/>
                <w:sz w:val="21"/>
                <w:szCs w:val="21"/>
              </w:rPr>
            </w:pPr>
          </w:p>
        </w:tc>
        <w:tc>
          <w:tcPr>
            <w:tcW w:w="1282" w:type="dxa"/>
            <w:shd w:val="clear" w:color="auto" w:fill="auto"/>
            <w:vAlign w:val="center"/>
          </w:tcPr>
          <w:p w14:paraId="52A9BC95">
            <w:pPr>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梁－梁</w:t>
            </w:r>
          </w:p>
        </w:tc>
        <w:tc>
          <w:tcPr>
            <w:tcW w:w="2761" w:type="dxa"/>
            <w:shd w:val="clear" w:color="auto" w:fill="auto"/>
          </w:tcPr>
          <w:p w14:paraId="54B47D90">
            <w:pPr>
              <w:spacing w:line="360" w:lineRule="auto"/>
              <w:jc w:val="center"/>
              <w:rPr>
                <w:rFonts w:hint="default" w:ascii="Times New Roman" w:hAnsi="Times New Roman" w:eastAsia="宋体" w:cs="Times New Roman"/>
                <w:color w:val="auto"/>
                <w:sz w:val="21"/>
                <w:szCs w:val="21"/>
              </w:rPr>
            </w:pPr>
          </w:p>
        </w:tc>
        <w:tc>
          <w:tcPr>
            <w:tcW w:w="503" w:type="dxa"/>
            <w:vMerge w:val="continue"/>
            <w:shd w:val="clear" w:color="auto" w:fill="auto"/>
            <w:vAlign w:val="center"/>
          </w:tcPr>
          <w:p w14:paraId="2B41EA8F">
            <w:pPr>
              <w:spacing w:line="360" w:lineRule="auto"/>
              <w:jc w:val="center"/>
              <w:rPr>
                <w:rFonts w:hint="default" w:ascii="Times New Roman" w:hAnsi="Times New Roman" w:eastAsia="宋体" w:cs="Times New Roman"/>
                <w:color w:val="auto"/>
                <w:sz w:val="21"/>
                <w:szCs w:val="21"/>
              </w:rPr>
            </w:pPr>
          </w:p>
        </w:tc>
        <w:tc>
          <w:tcPr>
            <w:tcW w:w="1903" w:type="dxa"/>
            <w:shd w:val="clear" w:color="auto" w:fill="auto"/>
            <w:vAlign w:val="center"/>
          </w:tcPr>
          <w:p w14:paraId="1AD04359">
            <w:pPr>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梁－梁</w:t>
            </w:r>
          </w:p>
        </w:tc>
        <w:tc>
          <w:tcPr>
            <w:tcW w:w="1762" w:type="dxa"/>
            <w:shd w:val="clear" w:color="auto" w:fill="auto"/>
            <w:vAlign w:val="center"/>
          </w:tcPr>
          <w:p w14:paraId="42B4672D">
            <w:pPr>
              <w:spacing w:line="360" w:lineRule="auto"/>
              <w:jc w:val="center"/>
              <w:rPr>
                <w:rFonts w:hint="default" w:ascii="Times New Roman" w:hAnsi="Times New Roman" w:eastAsia="宋体" w:cs="Times New Roman"/>
                <w:color w:val="auto"/>
                <w:sz w:val="21"/>
                <w:szCs w:val="21"/>
              </w:rPr>
            </w:pPr>
          </w:p>
        </w:tc>
      </w:tr>
      <w:tr w14:paraId="79593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exact"/>
          <w:jc w:val="center"/>
        </w:trPr>
        <w:tc>
          <w:tcPr>
            <w:tcW w:w="680" w:type="dxa"/>
            <w:vMerge w:val="continue"/>
            <w:shd w:val="clear" w:color="auto" w:fill="auto"/>
            <w:vAlign w:val="center"/>
          </w:tcPr>
          <w:p w14:paraId="43BF8B1C">
            <w:pPr>
              <w:spacing w:line="360" w:lineRule="auto"/>
              <w:jc w:val="center"/>
              <w:rPr>
                <w:rFonts w:hint="default" w:ascii="Times New Roman" w:hAnsi="Times New Roman" w:eastAsia="宋体" w:cs="Times New Roman"/>
                <w:color w:val="auto"/>
                <w:sz w:val="21"/>
                <w:szCs w:val="21"/>
              </w:rPr>
            </w:pPr>
          </w:p>
        </w:tc>
        <w:tc>
          <w:tcPr>
            <w:tcW w:w="549" w:type="dxa"/>
            <w:vMerge w:val="continue"/>
            <w:shd w:val="clear" w:color="auto" w:fill="auto"/>
            <w:vAlign w:val="center"/>
          </w:tcPr>
          <w:p w14:paraId="264878E1">
            <w:pPr>
              <w:spacing w:line="360" w:lineRule="auto"/>
              <w:jc w:val="center"/>
              <w:rPr>
                <w:rFonts w:hint="default" w:ascii="Times New Roman" w:hAnsi="Times New Roman" w:eastAsia="宋体" w:cs="Times New Roman"/>
                <w:color w:val="auto"/>
                <w:sz w:val="21"/>
                <w:szCs w:val="21"/>
              </w:rPr>
            </w:pPr>
          </w:p>
        </w:tc>
        <w:tc>
          <w:tcPr>
            <w:tcW w:w="1282" w:type="dxa"/>
            <w:shd w:val="clear" w:color="auto" w:fill="auto"/>
            <w:vAlign w:val="center"/>
          </w:tcPr>
          <w:p w14:paraId="4552230F">
            <w:pPr>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柱-柱</w:t>
            </w:r>
          </w:p>
        </w:tc>
        <w:tc>
          <w:tcPr>
            <w:tcW w:w="2761" w:type="dxa"/>
            <w:shd w:val="clear" w:color="auto" w:fill="auto"/>
          </w:tcPr>
          <w:p w14:paraId="7B17CFAF">
            <w:pPr>
              <w:spacing w:line="360" w:lineRule="auto"/>
              <w:jc w:val="center"/>
              <w:rPr>
                <w:rFonts w:hint="default" w:ascii="Times New Roman" w:hAnsi="Times New Roman" w:eastAsia="宋体" w:cs="Times New Roman"/>
                <w:color w:val="auto"/>
                <w:sz w:val="21"/>
                <w:szCs w:val="21"/>
              </w:rPr>
            </w:pPr>
          </w:p>
        </w:tc>
        <w:tc>
          <w:tcPr>
            <w:tcW w:w="503" w:type="dxa"/>
            <w:vMerge w:val="continue"/>
            <w:shd w:val="clear" w:color="auto" w:fill="auto"/>
            <w:vAlign w:val="center"/>
          </w:tcPr>
          <w:p w14:paraId="5B877997">
            <w:pPr>
              <w:spacing w:line="360" w:lineRule="auto"/>
              <w:jc w:val="center"/>
              <w:rPr>
                <w:rFonts w:hint="default" w:ascii="Times New Roman" w:hAnsi="Times New Roman" w:eastAsia="宋体" w:cs="Times New Roman"/>
                <w:color w:val="auto"/>
                <w:sz w:val="21"/>
                <w:szCs w:val="21"/>
              </w:rPr>
            </w:pPr>
          </w:p>
        </w:tc>
        <w:tc>
          <w:tcPr>
            <w:tcW w:w="1903" w:type="dxa"/>
            <w:shd w:val="clear" w:color="auto" w:fill="auto"/>
            <w:vAlign w:val="center"/>
          </w:tcPr>
          <w:p w14:paraId="775069FF">
            <w:pPr>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柱-柱</w:t>
            </w:r>
          </w:p>
        </w:tc>
        <w:tc>
          <w:tcPr>
            <w:tcW w:w="1762" w:type="dxa"/>
            <w:shd w:val="clear" w:color="auto" w:fill="auto"/>
            <w:vAlign w:val="center"/>
          </w:tcPr>
          <w:p w14:paraId="62FF5B2A">
            <w:pPr>
              <w:spacing w:line="360" w:lineRule="auto"/>
              <w:jc w:val="center"/>
              <w:rPr>
                <w:rFonts w:hint="default" w:ascii="Times New Roman" w:hAnsi="Times New Roman" w:eastAsia="宋体" w:cs="Times New Roman"/>
                <w:color w:val="auto"/>
                <w:sz w:val="21"/>
                <w:szCs w:val="21"/>
              </w:rPr>
            </w:pPr>
          </w:p>
        </w:tc>
      </w:tr>
      <w:tr w14:paraId="70A89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exact"/>
          <w:jc w:val="center"/>
        </w:trPr>
        <w:tc>
          <w:tcPr>
            <w:tcW w:w="680" w:type="dxa"/>
            <w:vMerge w:val="continue"/>
            <w:shd w:val="clear" w:color="auto" w:fill="auto"/>
            <w:vAlign w:val="center"/>
          </w:tcPr>
          <w:p w14:paraId="6F166A68">
            <w:pPr>
              <w:spacing w:line="360" w:lineRule="auto"/>
              <w:jc w:val="center"/>
              <w:rPr>
                <w:rFonts w:hint="default" w:ascii="Times New Roman" w:hAnsi="Times New Roman" w:eastAsia="宋体" w:cs="Times New Roman"/>
                <w:color w:val="auto"/>
                <w:sz w:val="21"/>
                <w:szCs w:val="21"/>
              </w:rPr>
            </w:pPr>
          </w:p>
        </w:tc>
        <w:tc>
          <w:tcPr>
            <w:tcW w:w="549" w:type="dxa"/>
            <w:vMerge w:val="continue"/>
            <w:shd w:val="clear" w:color="auto" w:fill="auto"/>
            <w:vAlign w:val="center"/>
          </w:tcPr>
          <w:p w14:paraId="49FD00E8">
            <w:pPr>
              <w:spacing w:line="360" w:lineRule="auto"/>
              <w:jc w:val="center"/>
              <w:rPr>
                <w:rFonts w:hint="default" w:ascii="Times New Roman" w:hAnsi="Times New Roman" w:eastAsia="宋体" w:cs="Times New Roman"/>
                <w:color w:val="auto"/>
                <w:sz w:val="21"/>
                <w:szCs w:val="21"/>
              </w:rPr>
            </w:pPr>
          </w:p>
        </w:tc>
        <w:tc>
          <w:tcPr>
            <w:tcW w:w="1282" w:type="dxa"/>
            <w:shd w:val="clear" w:color="auto" w:fill="auto"/>
            <w:vAlign w:val="center"/>
          </w:tcPr>
          <w:p w14:paraId="0A189821">
            <w:pPr>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其他连接</w:t>
            </w:r>
          </w:p>
        </w:tc>
        <w:tc>
          <w:tcPr>
            <w:tcW w:w="2761" w:type="dxa"/>
            <w:shd w:val="clear" w:color="auto" w:fill="auto"/>
          </w:tcPr>
          <w:p w14:paraId="6C90E747">
            <w:pPr>
              <w:spacing w:line="360" w:lineRule="auto"/>
              <w:jc w:val="center"/>
              <w:rPr>
                <w:rFonts w:hint="default" w:ascii="Times New Roman" w:hAnsi="Times New Roman" w:eastAsia="宋体" w:cs="Times New Roman"/>
                <w:color w:val="auto"/>
                <w:sz w:val="21"/>
                <w:szCs w:val="21"/>
              </w:rPr>
            </w:pPr>
          </w:p>
        </w:tc>
        <w:tc>
          <w:tcPr>
            <w:tcW w:w="503" w:type="dxa"/>
            <w:vMerge w:val="continue"/>
            <w:shd w:val="clear" w:color="auto" w:fill="auto"/>
            <w:vAlign w:val="center"/>
          </w:tcPr>
          <w:p w14:paraId="0E057EF7">
            <w:pPr>
              <w:spacing w:line="360" w:lineRule="auto"/>
              <w:jc w:val="center"/>
              <w:rPr>
                <w:rFonts w:hint="default" w:ascii="Times New Roman" w:hAnsi="Times New Roman" w:eastAsia="宋体" w:cs="Times New Roman"/>
                <w:color w:val="auto"/>
                <w:sz w:val="21"/>
                <w:szCs w:val="21"/>
              </w:rPr>
            </w:pPr>
          </w:p>
        </w:tc>
        <w:tc>
          <w:tcPr>
            <w:tcW w:w="1903" w:type="dxa"/>
            <w:shd w:val="clear" w:color="auto" w:fill="auto"/>
            <w:vAlign w:val="center"/>
          </w:tcPr>
          <w:p w14:paraId="03E47A10">
            <w:pPr>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其他连接</w:t>
            </w:r>
          </w:p>
        </w:tc>
        <w:tc>
          <w:tcPr>
            <w:tcW w:w="1762" w:type="dxa"/>
            <w:shd w:val="clear" w:color="auto" w:fill="auto"/>
            <w:vAlign w:val="center"/>
          </w:tcPr>
          <w:p w14:paraId="6F2B715B">
            <w:pPr>
              <w:spacing w:line="360" w:lineRule="auto"/>
              <w:jc w:val="center"/>
              <w:rPr>
                <w:rFonts w:hint="default" w:ascii="Times New Roman" w:hAnsi="Times New Roman" w:eastAsia="宋体" w:cs="Times New Roman"/>
                <w:color w:val="auto"/>
                <w:sz w:val="21"/>
                <w:szCs w:val="21"/>
              </w:rPr>
            </w:pPr>
          </w:p>
        </w:tc>
      </w:tr>
      <w:tr w14:paraId="3B928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680" w:type="dxa"/>
            <w:vMerge w:val="continue"/>
            <w:shd w:val="clear" w:color="auto" w:fill="auto"/>
            <w:vAlign w:val="center"/>
          </w:tcPr>
          <w:p w14:paraId="0F9EED33">
            <w:pPr>
              <w:spacing w:line="360" w:lineRule="auto"/>
              <w:jc w:val="center"/>
              <w:rPr>
                <w:rFonts w:hint="default" w:ascii="Times New Roman" w:hAnsi="Times New Roman" w:eastAsia="宋体" w:cs="Times New Roman"/>
                <w:color w:val="auto"/>
                <w:sz w:val="21"/>
                <w:szCs w:val="21"/>
              </w:rPr>
            </w:pPr>
          </w:p>
        </w:tc>
        <w:tc>
          <w:tcPr>
            <w:tcW w:w="1831" w:type="dxa"/>
            <w:gridSpan w:val="2"/>
            <w:shd w:val="clear" w:color="auto" w:fill="auto"/>
            <w:vAlign w:val="center"/>
          </w:tcPr>
          <w:p w14:paraId="5EFE646A">
            <w:pPr>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缺失构造措施</w:t>
            </w:r>
          </w:p>
        </w:tc>
        <w:tc>
          <w:tcPr>
            <w:tcW w:w="6929" w:type="dxa"/>
            <w:gridSpan w:val="4"/>
            <w:shd w:val="clear" w:color="auto" w:fill="auto"/>
            <w:vAlign w:val="center"/>
          </w:tcPr>
          <w:p w14:paraId="605F1AC3">
            <w:pPr>
              <w:spacing w:line="360" w:lineRule="auto"/>
              <w:jc w:val="center"/>
              <w:rPr>
                <w:rFonts w:hint="default" w:ascii="Times New Roman" w:hAnsi="Times New Roman" w:eastAsia="宋体" w:cs="Times New Roman"/>
                <w:color w:val="auto"/>
                <w:sz w:val="21"/>
                <w:szCs w:val="21"/>
              </w:rPr>
            </w:pPr>
          </w:p>
        </w:tc>
      </w:tr>
      <w:tr w14:paraId="3D332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exact"/>
          <w:jc w:val="center"/>
        </w:trPr>
        <w:tc>
          <w:tcPr>
            <w:tcW w:w="680" w:type="dxa"/>
            <w:vMerge w:val="restart"/>
            <w:shd w:val="clear" w:color="auto" w:fill="auto"/>
            <w:vAlign w:val="center"/>
          </w:tcPr>
          <w:p w14:paraId="7F2C96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砌体结构</w:t>
            </w:r>
          </w:p>
        </w:tc>
        <w:tc>
          <w:tcPr>
            <w:tcW w:w="549" w:type="dxa"/>
            <w:vMerge w:val="restart"/>
            <w:shd w:val="clear" w:color="auto" w:fill="auto"/>
            <w:vAlign w:val="center"/>
          </w:tcPr>
          <w:p w14:paraId="3ABCEFBB">
            <w:pPr>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设计构</w:t>
            </w:r>
          </w:p>
          <w:p w14:paraId="6C98A18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件总数</w:t>
            </w:r>
          </w:p>
        </w:tc>
        <w:tc>
          <w:tcPr>
            <w:tcW w:w="1282" w:type="dxa"/>
            <w:shd w:val="clear" w:color="auto" w:fill="auto"/>
            <w:vAlign w:val="center"/>
          </w:tcPr>
          <w:p w14:paraId="367966B9">
            <w:pPr>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柱</w:t>
            </w:r>
          </w:p>
        </w:tc>
        <w:tc>
          <w:tcPr>
            <w:tcW w:w="2761" w:type="dxa"/>
            <w:shd w:val="clear" w:color="auto" w:fill="auto"/>
            <w:vAlign w:val="center"/>
          </w:tcPr>
          <w:p w14:paraId="6A66A756">
            <w:pPr>
              <w:spacing w:line="360" w:lineRule="auto"/>
              <w:jc w:val="center"/>
              <w:rPr>
                <w:rFonts w:hint="default" w:ascii="Times New Roman" w:hAnsi="Times New Roman" w:eastAsia="宋体" w:cs="Times New Roman"/>
                <w:color w:val="auto"/>
                <w:sz w:val="21"/>
                <w:szCs w:val="21"/>
              </w:rPr>
            </w:pPr>
          </w:p>
        </w:tc>
        <w:tc>
          <w:tcPr>
            <w:tcW w:w="503" w:type="dxa"/>
            <w:vMerge w:val="restart"/>
            <w:shd w:val="clear" w:color="auto" w:fill="auto"/>
            <w:vAlign w:val="center"/>
          </w:tcPr>
          <w:p w14:paraId="7F2E90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缺失构件数</w:t>
            </w:r>
          </w:p>
        </w:tc>
        <w:tc>
          <w:tcPr>
            <w:tcW w:w="1903" w:type="dxa"/>
            <w:shd w:val="clear" w:color="auto" w:fill="auto"/>
            <w:vAlign w:val="center"/>
          </w:tcPr>
          <w:p w14:paraId="385D9A1D">
            <w:pPr>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柱</w:t>
            </w:r>
          </w:p>
        </w:tc>
        <w:tc>
          <w:tcPr>
            <w:tcW w:w="1762" w:type="dxa"/>
            <w:shd w:val="clear" w:color="auto" w:fill="auto"/>
            <w:vAlign w:val="center"/>
          </w:tcPr>
          <w:p w14:paraId="79EE11F0">
            <w:pPr>
              <w:spacing w:line="360" w:lineRule="auto"/>
              <w:jc w:val="center"/>
              <w:rPr>
                <w:rFonts w:hint="default" w:ascii="Times New Roman" w:hAnsi="Times New Roman" w:eastAsia="宋体" w:cs="Times New Roman"/>
                <w:color w:val="auto"/>
                <w:sz w:val="21"/>
                <w:szCs w:val="21"/>
              </w:rPr>
            </w:pPr>
          </w:p>
        </w:tc>
      </w:tr>
      <w:tr w14:paraId="70B52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exact"/>
          <w:jc w:val="center"/>
        </w:trPr>
        <w:tc>
          <w:tcPr>
            <w:tcW w:w="680" w:type="dxa"/>
            <w:vMerge w:val="continue"/>
            <w:shd w:val="clear" w:color="auto" w:fill="auto"/>
            <w:vAlign w:val="center"/>
          </w:tcPr>
          <w:p w14:paraId="6EA03B25">
            <w:pPr>
              <w:spacing w:line="360" w:lineRule="auto"/>
              <w:jc w:val="center"/>
              <w:rPr>
                <w:rFonts w:hint="default" w:ascii="Times New Roman" w:hAnsi="Times New Roman" w:eastAsia="宋体" w:cs="Times New Roman"/>
                <w:color w:val="auto"/>
                <w:sz w:val="21"/>
                <w:szCs w:val="21"/>
              </w:rPr>
            </w:pPr>
          </w:p>
        </w:tc>
        <w:tc>
          <w:tcPr>
            <w:tcW w:w="549" w:type="dxa"/>
            <w:vMerge w:val="continue"/>
            <w:shd w:val="clear" w:color="auto" w:fill="auto"/>
            <w:vAlign w:val="center"/>
          </w:tcPr>
          <w:p w14:paraId="1409DF99">
            <w:pPr>
              <w:jc w:val="center"/>
              <w:rPr>
                <w:rFonts w:hint="default" w:ascii="Times New Roman" w:hAnsi="Times New Roman" w:eastAsia="宋体" w:cs="Times New Roman"/>
                <w:color w:val="auto"/>
                <w:sz w:val="21"/>
                <w:szCs w:val="21"/>
              </w:rPr>
            </w:pPr>
          </w:p>
        </w:tc>
        <w:tc>
          <w:tcPr>
            <w:tcW w:w="1282" w:type="dxa"/>
            <w:shd w:val="clear" w:color="auto" w:fill="auto"/>
            <w:vAlign w:val="center"/>
          </w:tcPr>
          <w:p w14:paraId="59D3AC73">
            <w:pPr>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梁</w:t>
            </w:r>
          </w:p>
        </w:tc>
        <w:tc>
          <w:tcPr>
            <w:tcW w:w="2761" w:type="dxa"/>
            <w:shd w:val="clear" w:color="auto" w:fill="auto"/>
            <w:vAlign w:val="center"/>
          </w:tcPr>
          <w:p w14:paraId="288B96A3">
            <w:pPr>
              <w:spacing w:line="360" w:lineRule="auto"/>
              <w:jc w:val="center"/>
              <w:rPr>
                <w:rFonts w:hint="default" w:ascii="Times New Roman" w:hAnsi="Times New Roman" w:eastAsia="宋体" w:cs="Times New Roman"/>
                <w:color w:val="auto"/>
                <w:sz w:val="21"/>
                <w:szCs w:val="21"/>
              </w:rPr>
            </w:pPr>
          </w:p>
        </w:tc>
        <w:tc>
          <w:tcPr>
            <w:tcW w:w="503" w:type="dxa"/>
            <w:vMerge w:val="continue"/>
            <w:shd w:val="clear" w:color="auto" w:fill="auto"/>
            <w:vAlign w:val="center"/>
          </w:tcPr>
          <w:p w14:paraId="0E1EC3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903" w:type="dxa"/>
            <w:shd w:val="clear" w:color="auto" w:fill="auto"/>
            <w:vAlign w:val="center"/>
          </w:tcPr>
          <w:p w14:paraId="4D3B3E9A">
            <w:pPr>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梁</w:t>
            </w:r>
          </w:p>
        </w:tc>
        <w:tc>
          <w:tcPr>
            <w:tcW w:w="1762" w:type="dxa"/>
            <w:shd w:val="clear" w:color="auto" w:fill="auto"/>
            <w:vAlign w:val="center"/>
          </w:tcPr>
          <w:p w14:paraId="74DD8145">
            <w:pPr>
              <w:spacing w:line="360" w:lineRule="auto"/>
              <w:jc w:val="center"/>
              <w:rPr>
                <w:rFonts w:hint="default" w:ascii="Times New Roman" w:hAnsi="Times New Roman" w:eastAsia="宋体" w:cs="Times New Roman"/>
                <w:color w:val="auto"/>
                <w:sz w:val="21"/>
                <w:szCs w:val="21"/>
              </w:rPr>
            </w:pPr>
          </w:p>
        </w:tc>
      </w:tr>
      <w:tr w14:paraId="5C885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exact"/>
          <w:jc w:val="center"/>
        </w:trPr>
        <w:tc>
          <w:tcPr>
            <w:tcW w:w="680" w:type="dxa"/>
            <w:vMerge w:val="continue"/>
            <w:shd w:val="clear" w:color="auto" w:fill="auto"/>
            <w:vAlign w:val="center"/>
          </w:tcPr>
          <w:p w14:paraId="6FA94F28">
            <w:pPr>
              <w:spacing w:line="360" w:lineRule="auto"/>
              <w:jc w:val="center"/>
              <w:rPr>
                <w:rFonts w:hint="default" w:ascii="Times New Roman" w:hAnsi="Times New Roman" w:eastAsia="宋体" w:cs="Times New Roman"/>
                <w:color w:val="auto"/>
                <w:sz w:val="21"/>
                <w:szCs w:val="21"/>
              </w:rPr>
            </w:pPr>
          </w:p>
        </w:tc>
        <w:tc>
          <w:tcPr>
            <w:tcW w:w="549" w:type="dxa"/>
            <w:vMerge w:val="continue"/>
            <w:shd w:val="clear" w:color="auto" w:fill="auto"/>
            <w:vAlign w:val="center"/>
          </w:tcPr>
          <w:p w14:paraId="4D4EAAD7">
            <w:pPr>
              <w:jc w:val="center"/>
              <w:rPr>
                <w:rFonts w:hint="default" w:ascii="Times New Roman" w:hAnsi="Times New Roman" w:eastAsia="宋体" w:cs="Times New Roman"/>
                <w:color w:val="auto"/>
                <w:sz w:val="21"/>
                <w:szCs w:val="21"/>
              </w:rPr>
            </w:pPr>
          </w:p>
        </w:tc>
        <w:tc>
          <w:tcPr>
            <w:tcW w:w="1282" w:type="dxa"/>
            <w:shd w:val="clear" w:color="auto" w:fill="auto"/>
            <w:vAlign w:val="center"/>
          </w:tcPr>
          <w:p w14:paraId="5DFCD6F1">
            <w:pPr>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板</w:t>
            </w:r>
          </w:p>
        </w:tc>
        <w:tc>
          <w:tcPr>
            <w:tcW w:w="2761" w:type="dxa"/>
            <w:shd w:val="clear" w:color="auto" w:fill="auto"/>
            <w:vAlign w:val="center"/>
          </w:tcPr>
          <w:p w14:paraId="47CEB76A">
            <w:pPr>
              <w:spacing w:line="360" w:lineRule="auto"/>
              <w:jc w:val="center"/>
              <w:rPr>
                <w:rFonts w:hint="default" w:ascii="Times New Roman" w:hAnsi="Times New Roman" w:eastAsia="宋体" w:cs="Times New Roman"/>
                <w:color w:val="auto"/>
                <w:sz w:val="21"/>
                <w:szCs w:val="21"/>
              </w:rPr>
            </w:pPr>
          </w:p>
        </w:tc>
        <w:tc>
          <w:tcPr>
            <w:tcW w:w="503" w:type="dxa"/>
            <w:vMerge w:val="continue"/>
            <w:shd w:val="clear" w:color="auto" w:fill="auto"/>
            <w:vAlign w:val="center"/>
          </w:tcPr>
          <w:p w14:paraId="605F2B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903" w:type="dxa"/>
            <w:shd w:val="clear" w:color="auto" w:fill="auto"/>
            <w:vAlign w:val="center"/>
          </w:tcPr>
          <w:p w14:paraId="3E14F770">
            <w:pPr>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板</w:t>
            </w:r>
          </w:p>
        </w:tc>
        <w:tc>
          <w:tcPr>
            <w:tcW w:w="1762" w:type="dxa"/>
            <w:shd w:val="clear" w:color="auto" w:fill="auto"/>
            <w:vAlign w:val="center"/>
          </w:tcPr>
          <w:p w14:paraId="45655C07">
            <w:pPr>
              <w:spacing w:line="360" w:lineRule="auto"/>
              <w:jc w:val="center"/>
              <w:rPr>
                <w:rFonts w:hint="default" w:ascii="Times New Roman" w:hAnsi="Times New Roman" w:eastAsia="宋体" w:cs="Times New Roman"/>
                <w:color w:val="auto"/>
                <w:sz w:val="21"/>
                <w:szCs w:val="21"/>
              </w:rPr>
            </w:pPr>
          </w:p>
        </w:tc>
      </w:tr>
      <w:tr w14:paraId="2C062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exact"/>
          <w:jc w:val="center"/>
        </w:trPr>
        <w:tc>
          <w:tcPr>
            <w:tcW w:w="680" w:type="dxa"/>
            <w:vMerge w:val="continue"/>
            <w:shd w:val="clear" w:color="auto" w:fill="auto"/>
            <w:vAlign w:val="center"/>
          </w:tcPr>
          <w:p w14:paraId="75B0610E">
            <w:pPr>
              <w:spacing w:line="360" w:lineRule="auto"/>
              <w:jc w:val="center"/>
              <w:rPr>
                <w:rFonts w:hint="default" w:ascii="Times New Roman" w:hAnsi="Times New Roman" w:eastAsia="宋体" w:cs="Times New Roman"/>
                <w:color w:val="auto"/>
                <w:sz w:val="21"/>
                <w:szCs w:val="21"/>
              </w:rPr>
            </w:pPr>
          </w:p>
        </w:tc>
        <w:tc>
          <w:tcPr>
            <w:tcW w:w="549" w:type="dxa"/>
            <w:vMerge w:val="continue"/>
            <w:shd w:val="clear" w:color="auto" w:fill="auto"/>
            <w:vAlign w:val="center"/>
          </w:tcPr>
          <w:p w14:paraId="0A88432F">
            <w:pPr>
              <w:jc w:val="center"/>
              <w:rPr>
                <w:rFonts w:hint="default" w:ascii="Times New Roman" w:hAnsi="Times New Roman" w:eastAsia="宋体" w:cs="Times New Roman"/>
                <w:color w:val="auto"/>
                <w:sz w:val="21"/>
                <w:szCs w:val="21"/>
              </w:rPr>
            </w:pPr>
          </w:p>
        </w:tc>
        <w:tc>
          <w:tcPr>
            <w:tcW w:w="1282" w:type="dxa"/>
            <w:shd w:val="clear" w:color="auto" w:fill="auto"/>
            <w:vAlign w:val="center"/>
          </w:tcPr>
          <w:p w14:paraId="28862789">
            <w:pPr>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墙</w:t>
            </w:r>
          </w:p>
        </w:tc>
        <w:tc>
          <w:tcPr>
            <w:tcW w:w="2761" w:type="dxa"/>
            <w:shd w:val="clear" w:color="auto" w:fill="auto"/>
          </w:tcPr>
          <w:p w14:paraId="3DA774DB">
            <w:pPr>
              <w:spacing w:line="360" w:lineRule="auto"/>
              <w:jc w:val="center"/>
              <w:rPr>
                <w:rFonts w:hint="default" w:ascii="Times New Roman" w:hAnsi="Times New Roman" w:eastAsia="宋体" w:cs="Times New Roman"/>
                <w:color w:val="auto"/>
                <w:sz w:val="21"/>
                <w:szCs w:val="21"/>
              </w:rPr>
            </w:pPr>
          </w:p>
        </w:tc>
        <w:tc>
          <w:tcPr>
            <w:tcW w:w="503" w:type="dxa"/>
            <w:vMerge w:val="continue"/>
            <w:shd w:val="clear" w:color="auto" w:fill="auto"/>
            <w:vAlign w:val="center"/>
          </w:tcPr>
          <w:p w14:paraId="5C3AD7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903" w:type="dxa"/>
            <w:shd w:val="clear" w:color="auto" w:fill="auto"/>
            <w:vAlign w:val="center"/>
          </w:tcPr>
          <w:p w14:paraId="58640004">
            <w:pPr>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墙</w:t>
            </w:r>
          </w:p>
        </w:tc>
        <w:tc>
          <w:tcPr>
            <w:tcW w:w="1762" w:type="dxa"/>
            <w:shd w:val="clear" w:color="auto" w:fill="auto"/>
            <w:vAlign w:val="center"/>
          </w:tcPr>
          <w:p w14:paraId="0F618A60">
            <w:pPr>
              <w:spacing w:line="360" w:lineRule="auto"/>
              <w:jc w:val="center"/>
              <w:rPr>
                <w:rFonts w:hint="default" w:ascii="Times New Roman" w:hAnsi="Times New Roman" w:eastAsia="宋体" w:cs="Times New Roman"/>
                <w:color w:val="auto"/>
                <w:sz w:val="21"/>
                <w:szCs w:val="21"/>
              </w:rPr>
            </w:pPr>
          </w:p>
        </w:tc>
      </w:tr>
      <w:tr w14:paraId="57ABC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exact"/>
          <w:jc w:val="center"/>
        </w:trPr>
        <w:tc>
          <w:tcPr>
            <w:tcW w:w="680" w:type="dxa"/>
            <w:vMerge w:val="continue"/>
            <w:shd w:val="clear" w:color="auto" w:fill="auto"/>
            <w:vAlign w:val="center"/>
          </w:tcPr>
          <w:p w14:paraId="0422D817">
            <w:pPr>
              <w:spacing w:line="360" w:lineRule="auto"/>
              <w:jc w:val="center"/>
              <w:rPr>
                <w:rFonts w:hint="default" w:ascii="Times New Roman" w:hAnsi="Times New Roman" w:eastAsia="宋体" w:cs="Times New Roman"/>
                <w:color w:val="auto"/>
                <w:sz w:val="21"/>
                <w:szCs w:val="21"/>
              </w:rPr>
            </w:pPr>
          </w:p>
        </w:tc>
        <w:tc>
          <w:tcPr>
            <w:tcW w:w="549" w:type="dxa"/>
            <w:vMerge w:val="continue"/>
            <w:shd w:val="clear" w:color="auto" w:fill="auto"/>
            <w:vAlign w:val="center"/>
          </w:tcPr>
          <w:p w14:paraId="47C89284">
            <w:pPr>
              <w:jc w:val="center"/>
              <w:rPr>
                <w:rFonts w:hint="default" w:ascii="Times New Roman" w:hAnsi="Times New Roman" w:eastAsia="宋体" w:cs="Times New Roman"/>
                <w:color w:val="auto"/>
                <w:sz w:val="21"/>
                <w:szCs w:val="21"/>
              </w:rPr>
            </w:pPr>
          </w:p>
        </w:tc>
        <w:tc>
          <w:tcPr>
            <w:tcW w:w="1282" w:type="dxa"/>
            <w:shd w:val="clear" w:color="auto" w:fill="auto"/>
            <w:vAlign w:val="center"/>
          </w:tcPr>
          <w:p w14:paraId="74A9B993">
            <w:pPr>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屋面</w:t>
            </w:r>
          </w:p>
        </w:tc>
        <w:tc>
          <w:tcPr>
            <w:tcW w:w="2761" w:type="dxa"/>
            <w:shd w:val="clear" w:color="auto" w:fill="auto"/>
          </w:tcPr>
          <w:p w14:paraId="2E4144A0">
            <w:pPr>
              <w:spacing w:line="360" w:lineRule="auto"/>
              <w:jc w:val="center"/>
              <w:rPr>
                <w:rFonts w:hint="default" w:ascii="Times New Roman" w:hAnsi="Times New Roman" w:eastAsia="宋体" w:cs="Times New Roman"/>
                <w:color w:val="auto"/>
                <w:sz w:val="21"/>
                <w:szCs w:val="21"/>
              </w:rPr>
            </w:pPr>
          </w:p>
        </w:tc>
        <w:tc>
          <w:tcPr>
            <w:tcW w:w="503" w:type="dxa"/>
            <w:vMerge w:val="continue"/>
            <w:shd w:val="clear" w:color="auto" w:fill="auto"/>
            <w:vAlign w:val="center"/>
          </w:tcPr>
          <w:p w14:paraId="18F26A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903" w:type="dxa"/>
            <w:shd w:val="clear" w:color="auto" w:fill="auto"/>
            <w:vAlign w:val="center"/>
          </w:tcPr>
          <w:p w14:paraId="26E4939E">
            <w:pPr>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屋面</w:t>
            </w:r>
          </w:p>
        </w:tc>
        <w:tc>
          <w:tcPr>
            <w:tcW w:w="1762" w:type="dxa"/>
            <w:shd w:val="clear" w:color="auto" w:fill="auto"/>
            <w:vAlign w:val="center"/>
          </w:tcPr>
          <w:p w14:paraId="29FFDC1B">
            <w:pPr>
              <w:spacing w:line="360" w:lineRule="auto"/>
              <w:jc w:val="center"/>
              <w:rPr>
                <w:rFonts w:hint="default" w:ascii="Times New Roman" w:hAnsi="Times New Roman" w:eastAsia="宋体" w:cs="Times New Roman"/>
                <w:color w:val="auto"/>
                <w:sz w:val="21"/>
                <w:szCs w:val="21"/>
              </w:rPr>
            </w:pPr>
          </w:p>
        </w:tc>
      </w:tr>
      <w:tr w14:paraId="4FEE1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exact"/>
          <w:jc w:val="center"/>
        </w:trPr>
        <w:tc>
          <w:tcPr>
            <w:tcW w:w="680" w:type="dxa"/>
            <w:vMerge w:val="continue"/>
            <w:shd w:val="clear" w:color="auto" w:fill="auto"/>
            <w:vAlign w:val="center"/>
          </w:tcPr>
          <w:p w14:paraId="749C8A3A">
            <w:pPr>
              <w:spacing w:line="360" w:lineRule="auto"/>
              <w:jc w:val="center"/>
              <w:rPr>
                <w:rFonts w:hint="default" w:ascii="Times New Roman" w:hAnsi="Times New Roman" w:eastAsia="宋体" w:cs="Times New Roman"/>
                <w:color w:val="auto"/>
                <w:sz w:val="21"/>
                <w:szCs w:val="21"/>
              </w:rPr>
            </w:pPr>
          </w:p>
        </w:tc>
        <w:tc>
          <w:tcPr>
            <w:tcW w:w="549" w:type="dxa"/>
            <w:vMerge w:val="restart"/>
            <w:shd w:val="clear" w:color="auto" w:fill="auto"/>
            <w:vAlign w:val="center"/>
          </w:tcPr>
          <w:p w14:paraId="346FB9B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设计连接数量</w:t>
            </w:r>
          </w:p>
        </w:tc>
        <w:tc>
          <w:tcPr>
            <w:tcW w:w="1282" w:type="dxa"/>
            <w:shd w:val="clear" w:color="auto" w:fill="auto"/>
            <w:vAlign w:val="center"/>
          </w:tcPr>
          <w:p w14:paraId="3D34C25A">
            <w:pPr>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墙-墙</w:t>
            </w:r>
          </w:p>
        </w:tc>
        <w:tc>
          <w:tcPr>
            <w:tcW w:w="2761" w:type="dxa"/>
            <w:shd w:val="clear" w:color="auto" w:fill="auto"/>
          </w:tcPr>
          <w:p w14:paraId="2C10CFDD">
            <w:pPr>
              <w:spacing w:line="360" w:lineRule="auto"/>
              <w:jc w:val="center"/>
              <w:rPr>
                <w:rFonts w:hint="default" w:ascii="Times New Roman" w:hAnsi="Times New Roman" w:eastAsia="宋体" w:cs="Times New Roman"/>
                <w:color w:val="auto"/>
                <w:sz w:val="21"/>
                <w:szCs w:val="21"/>
              </w:rPr>
            </w:pPr>
          </w:p>
        </w:tc>
        <w:tc>
          <w:tcPr>
            <w:tcW w:w="503" w:type="dxa"/>
            <w:vMerge w:val="restart"/>
            <w:shd w:val="clear" w:color="auto" w:fill="auto"/>
            <w:vAlign w:val="center"/>
          </w:tcPr>
          <w:p w14:paraId="1C030A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缺失连接数量</w:t>
            </w:r>
          </w:p>
        </w:tc>
        <w:tc>
          <w:tcPr>
            <w:tcW w:w="1903" w:type="dxa"/>
            <w:shd w:val="clear" w:color="auto" w:fill="auto"/>
            <w:vAlign w:val="center"/>
          </w:tcPr>
          <w:p w14:paraId="3BBAB46D">
            <w:pPr>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墙-墙</w:t>
            </w:r>
          </w:p>
        </w:tc>
        <w:tc>
          <w:tcPr>
            <w:tcW w:w="1762" w:type="dxa"/>
            <w:shd w:val="clear" w:color="auto" w:fill="auto"/>
            <w:vAlign w:val="center"/>
          </w:tcPr>
          <w:p w14:paraId="04A88474">
            <w:pPr>
              <w:spacing w:line="360" w:lineRule="auto"/>
              <w:jc w:val="center"/>
              <w:rPr>
                <w:rFonts w:hint="default" w:ascii="Times New Roman" w:hAnsi="Times New Roman" w:eastAsia="宋体" w:cs="Times New Roman"/>
                <w:color w:val="auto"/>
                <w:sz w:val="21"/>
                <w:szCs w:val="21"/>
              </w:rPr>
            </w:pPr>
          </w:p>
        </w:tc>
      </w:tr>
      <w:tr w14:paraId="62111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exact"/>
          <w:jc w:val="center"/>
        </w:trPr>
        <w:tc>
          <w:tcPr>
            <w:tcW w:w="680" w:type="dxa"/>
            <w:vMerge w:val="continue"/>
            <w:shd w:val="clear" w:color="auto" w:fill="auto"/>
            <w:vAlign w:val="center"/>
          </w:tcPr>
          <w:p w14:paraId="7C9745AD">
            <w:pPr>
              <w:spacing w:line="360" w:lineRule="auto"/>
              <w:jc w:val="center"/>
              <w:rPr>
                <w:rFonts w:hint="default" w:ascii="Times New Roman" w:hAnsi="Times New Roman" w:eastAsia="宋体" w:cs="Times New Roman"/>
                <w:color w:val="auto"/>
                <w:sz w:val="21"/>
                <w:szCs w:val="21"/>
              </w:rPr>
            </w:pPr>
          </w:p>
        </w:tc>
        <w:tc>
          <w:tcPr>
            <w:tcW w:w="549" w:type="dxa"/>
            <w:vMerge w:val="continue"/>
            <w:shd w:val="clear" w:color="auto" w:fill="auto"/>
            <w:vAlign w:val="center"/>
          </w:tcPr>
          <w:p w14:paraId="5258F43C">
            <w:pPr>
              <w:spacing w:line="360" w:lineRule="auto"/>
              <w:jc w:val="center"/>
              <w:rPr>
                <w:rFonts w:hint="default" w:ascii="Times New Roman" w:hAnsi="Times New Roman" w:eastAsia="宋体" w:cs="Times New Roman"/>
                <w:color w:val="auto"/>
                <w:sz w:val="21"/>
                <w:szCs w:val="21"/>
              </w:rPr>
            </w:pPr>
          </w:p>
        </w:tc>
        <w:tc>
          <w:tcPr>
            <w:tcW w:w="1282" w:type="dxa"/>
            <w:shd w:val="clear" w:color="auto" w:fill="auto"/>
            <w:vAlign w:val="center"/>
          </w:tcPr>
          <w:p w14:paraId="399E7B56">
            <w:pPr>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墙-梁</w:t>
            </w:r>
          </w:p>
        </w:tc>
        <w:tc>
          <w:tcPr>
            <w:tcW w:w="2761" w:type="dxa"/>
            <w:shd w:val="clear" w:color="auto" w:fill="auto"/>
          </w:tcPr>
          <w:p w14:paraId="0FEE6E68">
            <w:pPr>
              <w:spacing w:line="360" w:lineRule="auto"/>
              <w:jc w:val="center"/>
              <w:rPr>
                <w:rFonts w:hint="default" w:ascii="Times New Roman" w:hAnsi="Times New Roman" w:eastAsia="宋体" w:cs="Times New Roman"/>
                <w:color w:val="auto"/>
                <w:sz w:val="21"/>
                <w:szCs w:val="21"/>
              </w:rPr>
            </w:pPr>
          </w:p>
        </w:tc>
        <w:tc>
          <w:tcPr>
            <w:tcW w:w="503" w:type="dxa"/>
            <w:vMerge w:val="continue"/>
            <w:shd w:val="clear" w:color="auto" w:fill="auto"/>
            <w:vAlign w:val="center"/>
          </w:tcPr>
          <w:p w14:paraId="490E4F4B">
            <w:pPr>
              <w:spacing w:line="360" w:lineRule="auto"/>
              <w:jc w:val="center"/>
              <w:rPr>
                <w:rFonts w:hint="default" w:ascii="Times New Roman" w:hAnsi="Times New Roman" w:eastAsia="宋体" w:cs="Times New Roman"/>
                <w:color w:val="auto"/>
                <w:sz w:val="21"/>
                <w:szCs w:val="21"/>
              </w:rPr>
            </w:pPr>
          </w:p>
        </w:tc>
        <w:tc>
          <w:tcPr>
            <w:tcW w:w="1903" w:type="dxa"/>
            <w:shd w:val="clear" w:color="auto" w:fill="auto"/>
            <w:vAlign w:val="center"/>
          </w:tcPr>
          <w:p w14:paraId="4504BCF9">
            <w:pPr>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墙-梁</w:t>
            </w:r>
          </w:p>
        </w:tc>
        <w:tc>
          <w:tcPr>
            <w:tcW w:w="1762" w:type="dxa"/>
            <w:shd w:val="clear" w:color="auto" w:fill="auto"/>
            <w:vAlign w:val="center"/>
          </w:tcPr>
          <w:p w14:paraId="61D2764B">
            <w:pPr>
              <w:spacing w:line="360" w:lineRule="auto"/>
              <w:jc w:val="center"/>
              <w:rPr>
                <w:rFonts w:hint="default" w:ascii="Times New Roman" w:hAnsi="Times New Roman" w:eastAsia="宋体" w:cs="Times New Roman"/>
                <w:color w:val="auto"/>
                <w:sz w:val="21"/>
                <w:szCs w:val="21"/>
              </w:rPr>
            </w:pPr>
          </w:p>
        </w:tc>
      </w:tr>
      <w:tr w14:paraId="22633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exact"/>
          <w:jc w:val="center"/>
        </w:trPr>
        <w:tc>
          <w:tcPr>
            <w:tcW w:w="680" w:type="dxa"/>
            <w:vMerge w:val="continue"/>
            <w:shd w:val="clear" w:color="auto" w:fill="auto"/>
            <w:vAlign w:val="center"/>
          </w:tcPr>
          <w:p w14:paraId="441D8A8C">
            <w:pPr>
              <w:spacing w:line="360" w:lineRule="auto"/>
              <w:jc w:val="center"/>
              <w:rPr>
                <w:rFonts w:hint="default" w:ascii="Times New Roman" w:hAnsi="Times New Roman" w:eastAsia="宋体" w:cs="Times New Roman"/>
                <w:color w:val="auto"/>
                <w:sz w:val="21"/>
                <w:szCs w:val="21"/>
              </w:rPr>
            </w:pPr>
          </w:p>
        </w:tc>
        <w:tc>
          <w:tcPr>
            <w:tcW w:w="549" w:type="dxa"/>
            <w:vMerge w:val="continue"/>
            <w:shd w:val="clear" w:color="auto" w:fill="auto"/>
            <w:vAlign w:val="center"/>
          </w:tcPr>
          <w:p w14:paraId="3C58EB16">
            <w:pPr>
              <w:spacing w:line="360" w:lineRule="auto"/>
              <w:jc w:val="center"/>
              <w:rPr>
                <w:rFonts w:hint="default" w:ascii="Times New Roman" w:hAnsi="Times New Roman" w:eastAsia="宋体" w:cs="Times New Roman"/>
                <w:color w:val="auto"/>
                <w:sz w:val="21"/>
                <w:szCs w:val="21"/>
              </w:rPr>
            </w:pPr>
          </w:p>
        </w:tc>
        <w:tc>
          <w:tcPr>
            <w:tcW w:w="1282" w:type="dxa"/>
            <w:shd w:val="clear" w:color="auto" w:fill="auto"/>
            <w:vAlign w:val="center"/>
          </w:tcPr>
          <w:p w14:paraId="3A3F76BF">
            <w:pPr>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墙-屋面</w:t>
            </w:r>
          </w:p>
        </w:tc>
        <w:tc>
          <w:tcPr>
            <w:tcW w:w="2761" w:type="dxa"/>
            <w:shd w:val="clear" w:color="auto" w:fill="auto"/>
          </w:tcPr>
          <w:p w14:paraId="2FBB495E">
            <w:pPr>
              <w:spacing w:line="360" w:lineRule="auto"/>
              <w:jc w:val="center"/>
              <w:rPr>
                <w:rFonts w:hint="default" w:ascii="Times New Roman" w:hAnsi="Times New Roman" w:eastAsia="宋体" w:cs="Times New Roman"/>
                <w:color w:val="auto"/>
                <w:sz w:val="21"/>
                <w:szCs w:val="21"/>
              </w:rPr>
            </w:pPr>
          </w:p>
        </w:tc>
        <w:tc>
          <w:tcPr>
            <w:tcW w:w="503" w:type="dxa"/>
            <w:vMerge w:val="continue"/>
            <w:shd w:val="clear" w:color="auto" w:fill="auto"/>
            <w:vAlign w:val="center"/>
          </w:tcPr>
          <w:p w14:paraId="3EFA55AB">
            <w:pPr>
              <w:spacing w:line="360" w:lineRule="auto"/>
              <w:jc w:val="center"/>
              <w:rPr>
                <w:rFonts w:hint="default" w:ascii="Times New Roman" w:hAnsi="Times New Roman" w:eastAsia="宋体" w:cs="Times New Roman"/>
                <w:color w:val="auto"/>
                <w:sz w:val="21"/>
                <w:szCs w:val="21"/>
              </w:rPr>
            </w:pPr>
          </w:p>
        </w:tc>
        <w:tc>
          <w:tcPr>
            <w:tcW w:w="1903" w:type="dxa"/>
            <w:shd w:val="clear" w:color="auto" w:fill="auto"/>
            <w:vAlign w:val="center"/>
          </w:tcPr>
          <w:p w14:paraId="24B555A4">
            <w:pPr>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墙-屋面</w:t>
            </w:r>
          </w:p>
        </w:tc>
        <w:tc>
          <w:tcPr>
            <w:tcW w:w="1762" w:type="dxa"/>
            <w:shd w:val="clear" w:color="auto" w:fill="auto"/>
            <w:vAlign w:val="center"/>
          </w:tcPr>
          <w:p w14:paraId="5BA34A38">
            <w:pPr>
              <w:spacing w:line="360" w:lineRule="auto"/>
              <w:jc w:val="center"/>
              <w:rPr>
                <w:rFonts w:hint="default" w:ascii="Times New Roman" w:hAnsi="Times New Roman" w:eastAsia="宋体" w:cs="Times New Roman"/>
                <w:color w:val="auto"/>
                <w:sz w:val="21"/>
                <w:szCs w:val="21"/>
              </w:rPr>
            </w:pPr>
          </w:p>
        </w:tc>
      </w:tr>
      <w:tr w14:paraId="0D2F6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exact"/>
          <w:jc w:val="center"/>
        </w:trPr>
        <w:tc>
          <w:tcPr>
            <w:tcW w:w="680" w:type="dxa"/>
            <w:vMerge w:val="continue"/>
            <w:shd w:val="clear" w:color="auto" w:fill="auto"/>
            <w:vAlign w:val="center"/>
          </w:tcPr>
          <w:p w14:paraId="535FF402">
            <w:pPr>
              <w:spacing w:line="360" w:lineRule="auto"/>
              <w:jc w:val="center"/>
              <w:rPr>
                <w:rFonts w:hint="default" w:ascii="Times New Roman" w:hAnsi="Times New Roman" w:eastAsia="宋体" w:cs="Times New Roman"/>
                <w:color w:val="auto"/>
                <w:sz w:val="21"/>
                <w:szCs w:val="21"/>
              </w:rPr>
            </w:pPr>
          </w:p>
        </w:tc>
        <w:tc>
          <w:tcPr>
            <w:tcW w:w="549" w:type="dxa"/>
            <w:vMerge w:val="continue"/>
            <w:shd w:val="clear" w:color="auto" w:fill="auto"/>
            <w:vAlign w:val="center"/>
          </w:tcPr>
          <w:p w14:paraId="2320D056">
            <w:pPr>
              <w:spacing w:line="360" w:lineRule="auto"/>
              <w:jc w:val="center"/>
              <w:rPr>
                <w:rFonts w:hint="default" w:ascii="Times New Roman" w:hAnsi="Times New Roman" w:eastAsia="宋体" w:cs="Times New Roman"/>
                <w:color w:val="auto"/>
                <w:sz w:val="21"/>
                <w:szCs w:val="21"/>
              </w:rPr>
            </w:pPr>
          </w:p>
        </w:tc>
        <w:tc>
          <w:tcPr>
            <w:tcW w:w="1282" w:type="dxa"/>
            <w:shd w:val="clear" w:color="auto" w:fill="auto"/>
            <w:vAlign w:val="center"/>
          </w:tcPr>
          <w:p w14:paraId="3CE54464">
            <w:pPr>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梁-屋面</w:t>
            </w:r>
          </w:p>
        </w:tc>
        <w:tc>
          <w:tcPr>
            <w:tcW w:w="2761" w:type="dxa"/>
            <w:shd w:val="clear" w:color="auto" w:fill="auto"/>
          </w:tcPr>
          <w:p w14:paraId="427D7F4D">
            <w:pPr>
              <w:spacing w:line="360" w:lineRule="auto"/>
              <w:jc w:val="center"/>
              <w:rPr>
                <w:rFonts w:hint="default" w:ascii="Times New Roman" w:hAnsi="Times New Roman" w:eastAsia="宋体" w:cs="Times New Roman"/>
                <w:color w:val="auto"/>
                <w:sz w:val="21"/>
                <w:szCs w:val="21"/>
              </w:rPr>
            </w:pPr>
          </w:p>
        </w:tc>
        <w:tc>
          <w:tcPr>
            <w:tcW w:w="503" w:type="dxa"/>
            <w:vMerge w:val="continue"/>
            <w:shd w:val="clear" w:color="auto" w:fill="auto"/>
            <w:vAlign w:val="center"/>
          </w:tcPr>
          <w:p w14:paraId="6389980B">
            <w:pPr>
              <w:spacing w:line="360" w:lineRule="auto"/>
              <w:jc w:val="center"/>
              <w:rPr>
                <w:rFonts w:hint="default" w:ascii="Times New Roman" w:hAnsi="Times New Roman" w:eastAsia="宋体" w:cs="Times New Roman"/>
                <w:color w:val="auto"/>
                <w:sz w:val="21"/>
                <w:szCs w:val="21"/>
              </w:rPr>
            </w:pPr>
          </w:p>
        </w:tc>
        <w:tc>
          <w:tcPr>
            <w:tcW w:w="1903" w:type="dxa"/>
            <w:shd w:val="clear" w:color="auto" w:fill="auto"/>
            <w:vAlign w:val="center"/>
          </w:tcPr>
          <w:p w14:paraId="309ACD7E">
            <w:pPr>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梁-屋面</w:t>
            </w:r>
          </w:p>
        </w:tc>
        <w:tc>
          <w:tcPr>
            <w:tcW w:w="1762" w:type="dxa"/>
            <w:shd w:val="clear" w:color="auto" w:fill="auto"/>
            <w:vAlign w:val="center"/>
          </w:tcPr>
          <w:p w14:paraId="3DCA190A">
            <w:pPr>
              <w:spacing w:line="360" w:lineRule="auto"/>
              <w:jc w:val="center"/>
              <w:rPr>
                <w:rFonts w:hint="default" w:ascii="Times New Roman" w:hAnsi="Times New Roman" w:eastAsia="宋体" w:cs="Times New Roman"/>
                <w:color w:val="auto"/>
                <w:sz w:val="21"/>
                <w:szCs w:val="21"/>
              </w:rPr>
            </w:pPr>
          </w:p>
        </w:tc>
      </w:tr>
      <w:tr w14:paraId="3079B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exact"/>
          <w:jc w:val="center"/>
        </w:trPr>
        <w:tc>
          <w:tcPr>
            <w:tcW w:w="680" w:type="dxa"/>
            <w:vMerge w:val="continue"/>
            <w:shd w:val="clear" w:color="auto" w:fill="auto"/>
            <w:vAlign w:val="center"/>
          </w:tcPr>
          <w:p w14:paraId="6F5A8D60">
            <w:pPr>
              <w:spacing w:line="360" w:lineRule="auto"/>
              <w:jc w:val="center"/>
              <w:rPr>
                <w:rFonts w:hint="default" w:ascii="Times New Roman" w:hAnsi="Times New Roman" w:eastAsia="宋体" w:cs="Times New Roman"/>
                <w:color w:val="auto"/>
                <w:sz w:val="21"/>
                <w:szCs w:val="21"/>
              </w:rPr>
            </w:pPr>
          </w:p>
        </w:tc>
        <w:tc>
          <w:tcPr>
            <w:tcW w:w="549" w:type="dxa"/>
            <w:vMerge w:val="continue"/>
            <w:shd w:val="clear" w:color="auto" w:fill="auto"/>
            <w:vAlign w:val="center"/>
          </w:tcPr>
          <w:p w14:paraId="7FEEA00C">
            <w:pPr>
              <w:spacing w:line="360" w:lineRule="auto"/>
              <w:jc w:val="center"/>
              <w:rPr>
                <w:rFonts w:hint="default" w:ascii="Times New Roman" w:hAnsi="Times New Roman" w:eastAsia="宋体" w:cs="Times New Roman"/>
                <w:color w:val="auto"/>
                <w:sz w:val="21"/>
                <w:szCs w:val="21"/>
              </w:rPr>
            </w:pPr>
          </w:p>
        </w:tc>
        <w:tc>
          <w:tcPr>
            <w:tcW w:w="1282" w:type="dxa"/>
            <w:shd w:val="clear" w:color="auto" w:fill="auto"/>
            <w:vAlign w:val="center"/>
          </w:tcPr>
          <w:p w14:paraId="007ED616">
            <w:pPr>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其他连接</w:t>
            </w:r>
          </w:p>
        </w:tc>
        <w:tc>
          <w:tcPr>
            <w:tcW w:w="2761" w:type="dxa"/>
            <w:shd w:val="clear" w:color="auto" w:fill="auto"/>
          </w:tcPr>
          <w:p w14:paraId="1CE7C8DC">
            <w:pPr>
              <w:spacing w:line="360" w:lineRule="auto"/>
              <w:jc w:val="center"/>
              <w:rPr>
                <w:rFonts w:hint="default" w:ascii="Times New Roman" w:hAnsi="Times New Roman" w:eastAsia="宋体" w:cs="Times New Roman"/>
                <w:color w:val="auto"/>
                <w:sz w:val="21"/>
                <w:szCs w:val="21"/>
              </w:rPr>
            </w:pPr>
          </w:p>
        </w:tc>
        <w:tc>
          <w:tcPr>
            <w:tcW w:w="503" w:type="dxa"/>
            <w:vMerge w:val="continue"/>
            <w:shd w:val="clear" w:color="auto" w:fill="auto"/>
            <w:vAlign w:val="center"/>
          </w:tcPr>
          <w:p w14:paraId="0311629D">
            <w:pPr>
              <w:spacing w:line="360" w:lineRule="auto"/>
              <w:jc w:val="center"/>
              <w:rPr>
                <w:rFonts w:hint="default" w:ascii="Times New Roman" w:hAnsi="Times New Roman" w:eastAsia="宋体" w:cs="Times New Roman"/>
                <w:color w:val="auto"/>
                <w:sz w:val="21"/>
                <w:szCs w:val="21"/>
              </w:rPr>
            </w:pPr>
          </w:p>
        </w:tc>
        <w:tc>
          <w:tcPr>
            <w:tcW w:w="1903" w:type="dxa"/>
            <w:shd w:val="clear" w:color="auto" w:fill="auto"/>
            <w:vAlign w:val="center"/>
          </w:tcPr>
          <w:p w14:paraId="4D00D2F9">
            <w:pPr>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其他连接</w:t>
            </w:r>
          </w:p>
        </w:tc>
        <w:tc>
          <w:tcPr>
            <w:tcW w:w="1762" w:type="dxa"/>
            <w:shd w:val="clear" w:color="auto" w:fill="auto"/>
            <w:vAlign w:val="center"/>
          </w:tcPr>
          <w:p w14:paraId="33AA89EB">
            <w:pPr>
              <w:spacing w:line="360" w:lineRule="auto"/>
              <w:jc w:val="center"/>
              <w:rPr>
                <w:rFonts w:hint="default" w:ascii="Times New Roman" w:hAnsi="Times New Roman" w:eastAsia="宋体" w:cs="Times New Roman"/>
                <w:color w:val="auto"/>
                <w:sz w:val="21"/>
                <w:szCs w:val="21"/>
              </w:rPr>
            </w:pPr>
          </w:p>
        </w:tc>
      </w:tr>
      <w:tr w14:paraId="3E09B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680" w:type="dxa"/>
            <w:vMerge w:val="continue"/>
            <w:shd w:val="clear" w:color="auto" w:fill="auto"/>
            <w:vAlign w:val="center"/>
          </w:tcPr>
          <w:p w14:paraId="4905565D">
            <w:pPr>
              <w:spacing w:line="360" w:lineRule="auto"/>
              <w:jc w:val="center"/>
              <w:rPr>
                <w:rFonts w:hint="default" w:ascii="Times New Roman" w:hAnsi="Times New Roman" w:eastAsia="宋体" w:cs="Times New Roman"/>
                <w:color w:val="auto"/>
                <w:sz w:val="21"/>
                <w:szCs w:val="21"/>
              </w:rPr>
            </w:pPr>
          </w:p>
        </w:tc>
        <w:tc>
          <w:tcPr>
            <w:tcW w:w="1831" w:type="dxa"/>
            <w:gridSpan w:val="2"/>
            <w:shd w:val="clear" w:color="auto" w:fill="auto"/>
            <w:vAlign w:val="center"/>
          </w:tcPr>
          <w:p w14:paraId="6CCF0B12">
            <w:pPr>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缺失构造措施</w:t>
            </w:r>
          </w:p>
        </w:tc>
        <w:tc>
          <w:tcPr>
            <w:tcW w:w="6929" w:type="dxa"/>
            <w:gridSpan w:val="4"/>
            <w:shd w:val="clear" w:color="auto" w:fill="auto"/>
            <w:vAlign w:val="center"/>
          </w:tcPr>
          <w:p w14:paraId="5DE890D9">
            <w:pPr>
              <w:spacing w:line="360" w:lineRule="auto"/>
              <w:jc w:val="center"/>
              <w:rPr>
                <w:rFonts w:hint="default" w:ascii="Times New Roman" w:hAnsi="Times New Roman" w:eastAsia="宋体" w:cs="Times New Roman"/>
                <w:color w:val="auto"/>
                <w:sz w:val="21"/>
                <w:szCs w:val="21"/>
              </w:rPr>
            </w:pPr>
          </w:p>
        </w:tc>
      </w:tr>
    </w:tbl>
    <w:p w14:paraId="30CE764B">
      <w:pPr>
        <w:pStyle w:val="3"/>
        <w:bidi w:val="0"/>
        <w:jc w:val="center"/>
        <w:rPr>
          <w:rFonts w:hint="default" w:ascii="Times New Roman" w:hAnsi="Times New Roman" w:cs="Times New Roman"/>
          <w:color w:val="auto"/>
          <w:lang w:val="en-US" w:eastAsia="zh-CN"/>
        </w:rPr>
        <w:sectPr>
          <w:pgSz w:w="11906" w:h="16838"/>
          <w:pgMar w:top="1440" w:right="1800" w:bottom="1440" w:left="1800" w:header="851" w:footer="992" w:gutter="0"/>
          <w:pgNumType w:fmt="decimal"/>
          <w:cols w:space="425" w:num="1"/>
          <w:docGrid w:type="lines" w:linePitch="312" w:charSpace="0"/>
        </w:sectPr>
      </w:pPr>
      <w:bookmarkStart w:id="74" w:name="_Toc25915"/>
    </w:p>
    <w:p w14:paraId="687E9378">
      <w:pPr>
        <w:pStyle w:val="3"/>
        <w:bidi w:val="0"/>
        <w:jc w:val="center"/>
        <w:rPr>
          <w:rFonts w:hint="default" w:ascii="Times New Roman" w:hAnsi="Times New Roman" w:cs="Times New Roman"/>
          <w:color w:val="auto"/>
          <w:lang w:val="en-US" w:eastAsia="zh-CN"/>
        </w:rPr>
      </w:pPr>
      <w:bookmarkStart w:id="75" w:name="_Toc24421"/>
      <w:bookmarkStart w:id="76" w:name="_Toc20"/>
      <w:r>
        <w:rPr>
          <w:rFonts w:hint="default" w:ascii="Times New Roman" w:hAnsi="Times New Roman" w:cs="Times New Roman"/>
          <w:color w:val="auto"/>
          <w:lang w:val="en-US" w:eastAsia="zh-CN"/>
        </w:rPr>
        <w:t>附录C</w:t>
      </w:r>
      <w:r>
        <w:rPr>
          <w:rFonts w:hint="eastAsia" w:ascii="Times New Roman" w:hAnsi="Times New Roman" w:cs="Times New Roman"/>
          <w:color w:val="auto"/>
          <w:lang w:val="en-US" w:eastAsia="zh-CN"/>
        </w:rPr>
        <w:t xml:space="preserve">  </w:t>
      </w:r>
      <w:r>
        <w:rPr>
          <w:rFonts w:hint="default" w:ascii="Times New Roman" w:hAnsi="Times New Roman" w:cs="Times New Roman"/>
          <w:color w:val="auto"/>
          <w:lang w:val="en-US" w:eastAsia="zh-CN"/>
        </w:rPr>
        <w:t>建筑可靠性鉴定方案</w:t>
      </w:r>
      <w:bookmarkEnd w:id="74"/>
      <w:r>
        <w:rPr>
          <w:rFonts w:hint="eastAsia" w:ascii="Times New Roman" w:hAnsi="Times New Roman" w:cs="Times New Roman"/>
          <w:color w:val="auto"/>
          <w:lang w:val="en-US" w:eastAsia="zh-CN"/>
        </w:rPr>
        <w:t>（样版）</w:t>
      </w:r>
      <w:bookmarkEnd w:id="75"/>
      <w:bookmarkEnd w:id="76"/>
    </w:p>
    <w:p w14:paraId="0EDD9B75">
      <w:pPr>
        <w:jc w:val="center"/>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rPr>
        <w:t>前言</w:t>
      </w:r>
    </w:p>
    <w:p w14:paraId="2549CA34">
      <w:pPr>
        <w:spacing w:line="360" w:lineRule="auto"/>
        <w:rPr>
          <w:rFonts w:hint="default" w:ascii="Times New Roman" w:hAnsi="Times New Roman" w:cs="Times New Roman"/>
          <w:color w:val="auto"/>
          <w:sz w:val="32"/>
          <w:szCs w:val="32"/>
        </w:rPr>
      </w:pPr>
      <w:r>
        <w:rPr>
          <w:rFonts w:hint="default" w:ascii="Times New Roman" w:hAnsi="Times New Roman" w:cs="Times New Roman"/>
          <w:b/>
          <w:bCs/>
          <w:color w:val="auto"/>
          <w:sz w:val="28"/>
          <w:szCs w:val="28"/>
        </w:rPr>
        <w:t xml:space="preserve">   </w:t>
      </w:r>
      <w:r>
        <w:rPr>
          <w:rFonts w:hint="default" w:ascii="Times New Roman" w:hAnsi="Times New Roman" w:cs="Times New Roman"/>
          <w:color w:val="auto"/>
          <w:sz w:val="24"/>
        </w:rPr>
        <w:t>依据我公司与委托方</w:t>
      </w:r>
      <w:r>
        <w:rPr>
          <w:rFonts w:hint="default" w:ascii="Times New Roman" w:hAnsi="Times New Roman" w:cs="Times New Roman"/>
          <w:color w:val="auto"/>
          <w:sz w:val="24"/>
          <w:u w:val="single"/>
        </w:rPr>
        <w:t xml:space="preserve">      XXXXXXXX</w:t>
      </w:r>
      <w:r>
        <w:rPr>
          <w:rFonts w:hint="default" w:ascii="Times New Roman" w:hAnsi="Times New Roman" w:cs="Times New Roman"/>
          <w:color w:val="auto"/>
          <w:sz w:val="24"/>
          <w:u w:val="single"/>
          <w:lang w:val="en-US" w:eastAsia="zh-CN"/>
        </w:rPr>
        <w:t xml:space="preserve">    </w:t>
      </w:r>
      <w:r>
        <w:rPr>
          <w:rFonts w:hint="default" w:ascii="Times New Roman" w:hAnsi="Times New Roman" w:cs="Times New Roman"/>
          <w:color w:val="auto"/>
          <w:sz w:val="24"/>
          <w:u w:val="single"/>
        </w:rPr>
        <w:t>公司</w:t>
      </w:r>
      <w:r>
        <w:rPr>
          <w:rFonts w:hint="default" w:ascii="Times New Roman" w:hAnsi="Times New Roman" w:cs="Times New Roman"/>
          <w:color w:val="auto"/>
          <w:sz w:val="24"/>
        </w:rPr>
        <w:t>签订的《建筑可靠性鉴定委托合同》（包含检测批的建筑结构抽样检测最小样本容量类别）、宜昌市的法律法规及国家现行有效的相关的标准和规范、规程，结合前期对本鉴定项目初步调查的结果，根据所委托的鉴定类型、范围、目的和相关要求，编制本鉴定方案。</w:t>
      </w:r>
    </w:p>
    <w:p w14:paraId="141A678A">
      <w:pPr>
        <w:bidi w:val="0"/>
        <w:rPr>
          <w:rFonts w:hint="default"/>
          <w:b/>
          <w:bCs/>
          <w:color w:val="auto"/>
          <w:sz w:val="32"/>
          <w:szCs w:val="32"/>
          <w:lang w:val="en-US" w:eastAsia="zh-CN"/>
        </w:rPr>
      </w:pPr>
      <w:bookmarkStart w:id="77" w:name="_Toc5322"/>
      <w:bookmarkStart w:id="78" w:name="_Toc24755"/>
      <w:bookmarkStart w:id="79" w:name="_Toc21944"/>
      <w:r>
        <w:rPr>
          <w:rFonts w:hint="default"/>
          <w:b/>
          <w:bCs/>
          <w:color w:val="auto"/>
          <w:sz w:val="32"/>
          <w:szCs w:val="32"/>
          <w:lang w:val="en-US" w:eastAsia="zh-CN"/>
        </w:rPr>
        <w:t>一、工程概况</w:t>
      </w:r>
      <w:bookmarkEnd w:id="77"/>
      <w:bookmarkEnd w:id="78"/>
      <w:bookmarkEnd w:id="79"/>
    </w:p>
    <w:p w14:paraId="6F21826C">
      <w:pPr>
        <w:autoSpaceDE w:val="0"/>
        <w:autoSpaceDN w:val="0"/>
        <w:spacing w:before="120" w:after="120"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xxx</w:t>
      </w:r>
      <w:r>
        <w:rPr>
          <w:rFonts w:hint="default" w:ascii="Times New Roman" w:hAnsi="Times New Roman" w:cs="Times New Roman"/>
          <w:color w:val="auto"/>
          <w:sz w:val="24"/>
        </w:rPr>
        <w:t>车间建成于2016年，该车间厂房位于</w:t>
      </w:r>
      <w:r>
        <w:rPr>
          <w:rFonts w:hint="default" w:ascii="Times New Roman" w:hAnsi="Times New Roman" w:cs="Times New Roman"/>
          <w:color w:val="auto"/>
          <w:sz w:val="24"/>
          <w:lang w:val="en-US" w:eastAsia="zh-CN"/>
        </w:rPr>
        <w:t>xx</w:t>
      </w:r>
      <w:r>
        <w:rPr>
          <w:rFonts w:hint="default" w:ascii="Times New Roman" w:hAnsi="Times New Roman" w:cs="Times New Roman"/>
          <w:color w:val="auto"/>
          <w:sz w:val="24"/>
        </w:rPr>
        <w:t>省</w:t>
      </w:r>
      <w:r>
        <w:rPr>
          <w:rFonts w:hint="default" w:ascii="Times New Roman" w:hAnsi="Times New Roman" w:cs="Times New Roman"/>
          <w:color w:val="auto"/>
          <w:sz w:val="24"/>
          <w:lang w:val="en-US" w:eastAsia="zh-CN"/>
        </w:rPr>
        <w:t>xx</w:t>
      </w:r>
      <w:r>
        <w:rPr>
          <w:rFonts w:hint="default" w:ascii="Times New Roman" w:hAnsi="Times New Roman" w:cs="Times New Roman"/>
          <w:color w:val="auto"/>
          <w:sz w:val="24"/>
        </w:rPr>
        <w:t>市</w:t>
      </w:r>
      <w:r>
        <w:rPr>
          <w:rFonts w:hint="default" w:ascii="Times New Roman" w:hAnsi="Times New Roman" w:cs="Times New Roman"/>
          <w:color w:val="auto"/>
          <w:sz w:val="24"/>
          <w:lang w:val="en-US" w:eastAsia="zh-CN"/>
        </w:rPr>
        <w:t>xx</w:t>
      </w:r>
      <w:r>
        <w:rPr>
          <w:rFonts w:hint="default" w:ascii="Times New Roman" w:hAnsi="Times New Roman" w:cs="Times New Roman"/>
          <w:color w:val="auto"/>
          <w:sz w:val="24"/>
        </w:rPr>
        <w:t>区</w:t>
      </w:r>
      <w:r>
        <w:rPr>
          <w:rFonts w:hint="default" w:ascii="Times New Roman" w:hAnsi="Times New Roman" w:cs="Times New Roman"/>
          <w:color w:val="auto"/>
          <w:sz w:val="24"/>
          <w:lang w:val="en-US" w:eastAsia="zh-CN"/>
        </w:rPr>
        <w:t>xx</w:t>
      </w:r>
      <w:r>
        <w:rPr>
          <w:rFonts w:hint="default" w:ascii="Times New Roman" w:hAnsi="Times New Roman" w:cs="Times New Roman"/>
          <w:color w:val="auto"/>
          <w:sz w:val="24"/>
        </w:rPr>
        <w:t>大道。本项目主体结构设计使用年限为50年，结构抗震设防烈度为6度，第一组，加速度为0.05g，结构安全等级为二级</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上部主体结构为单层双跨门式刚架结构</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基础型式为柱下承台桩基础，受检区域总长约为189.0m，总宽约为48.0m，</w:t>
      </w:r>
      <w:r>
        <w:rPr>
          <w:rFonts w:hint="default" w:ascii="Times New Roman" w:hAnsi="Times New Roman" w:cs="Times New Roman"/>
          <w:color w:val="auto"/>
          <w:sz w:val="24"/>
          <w:lang w:val="en-US" w:eastAsia="zh-CN"/>
        </w:rPr>
        <w:t>受检面积约为9072.5m</w:t>
      </w:r>
      <w:r>
        <w:rPr>
          <w:rFonts w:hint="default" w:ascii="Times New Roman" w:hAnsi="Times New Roman" w:cs="Times New Roman"/>
          <w:color w:val="auto"/>
          <w:sz w:val="24"/>
          <w:vertAlign w:val="superscript"/>
          <w:lang w:val="en-US" w:eastAsia="zh-CN"/>
        </w:rPr>
        <w:t>2</w:t>
      </w:r>
      <w:r>
        <w:rPr>
          <w:rFonts w:hint="default" w:ascii="Times New Roman" w:hAnsi="Times New Roman" w:cs="Times New Roman"/>
          <w:color w:val="auto"/>
          <w:sz w:val="24"/>
        </w:rPr>
        <w:t>。</w:t>
      </w:r>
    </w:p>
    <w:p w14:paraId="44698855">
      <w:pPr>
        <w:autoSpaceDE w:val="0"/>
        <w:autoSpaceDN w:val="0"/>
        <w:spacing w:before="120" w:after="120"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本项目建设单位为xxx房地产开发有限公司，设计单位为xxx建筑设计有限公司，施工单位为湖北xxx建筑有限公司，监理单位为xxx工程项目管理有限公司。委托单位委托时提交</w:t>
      </w:r>
      <w:r>
        <w:rPr>
          <w:rFonts w:hint="default" w:ascii="Times New Roman" w:hAnsi="Times New Roman" w:cs="Times New Roman"/>
          <w:color w:val="auto"/>
          <w:sz w:val="24"/>
          <w:lang w:val="en-US" w:eastAsia="zh-CN"/>
        </w:rPr>
        <w:t>xxx</w:t>
      </w:r>
      <w:r>
        <w:rPr>
          <w:rFonts w:hint="default" w:ascii="Times New Roman" w:hAnsi="Times New Roman" w:cs="Times New Roman"/>
          <w:color w:val="auto"/>
          <w:sz w:val="24"/>
        </w:rPr>
        <w:t>车间</w:t>
      </w:r>
      <w:r>
        <w:rPr>
          <w:rFonts w:hint="default" w:ascii="Times New Roman" w:hAnsi="Times New Roman" w:cs="Times New Roman"/>
          <w:color w:val="auto"/>
          <w:sz w:val="24"/>
          <w:lang w:val="en-US" w:eastAsia="zh-CN"/>
        </w:rPr>
        <w:t>结构</w:t>
      </w:r>
      <w:r>
        <w:rPr>
          <w:rFonts w:hint="default" w:ascii="Times New Roman" w:hAnsi="Times New Roman" w:cs="Times New Roman"/>
          <w:color w:val="auto"/>
          <w:sz w:val="24"/>
        </w:rPr>
        <w:t>设计图纸</w:t>
      </w:r>
      <w:r>
        <w:rPr>
          <w:rFonts w:hint="default" w:ascii="Times New Roman" w:hAnsi="Times New Roman" w:cs="Times New Roman"/>
          <w:color w:val="auto"/>
          <w:sz w:val="24"/>
          <w:lang w:val="en-US" w:eastAsia="zh-CN"/>
        </w:rPr>
        <w:t>一套（纸质版），</w:t>
      </w:r>
      <w:r>
        <w:rPr>
          <w:rFonts w:hint="default" w:ascii="Times New Roman" w:hAnsi="Times New Roman" w:cs="Times New Roman"/>
          <w:color w:val="auto"/>
          <w:sz w:val="24"/>
        </w:rPr>
        <w:t>经现场初步踏勘显示结构为正常使用环境，主要作为生产车间厂房使用，目前一直处于使用中，厂房相关跨内部设置桥式起重机吊车，正常运行；周边无施工、腐蚀和振动等不利环境。</w:t>
      </w:r>
    </w:p>
    <w:p w14:paraId="057ED929">
      <w:pPr>
        <w:bidi w:val="0"/>
        <w:rPr>
          <w:rFonts w:hint="default"/>
          <w:b/>
          <w:bCs/>
          <w:color w:val="auto"/>
          <w:sz w:val="32"/>
          <w:szCs w:val="32"/>
          <w:lang w:val="en-US" w:eastAsia="zh-CN"/>
        </w:rPr>
      </w:pPr>
      <w:bookmarkStart w:id="80" w:name="_Toc21309"/>
      <w:bookmarkStart w:id="81" w:name="_Toc17478"/>
      <w:bookmarkStart w:id="82" w:name="_Toc22789"/>
      <w:r>
        <w:rPr>
          <w:rFonts w:hint="default"/>
          <w:b/>
          <w:bCs/>
          <w:color w:val="auto"/>
          <w:sz w:val="32"/>
          <w:szCs w:val="32"/>
          <w:lang w:val="en-US" w:eastAsia="zh-CN"/>
        </w:rPr>
        <w:t>二、检测目的</w:t>
      </w:r>
      <w:bookmarkEnd w:id="80"/>
      <w:bookmarkEnd w:id="81"/>
      <w:bookmarkEnd w:id="82"/>
    </w:p>
    <w:p w14:paraId="104E43D3">
      <w:pPr>
        <w:autoSpaceDE w:val="0"/>
        <w:autoSpaceDN w:val="0"/>
        <w:spacing w:before="120" w:after="120"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对</w:t>
      </w:r>
      <w:r>
        <w:rPr>
          <w:rFonts w:hint="default" w:ascii="Times New Roman" w:hAnsi="Times New Roman" w:cs="Times New Roman"/>
          <w:color w:val="auto"/>
          <w:sz w:val="24"/>
          <w:lang w:val="en-US" w:eastAsia="zh-CN"/>
        </w:rPr>
        <w:t>xxx车间</w:t>
      </w:r>
      <w:r>
        <w:rPr>
          <w:rFonts w:hint="default" w:ascii="Times New Roman" w:hAnsi="Times New Roman" w:cs="Times New Roman"/>
          <w:color w:val="auto"/>
          <w:sz w:val="24"/>
        </w:rPr>
        <w:t>进行检测，了解受检区域内目前建筑结构现状，并进行结构可靠性鉴定，为项目后续决策实施和改造提供技术依据。</w:t>
      </w:r>
    </w:p>
    <w:p w14:paraId="3896B362">
      <w:pPr>
        <w:bidi w:val="0"/>
        <w:rPr>
          <w:rFonts w:hint="default"/>
          <w:b/>
          <w:bCs/>
          <w:color w:val="auto"/>
          <w:sz w:val="32"/>
          <w:szCs w:val="32"/>
          <w:lang w:val="en-US" w:eastAsia="zh-CN"/>
        </w:rPr>
      </w:pPr>
      <w:bookmarkStart w:id="83" w:name="_Toc16719"/>
      <w:bookmarkStart w:id="84" w:name="_Toc17439"/>
      <w:bookmarkStart w:id="85" w:name="_Toc9870"/>
      <w:r>
        <w:rPr>
          <w:rFonts w:hint="default"/>
          <w:b/>
          <w:bCs/>
          <w:color w:val="auto"/>
          <w:sz w:val="32"/>
          <w:szCs w:val="32"/>
          <w:lang w:val="en-US" w:eastAsia="zh-CN"/>
        </w:rPr>
        <w:t>三、检测范围</w:t>
      </w:r>
      <w:bookmarkEnd w:id="83"/>
      <w:bookmarkEnd w:id="84"/>
      <w:bookmarkEnd w:id="85"/>
    </w:p>
    <w:p w14:paraId="7C79A1E0">
      <w:pPr>
        <w:autoSpaceDE w:val="0"/>
        <w:autoSpaceDN w:val="0"/>
        <w:spacing w:before="120" w:after="120" w:line="360" w:lineRule="auto"/>
        <w:ind w:firstLine="480" w:firstLineChars="200"/>
        <w:jc w:val="left"/>
        <w:rPr>
          <w:rFonts w:hint="default" w:ascii="Times New Roman" w:hAnsi="Times New Roman" w:cs="Times New Roman"/>
          <w:color w:val="auto"/>
          <w:sz w:val="24"/>
        </w:rPr>
      </w:pPr>
      <w:bookmarkStart w:id="86" w:name="_Toc19576"/>
      <w:r>
        <w:rPr>
          <w:rFonts w:hint="default" w:ascii="Times New Roman" w:hAnsi="Times New Roman" w:cs="Times New Roman"/>
          <w:color w:val="auto"/>
          <w:sz w:val="24"/>
          <w:lang w:val="en-US" w:eastAsia="zh-CN"/>
        </w:rPr>
        <w:t>xxx车间整栋建筑</w:t>
      </w:r>
      <w:r>
        <w:rPr>
          <w:rFonts w:hint="default" w:ascii="Times New Roman" w:hAnsi="Times New Roman" w:cs="Times New Roman"/>
          <w:color w:val="auto"/>
          <w:sz w:val="24"/>
        </w:rPr>
        <w:t>。</w:t>
      </w:r>
    </w:p>
    <w:p w14:paraId="170B2853">
      <w:pPr>
        <w:bidi w:val="0"/>
        <w:rPr>
          <w:rFonts w:hint="default"/>
          <w:b/>
          <w:bCs/>
          <w:color w:val="auto"/>
          <w:sz w:val="32"/>
          <w:szCs w:val="32"/>
          <w:lang w:val="en-US" w:eastAsia="zh-CN"/>
        </w:rPr>
      </w:pPr>
      <w:bookmarkStart w:id="87" w:name="_Toc18156"/>
      <w:bookmarkStart w:id="88" w:name="_Toc30330"/>
      <w:bookmarkStart w:id="89" w:name="_Toc23752"/>
      <w:r>
        <w:rPr>
          <w:rFonts w:hint="default"/>
          <w:b/>
          <w:bCs/>
          <w:color w:val="auto"/>
          <w:sz w:val="32"/>
          <w:szCs w:val="32"/>
          <w:lang w:val="en-US" w:eastAsia="zh-CN"/>
        </w:rPr>
        <w:t>四、</w:t>
      </w:r>
      <w:bookmarkEnd w:id="86"/>
      <w:r>
        <w:rPr>
          <w:rFonts w:hint="default"/>
          <w:b/>
          <w:bCs/>
          <w:color w:val="auto"/>
          <w:sz w:val="32"/>
          <w:szCs w:val="32"/>
          <w:lang w:val="en-US" w:eastAsia="zh-CN"/>
        </w:rPr>
        <w:t>检测鉴定内容</w:t>
      </w:r>
      <w:bookmarkEnd w:id="87"/>
      <w:bookmarkEnd w:id="88"/>
      <w:bookmarkEnd w:id="89"/>
    </w:p>
    <w:p w14:paraId="7F59C416">
      <w:pPr>
        <w:autoSpaceDE w:val="0"/>
        <w:autoSpaceDN w:val="0"/>
        <w:spacing w:before="120" w:after="120" w:line="360" w:lineRule="auto"/>
        <w:ind w:firstLine="480" w:firstLineChars="200"/>
        <w:jc w:val="left"/>
        <w:rPr>
          <w:rFonts w:hint="default" w:ascii="Times New Roman" w:hAnsi="Times New Roman" w:cs="Times New Roman"/>
          <w:color w:val="auto"/>
          <w:sz w:val="24"/>
        </w:rPr>
      </w:pPr>
      <w:bookmarkStart w:id="90" w:name="_Toc38804260"/>
      <w:bookmarkStart w:id="91" w:name="_Toc7510"/>
      <w:r>
        <w:rPr>
          <w:rFonts w:hint="default" w:ascii="Times New Roman" w:hAnsi="Times New Roman" w:cs="Times New Roman"/>
          <w:color w:val="auto"/>
          <w:sz w:val="24"/>
        </w:rPr>
        <w:t>根据该建筑结构特点和本工程的实际情况，本工程检测、鉴定主要包括以下内容：</w:t>
      </w:r>
    </w:p>
    <w:p w14:paraId="4659242B">
      <w:pPr>
        <w:autoSpaceDE w:val="0"/>
        <w:autoSpaceDN w:val="0"/>
        <w:spacing w:before="120" w:after="120"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1、建筑结构布置情况调查；</w:t>
      </w:r>
    </w:p>
    <w:p w14:paraId="706C41EB">
      <w:pPr>
        <w:autoSpaceDE w:val="0"/>
        <w:autoSpaceDN w:val="0"/>
        <w:spacing w:before="120" w:after="120"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2、建筑轴网尺寸及构件截面尺寸复核；</w:t>
      </w:r>
    </w:p>
    <w:p w14:paraId="0B4DE18D">
      <w:pPr>
        <w:autoSpaceDE w:val="0"/>
        <w:autoSpaceDN w:val="0"/>
        <w:spacing w:before="120" w:after="120"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3、建筑结构损伤及外观缺陷普查；</w:t>
      </w:r>
    </w:p>
    <w:p w14:paraId="08F5C47D">
      <w:pPr>
        <w:autoSpaceDE w:val="0"/>
        <w:autoSpaceDN w:val="0"/>
        <w:spacing w:before="120" w:after="120"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4、钢材里氏硬度检测；</w:t>
      </w:r>
    </w:p>
    <w:p w14:paraId="27FE1ADB">
      <w:pPr>
        <w:autoSpaceDE w:val="0"/>
        <w:autoSpaceDN w:val="0"/>
        <w:spacing w:before="120" w:after="120"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5、防腐涂层厚度检测；</w:t>
      </w:r>
    </w:p>
    <w:p w14:paraId="007A7F5A">
      <w:pPr>
        <w:autoSpaceDE w:val="0"/>
        <w:autoSpaceDN w:val="0"/>
        <w:spacing w:before="120" w:after="120"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6、钢柱垂直度检测；</w:t>
      </w:r>
    </w:p>
    <w:p w14:paraId="0BA88FCF">
      <w:pPr>
        <w:autoSpaceDE w:val="0"/>
        <w:autoSpaceDN w:val="0"/>
        <w:spacing w:before="120" w:after="120"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7、钢梁挠度检测；</w:t>
      </w:r>
    </w:p>
    <w:p w14:paraId="27E20A78">
      <w:pPr>
        <w:autoSpaceDE w:val="0"/>
        <w:autoSpaceDN w:val="0"/>
        <w:spacing w:before="120" w:after="120"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8、结构承载力验算；</w:t>
      </w:r>
    </w:p>
    <w:p w14:paraId="366FB240">
      <w:pPr>
        <w:autoSpaceDE w:val="0"/>
        <w:autoSpaceDN w:val="0"/>
        <w:spacing w:before="120" w:after="120" w:line="360" w:lineRule="auto"/>
        <w:ind w:firstLine="480" w:firstLineChars="200"/>
        <w:jc w:val="left"/>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rPr>
        <w:t>9、结构可靠性鉴定</w:t>
      </w:r>
      <w:r>
        <w:rPr>
          <w:rFonts w:hint="default" w:ascii="Times New Roman" w:hAnsi="Times New Roman" w:cs="Times New Roman"/>
          <w:color w:val="auto"/>
          <w:sz w:val="24"/>
          <w:lang w:eastAsia="zh-CN"/>
        </w:rPr>
        <w:t>；</w:t>
      </w:r>
    </w:p>
    <w:p w14:paraId="5B1CB704">
      <w:pPr>
        <w:autoSpaceDE w:val="0"/>
        <w:autoSpaceDN w:val="0"/>
        <w:spacing w:before="120" w:after="120"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10、结构抗震鉴定。</w:t>
      </w:r>
    </w:p>
    <w:p w14:paraId="542678BD">
      <w:pPr>
        <w:bidi w:val="0"/>
        <w:rPr>
          <w:rFonts w:hint="default"/>
          <w:b/>
          <w:bCs/>
          <w:color w:val="auto"/>
          <w:sz w:val="32"/>
          <w:szCs w:val="32"/>
          <w:lang w:val="en-US" w:eastAsia="zh-CN"/>
        </w:rPr>
      </w:pPr>
      <w:bookmarkStart w:id="92" w:name="_Toc19598"/>
      <w:bookmarkStart w:id="93" w:name="_Toc1935"/>
      <w:bookmarkStart w:id="94" w:name="_Toc29018"/>
      <w:r>
        <w:rPr>
          <w:rFonts w:hint="default"/>
          <w:b/>
          <w:bCs/>
          <w:color w:val="auto"/>
          <w:sz w:val="32"/>
          <w:szCs w:val="32"/>
          <w:lang w:val="en-US" w:eastAsia="zh-CN"/>
        </w:rPr>
        <w:t>五、检测、鉴定依据</w:t>
      </w:r>
      <w:bookmarkEnd w:id="90"/>
      <w:bookmarkEnd w:id="91"/>
      <w:bookmarkEnd w:id="92"/>
      <w:bookmarkEnd w:id="93"/>
      <w:bookmarkEnd w:id="94"/>
    </w:p>
    <w:p w14:paraId="7C498352">
      <w:pPr>
        <w:bidi w:val="0"/>
        <w:rPr>
          <w:rFonts w:hint="default" w:ascii="Times New Roman" w:hAnsi="Times New Roman" w:eastAsia="宋体" w:cs="Times New Roman"/>
          <w:b/>
          <w:bCs/>
          <w:color w:val="auto"/>
          <w:kern w:val="2"/>
          <w:sz w:val="28"/>
          <w:szCs w:val="28"/>
          <w:lang w:val="en-US" w:eastAsia="zh-CN" w:bidi="ar-SA"/>
        </w:rPr>
      </w:pPr>
      <w:bookmarkStart w:id="95" w:name="_Toc141107555"/>
      <w:bookmarkStart w:id="96" w:name="_Toc141257778"/>
      <w:bookmarkStart w:id="97" w:name="_Toc141349633"/>
      <w:bookmarkStart w:id="98" w:name="_Toc141107145"/>
      <w:r>
        <w:rPr>
          <w:rFonts w:hint="default" w:ascii="Times New Roman" w:hAnsi="Times New Roman" w:eastAsia="宋体" w:cs="Times New Roman"/>
          <w:b/>
          <w:bCs/>
          <w:color w:val="auto"/>
          <w:kern w:val="2"/>
          <w:sz w:val="28"/>
          <w:szCs w:val="28"/>
          <w:lang w:val="en-US" w:eastAsia="zh-CN" w:bidi="ar-SA"/>
        </w:rPr>
        <w:t>5.1 检测依据</w:t>
      </w:r>
      <w:bookmarkEnd w:id="95"/>
      <w:bookmarkEnd w:id="96"/>
      <w:bookmarkEnd w:id="97"/>
      <w:bookmarkEnd w:id="98"/>
    </w:p>
    <w:p w14:paraId="74C14976">
      <w:pPr>
        <w:keepNext w:val="0"/>
        <w:keepLines w:val="0"/>
        <w:pageBreakBefore w:val="0"/>
        <w:widowControl w:val="0"/>
        <w:kinsoku/>
        <w:wordWrap/>
        <w:overflowPunct/>
        <w:topLinePunct w:val="0"/>
        <w:autoSpaceDE w:val="0"/>
        <w:autoSpaceDN w:val="0"/>
        <w:bidi w:val="0"/>
        <w:spacing w:before="120" w:after="120" w:line="360" w:lineRule="auto"/>
        <w:ind w:firstLine="480" w:firstLineChars="200"/>
        <w:jc w:val="left"/>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1、《建筑结构检测技术标准》（GB/T 50344－2019）；</w:t>
      </w:r>
    </w:p>
    <w:p w14:paraId="15A42578">
      <w:pPr>
        <w:keepNext w:val="0"/>
        <w:keepLines w:val="0"/>
        <w:pageBreakBefore w:val="0"/>
        <w:widowControl w:val="0"/>
        <w:kinsoku/>
        <w:wordWrap/>
        <w:overflowPunct/>
        <w:topLinePunct w:val="0"/>
        <w:autoSpaceDE w:val="0"/>
        <w:autoSpaceDN w:val="0"/>
        <w:bidi w:val="0"/>
        <w:spacing w:before="120" w:after="120" w:line="360" w:lineRule="auto"/>
        <w:ind w:firstLine="480" w:firstLineChars="200"/>
        <w:jc w:val="left"/>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2、《钢结构现场检测技术标准》（GB/T 50621-2010）；</w:t>
      </w:r>
    </w:p>
    <w:p w14:paraId="29382ACA">
      <w:pPr>
        <w:keepNext w:val="0"/>
        <w:keepLines w:val="0"/>
        <w:pageBreakBefore w:val="0"/>
        <w:widowControl w:val="0"/>
        <w:kinsoku/>
        <w:wordWrap/>
        <w:overflowPunct/>
        <w:topLinePunct w:val="0"/>
        <w:autoSpaceDE w:val="0"/>
        <w:autoSpaceDN w:val="0"/>
        <w:bidi w:val="0"/>
        <w:spacing w:before="120" w:after="120" w:line="360" w:lineRule="auto"/>
        <w:ind w:firstLine="480" w:firstLineChars="200"/>
        <w:jc w:val="left"/>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3、《钢结构工程施工质量验收标准》（GB 50205-2020）；</w:t>
      </w:r>
    </w:p>
    <w:p w14:paraId="53CFB001">
      <w:pPr>
        <w:keepNext w:val="0"/>
        <w:keepLines w:val="0"/>
        <w:pageBreakBefore w:val="0"/>
        <w:widowControl w:val="0"/>
        <w:kinsoku/>
        <w:wordWrap/>
        <w:overflowPunct/>
        <w:topLinePunct w:val="0"/>
        <w:autoSpaceDE w:val="0"/>
        <w:autoSpaceDN w:val="0"/>
        <w:bidi w:val="0"/>
        <w:spacing w:before="120" w:after="120" w:line="360" w:lineRule="auto"/>
        <w:ind w:firstLine="480" w:firstLineChars="200"/>
        <w:jc w:val="left"/>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4、《建筑变形测量规范》（JGJ 8-2016）；</w:t>
      </w:r>
    </w:p>
    <w:p w14:paraId="0308B357">
      <w:pPr>
        <w:keepNext w:val="0"/>
        <w:keepLines w:val="0"/>
        <w:pageBreakBefore w:val="0"/>
        <w:widowControl w:val="0"/>
        <w:kinsoku/>
        <w:wordWrap/>
        <w:overflowPunct/>
        <w:topLinePunct w:val="0"/>
        <w:autoSpaceDE w:val="0"/>
        <w:autoSpaceDN w:val="0"/>
        <w:bidi w:val="0"/>
        <w:spacing w:before="120" w:after="120" w:line="360" w:lineRule="auto"/>
        <w:ind w:firstLine="480" w:firstLineChars="200"/>
        <w:jc w:val="left"/>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5、《金属材料里氏硬度试验 第1部分：试验方法》（GB/T 17394.1-2014）；</w:t>
      </w:r>
    </w:p>
    <w:p w14:paraId="52B6BD8B">
      <w:pPr>
        <w:keepNext w:val="0"/>
        <w:keepLines w:val="0"/>
        <w:pageBreakBefore w:val="0"/>
        <w:widowControl w:val="0"/>
        <w:kinsoku/>
        <w:wordWrap/>
        <w:overflowPunct/>
        <w:topLinePunct w:val="0"/>
        <w:autoSpaceDE w:val="0"/>
        <w:autoSpaceDN w:val="0"/>
        <w:bidi w:val="0"/>
        <w:spacing w:before="120" w:after="120" w:line="360" w:lineRule="auto"/>
        <w:ind w:firstLine="480" w:firstLineChars="200"/>
        <w:jc w:val="left"/>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6、 《金属材料里氏硬度试验 第4部分：硬度值换算表》(GB/T 17394.4-2014)。</w:t>
      </w:r>
    </w:p>
    <w:p w14:paraId="3505DCC5">
      <w:pPr>
        <w:bidi w:val="0"/>
        <w:rPr>
          <w:rFonts w:hint="default" w:ascii="Times New Roman" w:hAnsi="Times New Roman" w:eastAsia="宋体" w:cs="Times New Roman"/>
          <w:b/>
          <w:bCs/>
          <w:color w:val="auto"/>
          <w:kern w:val="2"/>
          <w:sz w:val="28"/>
          <w:szCs w:val="28"/>
          <w:lang w:val="en-US" w:eastAsia="zh-CN" w:bidi="ar-SA"/>
        </w:rPr>
      </w:pPr>
      <w:bookmarkStart w:id="99" w:name="_Toc141257779"/>
      <w:bookmarkStart w:id="100" w:name="_Toc141107146"/>
      <w:bookmarkStart w:id="101" w:name="_Toc141349634"/>
      <w:bookmarkStart w:id="102" w:name="_Toc141107556"/>
      <w:r>
        <w:rPr>
          <w:rFonts w:hint="default" w:ascii="Times New Roman" w:hAnsi="Times New Roman" w:eastAsia="宋体" w:cs="Times New Roman"/>
          <w:b/>
          <w:bCs/>
          <w:color w:val="auto"/>
          <w:kern w:val="2"/>
          <w:sz w:val="28"/>
          <w:szCs w:val="28"/>
          <w:lang w:val="en-US" w:eastAsia="zh-CN" w:bidi="ar-SA"/>
        </w:rPr>
        <w:t>5.2 鉴定依据</w:t>
      </w:r>
      <w:bookmarkEnd w:id="99"/>
      <w:bookmarkEnd w:id="100"/>
      <w:bookmarkEnd w:id="101"/>
      <w:bookmarkEnd w:id="102"/>
    </w:p>
    <w:p w14:paraId="6C91703C">
      <w:pPr>
        <w:pStyle w:val="11"/>
        <w:keepNext w:val="0"/>
        <w:keepLines w:val="0"/>
        <w:pageBreakBefore w:val="0"/>
        <w:widowControl w:val="0"/>
        <w:kinsoku/>
        <w:wordWrap/>
        <w:overflowPunct/>
        <w:topLinePunct w:val="0"/>
        <w:bidi w:val="0"/>
        <w:spacing w:before="120" w:after="120" w:line="360" w:lineRule="auto"/>
        <w:ind w:firstLine="48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1、《工业建筑可靠性鉴定标准》（GB 50144-2019）；</w:t>
      </w:r>
    </w:p>
    <w:p w14:paraId="3E749D36">
      <w:pPr>
        <w:pStyle w:val="11"/>
        <w:keepNext w:val="0"/>
        <w:keepLines w:val="0"/>
        <w:pageBreakBefore w:val="0"/>
        <w:widowControl w:val="0"/>
        <w:kinsoku/>
        <w:wordWrap/>
        <w:overflowPunct/>
        <w:topLinePunct w:val="0"/>
        <w:bidi w:val="0"/>
        <w:spacing w:before="120" w:after="120" w:line="360" w:lineRule="auto"/>
        <w:ind w:firstLine="48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2、《既有建筑鉴定与加固通用规范》(GB 55021-2021)；</w:t>
      </w:r>
    </w:p>
    <w:p w14:paraId="2A4A14C8">
      <w:pPr>
        <w:pStyle w:val="11"/>
        <w:keepNext w:val="0"/>
        <w:keepLines w:val="0"/>
        <w:pageBreakBefore w:val="0"/>
        <w:widowControl w:val="0"/>
        <w:kinsoku/>
        <w:wordWrap/>
        <w:overflowPunct/>
        <w:topLinePunct w:val="0"/>
        <w:bidi w:val="0"/>
        <w:spacing w:before="120" w:after="120" w:line="360" w:lineRule="auto"/>
        <w:ind w:firstLine="48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3、《门式刚架轻型房屋钢结构技术规范》（GB 51022-2015）；</w:t>
      </w:r>
    </w:p>
    <w:p w14:paraId="6D493825">
      <w:pPr>
        <w:pStyle w:val="11"/>
        <w:keepNext w:val="0"/>
        <w:keepLines w:val="0"/>
        <w:pageBreakBefore w:val="0"/>
        <w:widowControl w:val="0"/>
        <w:kinsoku/>
        <w:wordWrap/>
        <w:overflowPunct/>
        <w:topLinePunct w:val="0"/>
        <w:bidi w:val="0"/>
        <w:spacing w:before="120" w:after="120" w:line="360" w:lineRule="auto"/>
        <w:ind w:firstLine="48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4、《建筑地基基础设计规范》（GB 50007-2011）；</w:t>
      </w:r>
    </w:p>
    <w:p w14:paraId="744975CE">
      <w:pPr>
        <w:pStyle w:val="11"/>
        <w:keepNext w:val="0"/>
        <w:keepLines w:val="0"/>
        <w:pageBreakBefore w:val="0"/>
        <w:widowControl w:val="0"/>
        <w:kinsoku/>
        <w:wordWrap/>
        <w:overflowPunct/>
        <w:topLinePunct w:val="0"/>
        <w:bidi w:val="0"/>
        <w:spacing w:before="120" w:after="120" w:line="360" w:lineRule="auto"/>
        <w:ind w:firstLine="48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 xml:space="preserve">5、《钢结构设计标准》（GB 50017-2017）； </w:t>
      </w:r>
    </w:p>
    <w:p w14:paraId="12DF869E">
      <w:pPr>
        <w:pStyle w:val="11"/>
        <w:keepNext w:val="0"/>
        <w:keepLines w:val="0"/>
        <w:pageBreakBefore w:val="0"/>
        <w:widowControl w:val="0"/>
        <w:kinsoku/>
        <w:wordWrap/>
        <w:overflowPunct/>
        <w:topLinePunct w:val="0"/>
        <w:bidi w:val="0"/>
        <w:spacing w:before="120" w:after="120" w:line="360" w:lineRule="auto"/>
        <w:ind w:firstLine="48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6、《工程结构通用规范》（GB 55001-2021）；</w:t>
      </w:r>
    </w:p>
    <w:p w14:paraId="7A8B85C3">
      <w:pPr>
        <w:pStyle w:val="11"/>
        <w:keepNext w:val="0"/>
        <w:keepLines w:val="0"/>
        <w:pageBreakBefore w:val="0"/>
        <w:widowControl w:val="0"/>
        <w:kinsoku/>
        <w:wordWrap/>
        <w:overflowPunct/>
        <w:topLinePunct w:val="0"/>
        <w:bidi w:val="0"/>
        <w:spacing w:before="120" w:after="120" w:line="360" w:lineRule="auto"/>
        <w:ind w:firstLine="48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7、《建筑抗震设计标准》（GB</w:t>
      </w:r>
      <w:r>
        <w:rPr>
          <w:rFonts w:hint="default" w:ascii="Times New Roman" w:hAnsi="Times New Roman" w:cs="Times New Roman"/>
          <w:color w:val="auto"/>
          <w:kern w:val="2"/>
          <w:sz w:val="24"/>
          <w:szCs w:val="24"/>
          <w:lang w:val="en-US" w:eastAsia="zh-CN" w:bidi="ar-SA"/>
        </w:rPr>
        <w:t xml:space="preserve">/T </w:t>
      </w:r>
      <w:r>
        <w:rPr>
          <w:rFonts w:hint="default" w:ascii="Times New Roman" w:hAnsi="Times New Roman" w:eastAsia="宋体" w:cs="Times New Roman"/>
          <w:color w:val="auto"/>
          <w:kern w:val="2"/>
          <w:sz w:val="24"/>
          <w:szCs w:val="24"/>
          <w:lang w:val="en-US" w:eastAsia="zh-CN" w:bidi="ar-SA"/>
        </w:rPr>
        <w:t>50011-2010）；</w:t>
      </w:r>
    </w:p>
    <w:p w14:paraId="466F0A10">
      <w:pPr>
        <w:pStyle w:val="11"/>
        <w:keepNext w:val="0"/>
        <w:keepLines w:val="0"/>
        <w:pageBreakBefore w:val="0"/>
        <w:widowControl w:val="0"/>
        <w:kinsoku/>
        <w:wordWrap/>
        <w:overflowPunct/>
        <w:topLinePunct w:val="0"/>
        <w:bidi w:val="0"/>
        <w:spacing w:before="120" w:after="120" w:line="360" w:lineRule="auto"/>
        <w:ind w:firstLine="48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8、《建筑工程抗震设防分类标准》（GB 50223-2008）；</w:t>
      </w:r>
    </w:p>
    <w:p w14:paraId="7EB7184A">
      <w:pPr>
        <w:pStyle w:val="11"/>
        <w:keepNext w:val="0"/>
        <w:keepLines w:val="0"/>
        <w:pageBreakBefore w:val="0"/>
        <w:widowControl w:val="0"/>
        <w:kinsoku/>
        <w:wordWrap/>
        <w:overflowPunct/>
        <w:topLinePunct w:val="0"/>
        <w:bidi w:val="0"/>
        <w:spacing w:before="120" w:after="120" w:line="360" w:lineRule="auto"/>
        <w:ind w:firstLine="48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9、低合金高强度结构钢（GBT1591-2018）；</w:t>
      </w:r>
    </w:p>
    <w:p w14:paraId="0B1046CA">
      <w:pPr>
        <w:pStyle w:val="11"/>
        <w:keepNext w:val="0"/>
        <w:keepLines w:val="0"/>
        <w:pageBreakBefore w:val="0"/>
        <w:widowControl w:val="0"/>
        <w:kinsoku/>
        <w:wordWrap/>
        <w:overflowPunct/>
        <w:topLinePunct w:val="0"/>
        <w:bidi w:val="0"/>
        <w:spacing w:before="120" w:after="120" w:line="360" w:lineRule="auto"/>
        <w:ind w:firstLine="48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10、《建筑抗震鉴定标准》（GB50023-2009）。</w:t>
      </w:r>
    </w:p>
    <w:p w14:paraId="3797414D">
      <w:pPr>
        <w:bidi w:val="0"/>
        <w:rPr>
          <w:rFonts w:hint="default" w:ascii="Times New Roman" w:hAnsi="Times New Roman" w:eastAsia="宋体" w:cs="Times New Roman"/>
          <w:b/>
          <w:bCs/>
          <w:color w:val="auto"/>
          <w:kern w:val="2"/>
          <w:sz w:val="28"/>
          <w:szCs w:val="28"/>
          <w:lang w:val="en-US" w:eastAsia="zh-CN" w:bidi="ar-SA"/>
        </w:rPr>
      </w:pPr>
      <w:bookmarkStart w:id="103" w:name="_Toc141107147"/>
      <w:bookmarkStart w:id="104" w:name="_Toc141349635"/>
      <w:bookmarkStart w:id="105" w:name="_Toc141107557"/>
      <w:bookmarkStart w:id="106" w:name="_Toc141257780"/>
      <w:r>
        <w:rPr>
          <w:rFonts w:hint="default" w:ascii="Times New Roman" w:hAnsi="Times New Roman" w:eastAsia="宋体" w:cs="Times New Roman"/>
          <w:b/>
          <w:bCs/>
          <w:color w:val="auto"/>
          <w:kern w:val="2"/>
          <w:sz w:val="28"/>
          <w:szCs w:val="28"/>
          <w:lang w:val="en-US" w:eastAsia="zh-CN" w:bidi="ar-SA"/>
        </w:rPr>
        <w:t>5.3</w:t>
      </w:r>
      <w:bookmarkEnd w:id="103"/>
      <w:r>
        <w:rPr>
          <w:rFonts w:hint="default" w:ascii="Times New Roman" w:hAnsi="Times New Roman" w:eastAsia="宋体" w:cs="Times New Roman"/>
          <w:b/>
          <w:bCs/>
          <w:color w:val="auto"/>
          <w:kern w:val="2"/>
          <w:sz w:val="28"/>
          <w:szCs w:val="28"/>
          <w:lang w:val="en-US" w:eastAsia="zh-CN" w:bidi="ar-SA"/>
        </w:rPr>
        <w:t xml:space="preserve"> 其他相关文件</w:t>
      </w:r>
      <w:bookmarkEnd w:id="104"/>
      <w:bookmarkEnd w:id="105"/>
      <w:bookmarkEnd w:id="106"/>
    </w:p>
    <w:p w14:paraId="3394AD79">
      <w:pPr>
        <w:pStyle w:val="11"/>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1、部分结构图纸；</w:t>
      </w:r>
    </w:p>
    <w:p w14:paraId="29925A0A">
      <w:pPr>
        <w:pStyle w:val="11"/>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default" w:ascii="Times New Roman" w:hAnsi="Times New Roman" w:cs="Times New Roman"/>
          <w:color w:val="auto"/>
        </w:rPr>
      </w:pPr>
      <w:r>
        <w:rPr>
          <w:rFonts w:hint="default" w:ascii="Times New Roman" w:hAnsi="Times New Roman" w:eastAsia="宋体" w:cs="Times New Roman"/>
          <w:color w:val="auto"/>
          <w:kern w:val="2"/>
          <w:sz w:val="24"/>
          <w:szCs w:val="24"/>
          <w:lang w:val="en-US" w:eastAsia="zh-CN" w:bidi="ar-SA"/>
        </w:rPr>
        <w:t>2、双方签订的技术服务合同。</w:t>
      </w:r>
    </w:p>
    <w:p w14:paraId="3DCF1528">
      <w:pPr>
        <w:bidi w:val="0"/>
        <w:rPr>
          <w:rFonts w:hint="default"/>
          <w:b/>
          <w:bCs/>
          <w:color w:val="auto"/>
          <w:sz w:val="32"/>
          <w:szCs w:val="32"/>
          <w:lang w:val="en-US" w:eastAsia="zh-CN"/>
        </w:rPr>
      </w:pPr>
      <w:bookmarkStart w:id="107" w:name="_Toc2271"/>
      <w:bookmarkStart w:id="108" w:name="_Toc4725"/>
      <w:bookmarkStart w:id="109" w:name="_Toc32764"/>
      <w:r>
        <w:rPr>
          <w:rFonts w:hint="default"/>
          <w:b/>
          <w:bCs/>
          <w:color w:val="auto"/>
          <w:sz w:val="32"/>
          <w:szCs w:val="32"/>
          <w:lang w:val="en-US" w:eastAsia="zh-CN"/>
        </w:rPr>
        <w:t>六、检测鉴定程序</w:t>
      </w:r>
      <w:bookmarkEnd w:id="107"/>
      <w:bookmarkEnd w:id="108"/>
      <w:bookmarkEnd w:id="109"/>
    </w:p>
    <w:p w14:paraId="63CCC56E">
      <w:pPr>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drawing>
          <wp:inline distT="0" distB="0" distL="0" distR="0">
            <wp:extent cx="3195955" cy="3610610"/>
            <wp:effectExtent l="0" t="0" r="4445" b="8890"/>
            <wp:docPr id="4" name="图片 4" descr="C:\Users\yingc\Desktop\QQ截图201911280957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yingc\Desktop\QQ截图20191128095754.png"/>
                    <pic:cNvPicPr>
                      <a:picLocks noChangeAspect="1" noChangeArrowheads="1"/>
                    </pic:cNvPicPr>
                  </pic:nvPicPr>
                  <pic:blipFill>
                    <a:blip r:embed="rId15">
                      <a:extLst>
                        <a:ext uri="{28A0092B-C50C-407E-A947-70E740481C1C}">
                          <a14:useLocalDpi xmlns:a14="http://schemas.microsoft.com/office/drawing/2010/main" val="0"/>
                        </a:ext>
                      </a:extLst>
                    </a:blip>
                    <a:srcRect r="9232"/>
                    <a:stretch>
                      <a:fillRect/>
                    </a:stretch>
                  </pic:blipFill>
                  <pic:spPr>
                    <a:xfrm>
                      <a:off x="0" y="0"/>
                      <a:ext cx="3195955" cy="3610610"/>
                    </a:xfrm>
                    <a:prstGeom prst="rect">
                      <a:avLst/>
                    </a:prstGeom>
                    <a:noFill/>
                    <a:ln>
                      <a:noFill/>
                    </a:ln>
                  </pic:spPr>
                </pic:pic>
              </a:graphicData>
            </a:graphic>
          </wp:inline>
        </w:drawing>
      </w:r>
    </w:p>
    <w:p w14:paraId="3CD4E9F5">
      <w:pPr>
        <w:bidi w:val="0"/>
        <w:rPr>
          <w:rFonts w:hint="default"/>
          <w:b/>
          <w:bCs/>
          <w:color w:val="auto"/>
          <w:sz w:val="32"/>
          <w:szCs w:val="32"/>
          <w:lang w:val="en-US" w:eastAsia="zh-CN"/>
        </w:rPr>
      </w:pPr>
      <w:bookmarkStart w:id="110" w:name="_Toc1079"/>
      <w:bookmarkStart w:id="111" w:name="_Toc30468"/>
      <w:bookmarkStart w:id="112" w:name="_Toc31344"/>
      <w:bookmarkStart w:id="113" w:name="_Toc13631"/>
      <w:r>
        <w:rPr>
          <w:rFonts w:hint="default"/>
          <w:b/>
          <w:bCs/>
          <w:color w:val="auto"/>
          <w:sz w:val="32"/>
          <w:szCs w:val="32"/>
          <w:lang w:val="en-US" w:eastAsia="zh-CN"/>
        </w:rPr>
        <w:t>七、</w:t>
      </w:r>
      <w:bookmarkEnd w:id="110"/>
      <w:r>
        <w:rPr>
          <w:rFonts w:hint="default"/>
          <w:b/>
          <w:bCs/>
          <w:color w:val="auto"/>
          <w:sz w:val="32"/>
          <w:szCs w:val="32"/>
          <w:lang w:val="en-US" w:eastAsia="zh-CN"/>
        </w:rPr>
        <w:t>检测方法及实施</w:t>
      </w:r>
      <w:bookmarkEnd w:id="111"/>
      <w:bookmarkEnd w:id="112"/>
      <w:bookmarkEnd w:id="113"/>
    </w:p>
    <w:p w14:paraId="1D316921">
      <w:pPr>
        <w:bidi w:val="0"/>
        <w:rPr>
          <w:rFonts w:hint="default" w:ascii="Times New Roman" w:hAnsi="Times New Roman" w:eastAsia="宋体" w:cs="Times New Roman"/>
          <w:b/>
          <w:bCs/>
          <w:color w:val="auto"/>
          <w:kern w:val="2"/>
          <w:sz w:val="28"/>
          <w:szCs w:val="28"/>
          <w:lang w:val="en-US" w:eastAsia="zh-CN" w:bidi="ar-SA"/>
        </w:rPr>
      </w:pPr>
      <w:bookmarkStart w:id="114" w:name="_Toc17077"/>
      <w:r>
        <w:rPr>
          <w:rFonts w:hint="default" w:ascii="Times New Roman" w:hAnsi="Times New Roman" w:eastAsia="宋体" w:cs="Times New Roman"/>
          <w:b/>
          <w:bCs/>
          <w:color w:val="auto"/>
          <w:kern w:val="2"/>
          <w:sz w:val="28"/>
          <w:szCs w:val="28"/>
          <w:lang w:val="en-US" w:eastAsia="zh-CN" w:bidi="ar-SA"/>
        </w:rPr>
        <w:t xml:space="preserve">7.1、原始图纸、竣工资料等调查 </w:t>
      </w:r>
    </w:p>
    <w:p w14:paraId="43B3E1AE">
      <w:pPr>
        <w:pStyle w:val="11"/>
        <w:keepNext w:val="0"/>
        <w:keepLines w:val="0"/>
        <w:pageBreakBefore w:val="0"/>
        <w:widowControl w:val="0"/>
        <w:kinsoku/>
        <w:wordWrap/>
        <w:overflowPunct/>
        <w:topLinePunct w:val="0"/>
        <w:bidi w:val="0"/>
        <w:spacing w:before="120" w:after="120" w:line="360" w:lineRule="auto"/>
        <w:ind w:firstLine="48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查阅图纸及相关资料，包括厂房建筑的原建施图、结施图、设计变更、地勘报告、施工资料、验收资料、竣工资料等。</w:t>
      </w:r>
    </w:p>
    <w:p w14:paraId="5C57CBBE">
      <w:pPr>
        <w:bidi w:val="0"/>
        <w:rPr>
          <w:rFonts w:hint="default" w:ascii="Times New Roman" w:hAnsi="Times New Roman" w:eastAsia="宋体" w:cs="Times New Roman"/>
          <w:b/>
          <w:bCs/>
          <w:color w:val="auto"/>
          <w:kern w:val="2"/>
          <w:sz w:val="28"/>
          <w:szCs w:val="28"/>
          <w:lang w:val="en-US" w:eastAsia="zh-CN" w:bidi="ar-SA"/>
        </w:rPr>
      </w:pPr>
      <w:r>
        <w:rPr>
          <w:rFonts w:hint="default" w:ascii="Times New Roman" w:hAnsi="Times New Roman" w:eastAsia="宋体" w:cs="Times New Roman"/>
          <w:b/>
          <w:bCs/>
          <w:color w:val="auto"/>
          <w:kern w:val="2"/>
          <w:sz w:val="28"/>
          <w:szCs w:val="28"/>
          <w:lang w:val="en-US" w:eastAsia="zh-CN" w:bidi="ar-SA"/>
        </w:rPr>
        <w:t>7.2、工程概况及使用功能调查</w:t>
      </w:r>
    </w:p>
    <w:p w14:paraId="1B23FE22">
      <w:pPr>
        <w:pStyle w:val="11"/>
        <w:keepNext w:val="0"/>
        <w:keepLines w:val="0"/>
        <w:pageBreakBefore w:val="0"/>
        <w:widowControl w:val="0"/>
        <w:kinsoku/>
        <w:wordWrap/>
        <w:overflowPunct/>
        <w:topLinePunct w:val="0"/>
        <w:bidi w:val="0"/>
        <w:spacing w:before="120" w:after="120" w:line="360" w:lineRule="auto"/>
        <w:ind w:firstLine="48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包括厂房的基本结构形式、建筑面积、基础形式、围护结构、设计单位、建成年代、抗震设防烈度、抗震等级、周边环境调查等。调查厂房建筑的现状使用功能，核查其使用功能是否发生改变。</w:t>
      </w:r>
    </w:p>
    <w:p w14:paraId="59FFD8E3">
      <w:pPr>
        <w:pStyle w:val="35"/>
        <w:ind w:left="0" w:leftChars="0" w:firstLine="0" w:firstLineChars="0"/>
        <w:rPr>
          <w:rFonts w:hint="default" w:ascii="Times New Roman" w:hAnsi="Times New Roman" w:eastAsia="宋体" w:cs="Times New Roman"/>
          <w:b/>
          <w:bCs/>
          <w:color w:val="auto"/>
          <w:kern w:val="2"/>
          <w:sz w:val="28"/>
          <w:szCs w:val="28"/>
          <w:lang w:val="en-US" w:eastAsia="zh-CN" w:bidi="ar-SA"/>
        </w:rPr>
      </w:pPr>
      <w:r>
        <w:rPr>
          <w:rFonts w:hint="default" w:ascii="Times New Roman" w:hAnsi="Times New Roman" w:eastAsia="宋体" w:cs="Times New Roman"/>
          <w:b/>
          <w:bCs/>
          <w:color w:val="auto"/>
          <w:kern w:val="2"/>
          <w:sz w:val="28"/>
          <w:szCs w:val="28"/>
          <w:lang w:val="en-US" w:eastAsia="zh-CN" w:bidi="ar-SA"/>
        </w:rPr>
        <w:t>7.3、轴网尺寸及构件截面尺寸复核</w:t>
      </w:r>
    </w:p>
    <w:p w14:paraId="1777C9E9">
      <w:pPr>
        <w:spacing w:line="360" w:lineRule="auto"/>
        <w:ind w:firstLine="480" w:firstLineChars="200"/>
        <w:rPr>
          <w:rFonts w:hint="default" w:ascii="Times New Roman" w:hAnsi="Times New Roman" w:cs="Times New Roman"/>
          <w:color w:val="auto"/>
        </w:rPr>
      </w:pPr>
      <w:r>
        <w:rPr>
          <w:rFonts w:hint="default" w:ascii="Times New Roman" w:hAnsi="Times New Roman" w:eastAsia="宋体" w:cs="Times New Roman"/>
          <w:color w:val="auto"/>
          <w:kern w:val="2"/>
          <w:sz w:val="24"/>
          <w:szCs w:val="24"/>
          <w:lang w:val="en-US" w:eastAsia="zh-CN" w:bidi="ar-SA"/>
        </w:rPr>
        <w:t>现场采用激光测距仪及钢卷尺对该厂房的轴网尺寸及构件截面尺寸进行抽样检测，并与设计图纸进行对比，检测方法与尺寸偏差允许值应按《钢结构工程施工质量验收规范》（GB/T50205-2020）确定。</w:t>
      </w:r>
      <w:r>
        <w:rPr>
          <w:rFonts w:hint="default" w:ascii="Times New Roman" w:hAnsi="Times New Roman" w:eastAsia="宋体" w:cs="Times New Roman"/>
          <w:b/>
          <w:bCs/>
          <w:color w:val="auto"/>
          <w:kern w:val="2"/>
          <w:sz w:val="24"/>
          <w:szCs w:val="24"/>
          <w:lang w:val="en-US" w:eastAsia="zh-CN" w:bidi="ar-SA"/>
        </w:rPr>
        <w:t>抽检数量不少于《建筑结构检测技术标准》（GB/T 50344</w:t>
      </w:r>
      <w:r>
        <w:rPr>
          <w:rFonts w:hint="eastAsia" w:ascii="Times New Roman" w:hAnsi="Times New Roman" w:eastAsia="宋体" w:cs="Times New Roman"/>
          <w:b/>
          <w:bCs/>
          <w:color w:val="auto"/>
          <w:kern w:val="2"/>
          <w:sz w:val="24"/>
          <w:szCs w:val="24"/>
          <w:lang w:val="en-US" w:eastAsia="zh-CN" w:bidi="ar-SA"/>
        </w:rPr>
        <w:t>-</w:t>
      </w:r>
      <w:r>
        <w:rPr>
          <w:rFonts w:hint="default" w:ascii="Times New Roman" w:hAnsi="Times New Roman" w:eastAsia="宋体" w:cs="Times New Roman"/>
          <w:b/>
          <w:bCs/>
          <w:color w:val="auto"/>
          <w:kern w:val="2"/>
          <w:sz w:val="24"/>
          <w:szCs w:val="24"/>
          <w:lang w:val="en-US" w:eastAsia="zh-CN" w:bidi="ar-SA"/>
        </w:rPr>
        <w:t>2019）中规定的检验批最小样本容量的要求（见表</w:t>
      </w:r>
      <w:r>
        <w:rPr>
          <w:rFonts w:hint="eastAsia" w:ascii="Times New Roman" w:hAnsi="Times New Roman" w:eastAsia="宋体" w:cs="Times New Roman"/>
          <w:b/>
          <w:bCs/>
          <w:color w:val="auto"/>
          <w:kern w:val="2"/>
          <w:sz w:val="24"/>
          <w:szCs w:val="24"/>
          <w:lang w:val="en-US" w:eastAsia="zh-CN" w:bidi="ar-SA"/>
        </w:rPr>
        <w:t>7.3.1</w:t>
      </w:r>
      <w:r>
        <w:rPr>
          <w:rFonts w:hint="default" w:ascii="Times New Roman" w:hAnsi="Times New Roman" w:eastAsia="宋体" w:cs="Times New Roman"/>
          <w:b/>
          <w:bCs/>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w:t>
      </w:r>
    </w:p>
    <w:p w14:paraId="2D886B0E">
      <w:pPr>
        <w:pStyle w:val="7"/>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表7.3.1</w:t>
      </w:r>
      <w:r>
        <w:rPr>
          <w:rFonts w:hint="eastAsia" w:ascii="Times New Roman" w:hAnsi="Times New Roman" w:cs="Times New Roman"/>
          <w:b/>
          <w:bCs/>
          <w:color w:val="auto"/>
          <w:lang w:val="en-US" w:eastAsia="zh-CN"/>
        </w:rPr>
        <w:t xml:space="preserve">  建筑结构抽样检测的最小样本容量</w:t>
      </w:r>
    </w:p>
    <w:tbl>
      <w:tblPr>
        <w:tblStyle w:val="22"/>
        <w:tblW w:w="0" w:type="auto"/>
        <w:jc w:val="center"/>
        <w:tblLayout w:type="fixed"/>
        <w:tblCellMar>
          <w:top w:w="15" w:type="dxa"/>
          <w:left w:w="15" w:type="dxa"/>
          <w:bottom w:w="15" w:type="dxa"/>
          <w:right w:w="15" w:type="dxa"/>
        </w:tblCellMar>
      </w:tblPr>
      <w:tblGrid>
        <w:gridCol w:w="1498"/>
        <w:gridCol w:w="883"/>
        <w:gridCol w:w="882"/>
        <w:gridCol w:w="883"/>
        <w:gridCol w:w="1766"/>
        <w:gridCol w:w="883"/>
        <w:gridCol w:w="883"/>
        <w:gridCol w:w="882"/>
      </w:tblGrid>
      <w:tr w14:paraId="36A2FE7E">
        <w:tblPrEx>
          <w:tblCellMar>
            <w:top w:w="15" w:type="dxa"/>
            <w:left w:w="15" w:type="dxa"/>
            <w:bottom w:w="15" w:type="dxa"/>
            <w:right w:w="15" w:type="dxa"/>
          </w:tblCellMar>
        </w:tblPrEx>
        <w:trPr>
          <w:trHeight w:val="459" w:hRule="atLeast"/>
          <w:jc w:val="center"/>
        </w:trPr>
        <w:tc>
          <w:tcPr>
            <w:tcW w:w="1498" w:type="dxa"/>
            <w:vMerge w:val="restart"/>
            <w:tcBorders>
              <w:top w:val="single" w:color="000000" w:sz="4" w:space="0"/>
              <w:left w:val="single" w:color="000000" w:sz="4" w:space="0"/>
              <w:bottom w:val="single" w:color="000000" w:sz="4" w:space="0"/>
              <w:right w:val="single" w:color="000000" w:sz="4" w:space="0"/>
            </w:tcBorders>
            <w:noWrap w:val="0"/>
            <w:vAlign w:val="center"/>
          </w:tcPr>
          <w:p w14:paraId="7E60B7E4">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检测批的</w:t>
            </w:r>
          </w:p>
          <w:p w14:paraId="3AEA102E">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容量</w:t>
            </w:r>
          </w:p>
        </w:tc>
        <w:tc>
          <w:tcPr>
            <w:tcW w:w="2648" w:type="dxa"/>
            <w:gridSpan w:val="3"/>
            <w:vMerge w:val="restart"/>
            <w:tcBorders>
              <w:top w:val="single" w:color="000000" w:sz="4" w:space="0"/>
              <w:left w:val="single" w:color="000000" w:sz="4" w:space="0"/>
              <w:bottom w:val="single" w:color="000000" w:sz="4" w:space="0"/>
              <w:right w:val="single" w:color="000000" w:sz="4" w:space="0"/>
            </w:tcBorders>
            <w:noWrap w:val="0"/>
            <w:vAlign w:val="center"/>
          </w:tcPr>
          <w:p w14:paraId="794B89A3">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检测类别和样本</w:t>
            </w:r>
          </w:p>
          <w:p w14:paraId="489A86E5">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最小容量</w:t>
            </w:r>
          </w:p>
        </w:tc>
        <w:tc>
          <w:tcPr>
            <w:tcW w:w="1766" w:type="dxa"/>
            <w:vMerge w:val="restart"/>
            <w:tcBorders>
              <w:top w:val="single" w:color="000000" w:sz="4" w:space="0"/>
              <w:left w:val="single" w:color="000000" w:sz="4" w:space="0"/>
              <w:bottom w:val="single" w:color="000000" w:sz="4" w:space="0"/>
              <w:right w:val="single" w:color="000000" w:sz="4" w:space="0"/>
            </w:tcBorders>
            <w:noWrap w:val="0"/>
            <w:vAlign w:val="center"/>
          </w:tcPr>
          <w:p w14:paraId="73BC95A9">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检测批的</w:t>
            </w:r>
          </w:p>
          <w:p w14:paraId="4B047AB3">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容量</w:t>
            </w:r>
          </w:p>
        </w:tc>
        <w:tc>
          <w:tcPr>
            <w:tcW w:w="2648" w:type="dxa"/>
            <w:gridSpan w:val="3"/>
            <w:vMerge w:val="restart"/>
            <w:tcBorders>
              <w:top w:val="single" w:color="000000" w:sz="4" w:space="0"/>
              <w:left w:val="single" w:color="000000" w:sz="4" w:space="0"/>
              <w:bottom w:val="single" w:color="000000" w:sz="4" w:space="0"/>
              <w:right w:val="single" w:color="000000" w:sz="4" w:space="0"/>
            </w:tcBorders>
            <w:noWrap w:val="0"/>
            <w:vAlign w:val="center"/>
          </w:tcPr>
          <w:p w14:paraId="73D9BD97">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检测类别和样本最</w:t>
            </w:r>
          </w:p>
          <w:p w14:paraId="1773A044">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小容量</w:t>
            </w:r>
          </w:p>
        </w:tc>
      </w:tr>
      <w:tr w14:paraId="2ADE2939">
        <w:tblPrEx>
          <w:tblCellMar>
            <w:top w:w="15" w:type="dxa"/>
            <w:left w:w="15" w:type="dxa"/>
            <w:bottom w:w="15" w:type="dxa"/>
            <w:right w:w="15" w:type="dxa"/>
          </w:tblCellMar>
        </w:tblPrEx>
        <w:trPr>
          <w:trHeight w:val="459" w:hRule="atLeast"/>
          <w:jc w:val="center"/>
        </w:trPr>
        <w:tc>
          <w:tcPr>
            <w:tcW w:w="1498" w:type="dxa"/>
            <w:vMerge w:val="continue"/>
            <w:tcBorders>
              <w:top w:val="single" w:color="000000" w:sz="4" w:space="0"/>
              <w:left w:val="single" w:color="000000" w:sz="4" w:space="0"/>
              <w:bottom w:val="single" w:color="000000" w:sz="4" w:space="0"/>
              <w:right w:val="single" w:color="000000" w:sz="4" w:space="0"/>
            </w:tcBorders>
            <w:noWrap w:val="0"/>
            <w:vAlign w:val="center"/>
          </w:tcPr>
          <w:p w14:paraId="3B946F0A">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color w:val="auto"/>
                <w:sz w:val="21"/>
                <w:szCs w:val="21"/>
              </w:rPr>
            </w:pPr>
          </w:p>
        </w:tc>
        <w:tc>
          <w:tcPr>
            <w:tcW w:w="2648" w:type="dxa"/>
            <w:gridSpan w:val="3"/>
            <w:vMerge w:val="continue"/>
            <w:tcBorders>
              <w:top w:val="single" w:color="000000" w:sz="4" w:space="0"/>
              <w:left w:val="single" w:color="000000" w:sz="4" w:space="0"/>
              <w:bottom w:val="single" w:color="000000" w:sz="4" w:space="0"/>
              <w:right w:val="single" w:color="000000" w:sz="4" w:space="0"/>
            </w:tcBorders>
            <w:noWrap w:val="0"/>
            <w:vAlign w:val="center"/>
          </w:tcPr>
          <w:p w14:paraId="588C4E51">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color w:val="auto"/>
                <w:sz w:val="21"/>
                <w:szCs w:val="21"/>
              </w:rPr>
            </w:pPr>
          </w:p>
        </w:tc>
        <w:tc>
          <w:tcPr>
            <w:tcW w:w="17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D462754">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color w:val="auto"/>
                <w:sz w:val="21"/>
                <w:szCs w:val="21"/>
              </w:rPr>
            </w:pPr>
          </w:p>
        </w:tc>
        <w:tc>
          <w:tcPr>
            <w:tcW w:w="2648" w:type="dxa"/>
            <w:gridSpan w:val="3"/>
            <w:vMerge w:val="continue"/>
            <w:tcBorders>
              <w:top w:val="single" w:color="000000" w:sz="4" w:space="0"/>
              <w:left w:val="single" w:color="000000" w:sz="4" w:space="0"/>
              <w:bottom w:val="single" w:color="000000" w:sz="4" w:space="0"/>
              <w:right w:val="single" w:color="000000" w:sz="4" w:space="0"/>
            </w:tcBorders>
            <w:noWrap w:val="0"/>
            <w:vAlign w:val="center"/>
          </w:tcPr>
          <w:p w14:paraId="790B3845">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color w:val="auto"/>
                <w:sz w:val="21"/>
                <w:szCs w:val="21"/>
              </w:rPr>
            </w:pPr>
          </w:p>
        </w:tc>
      </w:tr>
      <w:tr w14:paraId="5C485B7F">
        <w:tblPrEx>
          <w:tblCellMar>
            <w:top w:w="15" w:type="dxa"/>
            <w:left w:w="15" w:type="dxa"/>
            <w:bottom w:w="15" w:type="dxa"/>
            <w:right w:w="15" w:type="dxa"/>
          </w:tblCellMar>
        </w:tblPrEx>
        <w:trPr>
          <w:trHeight w:val="312" w:hRule="atLeast"/>
          <w:jc w:val="center"/>
        </w:trPr>
        <w:tc>
          <w:tcPr>
            <w:tcW w:w="1498" w:type="dxa"/>
            <w:vMerge w:val="continue"/>
            <w:tcBorders>
              <w:top w:val="single" w:color="000000" w:sz="4" w:space="0"/>
              <w:left w:val="single" w:color="000000" w:sz="4" w:space="0"/>
              <w:bottom w:val="single" w:color="000000" w:sz="4" w:space="0"/>
              <w:right w:val="single" w:color="000000" w:sz="4" w:space="0"/>
            </w:tcBorders>
            <w:noWrap w:val="0"/>
            <w:vAlign w:val="center"/>
          </w:tcPr>
          <w:p w14:paraId="376BE282">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color w:val="auto"/>
                <w:sz w:val="21"/>
                <w:szCs w:val="21"/>
              </w:rPr>
            </w:pPr>
          </w:p>
        </w:tc>
        <w:tc>
          <w:tcPr>
            <w:tcW w:w="2648" w:type="dxa"/>
            <w:gridSpan w:val="3"/>
            <w:vMerge w:val="continue"/>
            <w:tcBorders>
              <w:top w:val="single" w:color="000000" w:sz="4" w:space="0"/>
              <w:left w:val="single" w:color="000000" w:sz="4" w:space="0"/>
              <w:bottom w:val="single" w:color="000000" w:sz="4" w:space="0"/>
              <w:right w:val="single" w:color="000000" w:sz="4" w:space="0"/>
            </w:tcBorders>
            <w:noWrap w:val="0"/>
            <w:vAlign w:val="center"/>
          </w:tcPr>
          <w:p w14:paraId="0BAA855A">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color w:val="auto"/>
                <w:sz w:val="21"/>
                <w:szCs w:val="21"/>
              </w:rPr>
            </w:pPr>
          </w:p>
        </w:tc>
        <w:tc>
          <w:tcPr>
            <w:tcW w:w="17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DAB6559">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color w:val="auto"/>
                <w:sz w:val="21"/>
                <w:szCs w:val="21"/>
              </w:rPr>
            </w:pPr>
          </w:p>
        </w:tc>
        <w:tc>
          <w:tcPr>
            <w:tcW w:w="2648" w:type="dxa"/>
            <w:gridSpan w:val="3"/>
            <w:vMerge w:val="continue"/>
            <w:tcBorders>
              <w:top w:val="single" w:color="000000" w:sz="4" w:space="0"/>
              <w:left w:val="single" w:color="000000" w:sz="4" w:space="0"/>
              <w:bottom w:val="single" w:color="000000" w:sz="4" w:space="0"/>
              <w:right w:val="single" w:color="000000" w:sz="4" w:space="0"/>
            </w:tcBorders>
            <w:noWrap w:val="0"/>
            <w:vAlign w:val="center"/>
          </w:tcPr>
          <w:p w14:paraId="4CE1858E">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color w:val="auto"/>
                <w:sz w:val="21"/>
                <w:szCs w:val="21"/>
              </w:rPr>
            </w:pPr>
          </w:p>
        </w:tc>
      </w:tr>
      <w:tr w14:paraId="3657FF3D">
        <w:tblPrEx>
          <w:tblCellMar>
            <w:top w:w="15" w:type="dxa"/>
            <w:left w:w="15" w:type="dxa"/>
            <w:bottom w:w="15" w:type="dxa"/>
            <w:right w:w="15" w:type="dxa"/>
          </w:tblCellMar>
        </w:tblPrEx>
        <w:trPr>
          <w:trHeight w:val="459" w:hRule="atLeast"/>
          <w:jc w:val="center"/>
        </w:trPr>
        <w:tc>
          <w:tcPr>
            <w:tcW w:w="1498" w:type="dxa"/>
            <w:vMerge w:val="continue"/>
            <w:tcBorders>
              <w:top w:val="single" w:color="000000" w:sz="4" w:space="0"/>
              <w:left w:val="single" w:color="000000" w:sz="4" w:space="0"/>
              <w:bottom w:val="single" w:color="000000" w:sz="4" w:space="0"/>
              <w:right w:val="single" w:color="000000" w:sz="4" w:space="0"/>
            </w:tcBorders>
            <w:noWrap w:val="0"/>
            <w:vAlign w:val="center"/>
          </w:tcPr>
          <w:p w14:paraId="772B69D5">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color w:val="auto"/>
                <w:sz w:val="21"/>
                <w:szCs w:val="21"/>
              </w:rPr>
            </w:pPr>
          </w:p>
        </w:tc>
        <w:tc>
          <w:tcPr>
            <w:tcW w:w="883" w:type="dxa"/>
            <w:tcBorders>
              <w:top w:val="single" w:color="000000" w:sz="4" w:space="0"/>
              <w:left w:val="single" w:color="000000" w:sz="4" w:space="0"/>
              <w:bottom w:val="single" w:color="000000" w:sz="4" w:space="0"/>
              <w:right w:val="single" w:color="000000" w:sz="4" w:space="0"/>
            </w:tcBorders>
            <w:noWrap w:val="0"/>
            <w:vAlign w:val="center"/>
          </w:tcPr>
          <w:p w14:paraId="3654D030">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A</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4DE3417D">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B</w:t>
            </w:r>
          </w:p>
        </w:tc>
        <w:tc>
          <w:tcPr>
            <w:tcW w:w="883" w:type="dxa"/>
            <w:tcBorders>
              <w:top w:val="single" w:color="000000" w:sz="4" w:space="0"/>
              <w:left w:val="single" w:color="000000" w:sz="4" w:space="0"/>
              <w:bottom w:val="single" w:color="000000" w:sz="4" w:space="0"/>
              <w:right w:val="single" w:color="000000" w:sz="4" w:space="0"/>
            </w:tcBorders>
            <w:noWrap w:val="0"/>
            <w:vAlign w:val="center"/>
          </w:tcPr>
          <w:p w14:paraId="4676D53E">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C</w:t>
            </w:r>
          </w:p>
        </w:tc>
        <w:tc>
          <w:tcPr>
            <w:tcW w:w="17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58AFD40">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color w:val="auto"/>
                <w:sz w:val="21"/>
                <w:szCs w:val="21"/>
              </w:rPr>
            </w:pPr>
          </w:p>
        </w:tc>
        <w:tc>
          <w:tcPr>
            <w:tcW w:w="883" w:type="dxa"/>
            <w:tcBorders>
              <w:top w:val="single" w:color="000000" w:sz="4" w:space="0"/>
              <w:left w:val="single" w:color="000000" w:sz="4" w:space="0"/>
              <w:bottom w:val="single" w:color="000000" w:sz="4" w:space="0"/>
              <w:right w:val="single" w:color="000000" w:sz="4" w:space="0"/>
            </w:tcBorders>
            <w:noWrap w:val="0"/>
            <w:vAlign w:val="center"/>
          </w:tcPr>
          <w:p w14:paraId="77692ED4">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A</w:t>
            </w:r>
          </w:p>
        </w:tc>
        <w:tc>
          <w:tcPr>
            <w:tcW w:w="883" w:type="dxa"/>
            <w:tcBorders>
              <w:top w:val="single" w:color="000000" w:sz="4" w:space="0"/>
              <w:left w:val="single" w:color="000000" w:sz="4" w:space="0"/>
              <w:bottom w:val="single" w:color="000000" w:sz="4" w:space="0"/>
              <w:right w:val="single" w:color="000000" w:sz="4" w:space="0"/>
            </w:tcBorders>
            <w:noWrap w:val="0"/>
            <w:vAlign w:val="center"/>
          </w:tcPr>
          <w:p w14:paraId="6EB64295">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B</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0D6ABD37">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C</w:t>
            </w:r>
          </w:p>
        </w:tc>
      </w:tr>
      <w:tr w14:paraId="2B3FA5BD">
        <w:tblPrEx>
          <w:tblCellMar>
            <w:top w:w="15" w:type="dxa"/>
            <w:left w:w="15" w:type="dxa"/>
            <w:bottom w:w="15" w:type="dxa"/>
            <w:right w:w="15" w:type="dxa"/>
          </w:tblCellMar>
        </w:tblPrEx>
        <w:trPr>
          <w:trHeight w:val="459" w:hRule="atLeast"/>
          <w:jc w:val="center"/>
        </w:trPr>
        <w:tc>
          <w:tcPr>
            <w:tcW w:w="1498" w:type="dxa"/>
            <w:tcBorders>
              <w:top w:val="single" w:color="000000" w:sz="4" w:space="0"/>
              <w:left w:val="single" w:color="000000" w:sz="4" w:space="0"/>
              <w:bottom w:val="single" w:color="000000" w:sz="4" w:space="0"/>
              <w:right w:val="single" w:color="000000" w:sz="4" w:space="0"/>
            </w:tcBorders>
            <w:noWrap w:val="0"/>
            <w:vAlign w:val="center"/>
          </w:tcPr>
          <w:p w14:paraId="7D4592D2">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3-8</w:t>
            </w:r>
          </w:p>
        </w:tc>
        <w:tc>
          <w:tcPr>
            <w:tcW w:w="883" w:type="dxa"/>
            <w:tcBorders>
              <w:top w:val="single" w:color="000000" w:sz="4" w:space="0"/>
              <w:left w:val="single" w:color="000000" w:sz="4" w:space="0"/>
              <w:bottom w:val="single" w:color="000000" w:sz="4" w:space="0"/>
              <w:right w:val="single" w:color="000000" w:sz="4" w:space="0"/>
            </w:tcBorders>
            <w:noWrap w:val="0"/>
            <w:vAlign w:val="center"/>
          </w:tcPr>
          <w:p w14:paraId="4FFD9F79">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2</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5DF42CEA">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2</w:t>
            </w:r>
          </w:p>
        </w:tc>
        <w:tc>
          <w:tcPr>
            <w:tcW w:w="883" w:type="dxa"/>
            <w:tcBorders>
              <w:top w:val="single" w:color="000000" w:sz="4" w:space="0"/>
              <w:left w:val="single" w:color="000000" w:sz="4" w:space="0"/>
              <w:bottom w:val="single" w:color="000000" w:sz="4" w:space="0"/>
              <w:right w:val="single" w:color="000000" w:sz="4" w:space="0"/>
            </w:tcBorders>
            <w:noWrap w:val="0"/>
            <w:vAlign w:val="center"/>
          </w:tcPr>
          <w:p w14:paraId="008B5FEA">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3</w:t>
            </w:r>
          </w:p>
        </w:tc>
        <w:tc>
          <w:tcPr>
            <w:tcW w:w="1766" w:type="dxa"/>
            <w:tcBorders>
              <w:top w:val="single" w:color="000000" w:sz="4" w:space="0"/>
              <w:left w:val="single" w:color="000000" w:sz="4" w:space="0"/>
              <w:bottom w:val="single" w:color="000000" w:sz="4" w:space="0"/>
              <w:right w:val="single" w:color="000000" w:sz="4" w:space="0"/>
            </w:tcBorders>
            <w:noWrap w:val="0"/>
            <w:vAlign w:val="center"/>
          </w:tcPr>
          <w:p w14:paraId="305DF71C">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281-500</w:t>
            </w:r>
          </w:p>
        </w:tc>
        <w:tc>
          <w:tcPr>
            <w:tcW w:w="883" w:type="dxa"/>
            <w:tcBorders>
              <w:top w:val="single" w:color="000000" w:sz="4" w:space="0"/>
              <w:left w:val="single" w:color="000000" w:sz="4" w:space="0"/>
              <w:bottom w:val="single" w:color="000000" w:sz="4" w:space="0"/>
              <w:right w:val="single" w:color="000000" w:sz="4" w:space="0"/>
            </w:tcBorders>
            <w:noWrap w:val="0"/>
            <w:vAlign w:val="center"/>
          </w:tcPr>
          <w:p w14:paraId="516DE99B">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20</w:t>
            </w:r>
          </w:p>
        </w:tc>
        <w:tc>
          <w:tcPr>
            <w:tcW w:w="883" w:type="dxa"/>
            <w:tcBorders>
              <w:top w:val="single" w:color="000000" w:sz="4" w:space="0"/>
              <w:left w:val="single" w:color="000000" w:sz="4" w:space="0"/>
              <w:bottom w:val="single" w:color="000000" w:sz="4" w:space="0"/>
              <w:right w:val="single" w:color="000000" w:sz="4" w:space="0"/>
            </w:tcBorders>
            <w:noWrap w:val="0"/>
            <w:vAlign w:val="center"/>
          </w:tcPr>
          <w:p w14:paraId="5F207777">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50</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0F2770F2">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80</w:t>
            </w:r>
          </w:p>
        </w:tc>
      </w:tr>
      <w:tr w14:paraId="1ACE4EA1">
        <w:tblPrEx>
          <w:tblCellMar>
            <w:top w:w="15" w:type="dxa"/>
            <w:left w:w="15" w:type="dxa"/>
            <w:bottom w:w="15" w:type="dxa"/>
            <w:right w:w="15" w:type="dxa"/>
          </w:tblCellMar>
        </w:tblPrEx>
        <w:trPr>
          <w:trHeight w:val="459" w:hRule="atLeast"/>
          <w:jc w:val="center"/>
        </w:trPr>
        <w:tc>
          <w:tcPr>
            <w:tcW w:w="1498" w:type="dxa"/>
            <w:tcBorders>
              <w:top w:val="single" w:color="000000" w:sz="4" w:space="0"/>
              <w:left w:val="single" w:color="000000" w:sz="4" w:space="0"/>
              <w:bottom w:val="single" w:color="000000" w:sz="4" w:space="0"/>
              <w:right w:val="single" w:color="000000" w:sz="4" w:space="0"/>
            </w:tcBorders>
            <w:noWrap w:val="0"/>
            <w:vAlign w:val="center"/>
          </w:tcPr>
          <w:p w14:paraId="76A56A7E">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9-15</w:t>
            </w:r>
          </w:p>
        </w:tc>
        <w:tc>
          <w:tcPr>
            <w:tcW w:w="883" w:type="dxa"/>
            <w:tcBorders>
              <w:top w:val="single" w:color="000000" w:sz="4" w:space="0"/>
              <w:left w:val="single" w:color="000000" w:sz="4" w:space="0"/>
              <w:bottom w:val="single" w:color="000000" w:sz="4" w:space="0"/>
              <w:right w:val="single" w:color="000000" w:sz="4" w:space="0"/>
            </w:tcBorders>
            <w:noWrap w:val="0"/>
            <w:vAlign w:val="center"/>
          </w:tcPr>
          <w:p w14:paraId="327E732C">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2</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23FE7DC1">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3</w:t>
            </w:r>
          </w:p>
        </w:tc>
        <w:tc>
          <w:tcPr>
            <w:tcW w:w="883" w:type="dxa"/>
            <w:tcBorders>
              <w:top w:val="single" w:color="000000" w:sz="4" w:space="0"/>
              <w:left w:val="single" w:color="000000" w:sz="4" w:space="0"/>
              <w:bottom w:val="single" w:color="000000" w:sz="4" w:space="0"/>
              <w:right w:val="single" w:color="000000" w:sz="4" w:space="0"/>
            </w:tcBorders>
            <w:noWrap w:val="0"/>
            <w:vAlign w:val="center"/>
          </w:tcPr>
          <w:p w14:paraId="3CCD617E">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5</w:t>
            </w:r>
          </w:p>
        </w:tc>
        <w:tc>
          <w:tcPr>
            <w:tcW w:w="1766" w:type="dxa"/>
            <w:tcBorders>
              <w:top w:val="single" w:color="000000" w:sz="4" w:space="0"/>
              <w:left w:val="single" w:color="000000" w:sz="4" w:space="0"/>
              <w:bottom w:val="single" w:color="000000" w:sz="4" w:space="0"/>
              <w:right w:val="single" w:color="000000" w:sz="4" w:space="0"/>
            </w:tcBorders>
            <w:noWrap w:val="0"/>
            <w:vAlign w:val="center"/>
          </w:tcPr>
          <w:p w14:paraId="704D3058">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501-1200</w:t>
            </w:r>
          </w:p>
        </w:tc>
        <w:tc>
          <w:tcPr>
            <w:tcW w:w="883" w:type="dxa"/>
            <w:tcBorders>
              <w:top w:val="single" w:color="000000" w:sz="4" w:space="0"/>
              <w:left w:val="single" w:color="000000" w:sz="4" w:space="0"/>
              <w:bottom w:val="single" w:color="000000" w:sz="4" w:space="0"/>
              <w:right w:val="single" w:color="000000" w:sz="4" w:space="0"/>
            </w:tcBorders>
            <w:noWrap w:val="0"/>
            <w:vAlign w:val="center"/>
          </w:tcPr>
          <w:p w14:paraId="7B47D128">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32</w:t>
            </w:r>
          </w:p>
        </w:tc>
        <w:tc>
          <w:tcPr>
            <w:tcW w:w="883" w:type="dxa"/>
            <w:tcBorders>
              <w:top w:val="single" w:color="000000" w:sz="4" w:space="0"/>
              <w:left w:val="single" w:color="000000" w:sz="4" w:space="0"/>
              <w:bottom w:val="single" w:color="000000" w:sz="4" w:space="0"/>
              <w:right w:val="single" w:color="000000" w:sz="4" w:space="0"/>
            </w:tcBorders>
            <w:noWrap w:val="0"/>
            <w:vAlign w:val="center"/>
          </w:tcPr>
          <w:p w14:paraId="6F00856A">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80</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78274265">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125</w:t>
            </w:r>
          </w:p>
        </w:tc>
      </w:tr>
      <w:tr w14:paraId="124702C9">
        <w:tblPrEx>
          <w:tblCellMar>
            <w:top w:w="15" w:type="dxa"/>
            <w:left w:w="15" w:type="dxa"/>
            <w:bottom w:w="15" w:type="dxa"/>
            <w:right w:w="15" w:type="dxa"/>
          </w:tblCellMar>
        </w:tblPrEx>
        <w:trPr>
          <w:trHeight w:val="459" w:hRule="atLeast"/>
          <w:jc w:val="center"/>
        </w:trPr>
        <w:tc>
          <w:tcPr>
            <w:tcW w:w="1498" w:type="dxa"/>
            <w:tcBorders>
              <w:top w:val="single" w:color="000000" w:sz="4" w:space="0"/>
              <w:left w:val="single" w:color="000000" w:sz="4" w:space="0"/>
              <w:bottom w:val="single" w:color="000000" w:sz="4" w:space="0"/>
              <w:right w:val="single" w:color="000000" w:sz="4" w:space="0"/>
            </w:tcBorders>
            <w:noWrap w:val="0"/>
            <w:vAlign w:val="center"/>
          </w:tcPr>
          <w:p w14:paraId="45330873">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16-25</w:t>
            </w:r>
          </w:p>
        </w:tc>
        <w:tc>
          <w:tcPr>
            <w:tcW w:w="883" w:type="dxa"/>
            <w:tcBorders>
              <w:top w:val="single" w:color="000000" w:sz="4" w:space="0"/>
              <w:left w:val="single" w:color="000000" w:sz="4" w:space="0"/>
              <w:bottom w:val="single" w:color="000000" w:sz="4" w:space="0"/>
              <w:right w:val="single" w:color="000000" w:sz="4" w:space="0"/>
            </w:tcBorders>
            <w:noWrap w:val="0"/>
            <w:vAlign w:val="center"/>
          </w:tcPr>
          <w:p w14:paraId="37F29552">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3</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6731C64C">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5</w:t>
            </w:r>
          </w:p>
        </w:tc>
        <w:tc>
          <w:tcPr>
            <w:tcW w:w="883" w:type="dxa"/>
            <w:tcBorders>
              <w:top w:val="single" w:color="000000" w:sz="4" w:space="0"/>
              <w:left w:val="single" w:color="000000" w:sz="4" w:space="0"/>
              <w:bottom w:val="single" w:color="000000" w:sz="4" w:space="0"/>
              <w:right w:val="single" w:color="000000" w:sz="4" w:space="0"/>
            </w:tcBorders>
            <w:noWrap w:val="0"/>
            <w:vAlign w:val="center"/>
          </w:tcPr>
          <w:p w14:paraId="6C68C6D8">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8</w:t>
            </w:r>
          </w:p>
        </w:tc>
        <w:tc>
          <w:tcPr>
            <w:tcW w:w="1766" w:type="dxa"/>
            <w:tcBorders>
              <w:top w:val="single" w:color="000000" w:sz="4" w:space="0"/>
              <w:left w:val="single" w:color="000000" w:sz="4" w:space="0"/>
              <w:bottom w:val="single" w:color="000000" w:sz="4" w:space="0"/>
              <w:right w:val="single" w:color="000000" w:sz="4" w:space="0"/>
            </w:tcBorders>
            <w:noWrap w:val="0"/>
            <w:vAlign w:val="center"/>
          </w:tcPr>
          <w:p w14:paraId="5BC0226F">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1201-3200</w:t>
            </w:r>
          </w:p>
        </w:tc>
        <w:tc>
          <w:tcPr>
            <w:tcW w:w="883" w:type="dxa"/>
            <w:tcBorders>
              <w:top w:val="single" w:color="000000" w:sz="4" w:space="0"/>
              <w:left w:val="single" w:color="000000" w:sz="4" w:space="0"/>
              <w:bottom w:val="single" w:color="000000" w:sz="4" w:space="0"/>
              <w:right w:val="single" w:color="000000" w:sz="4" w:space="0"/>
            </w:tcBorders>
            <w:noWrap w:val="0"/>
            <w:vAlign w:val="center"/>
          </w:tcPr>
          <w:p w14:paraId="1F46F914">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50</w:t>
            </w:r>
          </w:p>
        </w:tc>
        <w:tc>
          <w:tcPr>
            <w:tcW w:w="883" w:type="dxa"/>
            <w:tcBorders>
              <w:top w:val="single" w:color="000000" w:sz="4" w:space="0"/>
              <w:left w:val="single" w:color="000000" w:sz="4" w:space="0"/>
              <w:bottom w:val="single" w:color="000000" w:sz="4" w:space="0"/>
              <w:right w:val="single" w:color="000000" w:sz="4" w:space="0"/>
            </w:tcBorders>
            <w:noWrap w:val="0"/>
            <w:vAlign w:val="center"/>
          </w:tcPr>
          <w:p w14:paraId="2201ACA9">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125</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17E4DB5E">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200</w:t>
            </w:r>
          </w:p>
        </w:tc>
      </w:tr>
      <w:tr w14:paraId="6E9888B2">
        <w:tblPrEx>
          <w:tblCellMar>
            <w:top w:w="15" w:type="dxa"/>
            <w:left w:w="15" w:type="dxa"/>
            <w:bottom w:w="15" w:type="dxa"/>
            <w:right w:w="15" w:type="dxa"/>
          </w:tblCellMar>
        </w:tblPrEx>
        <w:trPr>
          <w:trHeight w:val="459" w:hRule="atLeast"/>
          <w:jc w:val="center"/>
        </w:trPr>
        <w:tc>
          <w:tcPr>
            <w:tcW w:w="1498" w:type="dxa"/>
            <w:tcBorders>
              <w:top w:val="single" w:color="000000" w:sz="4" w:space="0"/>
              <w:left w:val="single" w:color="000000" w:sz="4" w:space="0"/>
              <w:bottom w:val="single" w:color="000000" w:sz="4" w:space="0"/>
              <w:right w:val="single" w:color="000000" w:sz="4" w:space="0"/>
            </w:tcBorders>
            <w:noWrap w:val="0"/>
            <w:vAlign w:val="center"/>
          </w:tcPr>
          <w:p w14:paraId="11BDB8D6">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26-50</w:t>
            </w:r>
          </w:p>
        </w:tc>
        <w:tc>
          <w:tcPr>
            <w:tcW w:w="883" w:type="dxa"/>
            <w:tcBorders>
              <w:top w:val="single" w:color="000000" w:sz="4" w:space="0"/>
              <w:left w:val="single" w:color="000000" w:sz="4" w:space="0"/>
              <w:bottom w:val="single" w:color="000000" w:sz="4" w:space="0"/>
              <w:right w:val="single" w:color="000000" w:sz="4" w:space="0"/>
            </w:tcBorders>
            <w:noWrap w:val="0"/>
            <w:vAlign w:val="center"/>
          </w:tcPr>
          <w:p w14:paraId="7D5E8810">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5</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51F74995">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8</w:t>
            </w:r>
          </w:p>
        </w:tc>
        <w:tc>
          <w:tcPr>
            <w:tcW w:w="883" w:type="dxa"/>
            <w:tcBorders>
              <w:top w:val="single" w:color="000000" w:sz="4" w:space="0"/>
              <w:left w:val="single" w:color="000000" w:sz="4" w:space="0"/>
              <w:bottom w:val="single" w:color="000000" w:sz="4" w:space="0"/>
              <w:right w:val="single" w:color="000000" w:sz="4" w:space="0"/>
            </w:tcBorders>
            <w:noWrap w:val="0"/>
            <w:vAlign w:val="center"/>
          </w:tcPr>
          <w:p w14:paraId="20ABD98D">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13</w:t>
            </w:r>
          </w:p>
        </w:tc>
        <w:tc>
          <w:tcPr>
            <w:tcW w:w="1766" w:type="dxa"/>
            <w:tcBorders>
              <w:top w:val="single" w:color="000000" w:sz="4" w:space="0"/>
              <w:left w:val="single" w:color="000000" w:sz="4" w:space="0"/>
              <w:bottom w:val="single" w:color="000000" w:sz="4" w:space="0"/>
              <w:right w:val="single" w:color="000000" w:sz="4" w:space="0"/>
            </w:tcBorders>
            <w:noWrap w:val="0"/>
            <w:vAlign w:val="center"/>
          </w:tcPr>
          <w:p w14:paraId="297EC38F">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3201-10000</w:t>
            </w:r>
          </w:p>
        </w:tc>
        <w:tc>
          <w:tcPr>
            <w:tcW w:w="883" w:type="dxa"/>
            <w:tcBorders>
              <w:top w:val="single" w:color="000000" w:sz="4" w:space="0"/>
              <w:left w:val="single" w:color="000000" w:sz="4" w:space="0"/>
              <w:bottom w:val="single" w:color="000000" w:sz="4" w:space="0"/>
              <w:right w:val="single" w:color="000000" w:sz="4" w:space="0"/>
            </w:tcBorders>
            <w:noWrap w:val="0"/>
            <w:vAlign w:val="center"/>
          </w:tcPr>
          <w:p w14:paraId="19C7FE39">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80</w:t>
            </w:r>
          </w:p>
        </w:tc>
        <w:tc>
          <w:tcPr>
            <w:tcW w:w="883" w:type="dxa"/>
            <w:tcBorders>
              <w:top w:val="single" w:color="000000" w:sz="4" w:space="0"/>
              <w:left w:val="single" w:color="000000" w:sz="4" w:space="0"/>
              <w:bottom w:val="single" w:color="000000" w:sz="4" w:space="0"/>
              <w:right w:val="single" w:color="000000" w:sz="4" w:space="0"/>
            </w:tcBorders>
            <w:noWrap w:val="0"/>
            <w:vAlign w:val="center"/>
          </w:tcPr>
          <w:p w14:paraId="1A777B36">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200</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0ADEB8E6">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315</w:t>
            </w:r>
          </w:p>
        </w:tc>
      </w:tr>
      <w:tr w14:paraId="7897C004">
        <w:tblPrEx>
          <w:tblCellMar>
            <w:top w:w="15" w:type="dxa"/>
            <w:left w:w="15" w:type="dxa"/>
            <w:bottom w:w="15" w:type="dxa"/>
            <w:right w:w="15" w:type="dxa"/>
          </w:tblCellMar>
        </w:tblPrEx>
        <w:trPr>
          <w:trHeight w:val="459" w:hRule="atLeast"/>
          <w:jc w:val="center"/>
        </w:trPr>
        <w:tc>
          <w:tcPr>
            <w:tcW w:w="1498" w:type="dxa"/>
            <w:tcBorders>
              <w:top w:val="single" w:color="000000" w:sz="4" w:space="0"/>
              <w:left w:val="single" w:color="000000" w:sz="4" w:space="0"/>
              <w:bottom w:val="single" w:color="000000" w:sz="4" w:space="0"/>
              <w:right w:val="single" w:color="000000" w:sz="4" w:space="0"/>
            </w:tcBorders>
            <w:noWrap w:val="0"/>
            <w:vAlign w:val="center"/>
          </w:tcPr>
          <w:p w14:paraId="4786AE75">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51-90</w:t>
            </w:r>
          </w:p>
        </w:tc>
        <w:tc>
          <w:tcPr>
            <w:tcW w:w="883" w:type="dxa"/>
            <w:tcBorders>
              <w:top w:val="single" w:color="000000" w:sz="4" w:space="0"/>
              <w:left w:val="single" w:color="000000" w:sz="4" w:space="0"/>
              <w:bottom w:val="single" w:color="000000" w:sz="4" w:space="0"/>
              <w:right w:val="single" w:color="000000" w:sz="4" w:space="0"/>
            </w:tcBorders>
            <w:noWrap w:val="0"/>
            <w:vAlign w:val="center"/>
          </w:tcPr>
          <w:p w14:paraId="00897474">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5</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569A151F">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13</w:t>
            </w:r>
          </w:p>
        </w:tc>
        <w:tc>
          <w:tcPr>
            <w:tcW w:w="883" w:type="dxa"/>
            <w:tcBorders>
              <w:top w:val="single" w:color="000000" w:sz="4" w:space="0"/>
              <w:left w:val="single" w:color="000000" w:sz="4" w:space="0"/>
              <w:bottom w:val="single" w:color="000000" w:sz="4" w:space="0"/>
              <w:right w:val="single" w:color="000000" w:sz="4" w:space="0"/>
            </w:tcBorders>
            <w:noWrap w:val="0"/>
            <w:vAlign w:val="center"/>
          </w:tcPr>
          <w:p w14:paraId="118D60FC">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20</w:t>
            </w:r>
          </w:p>
        </w:tc>
        <w:tc>
          <w:tcPr>
            <w:tcW w:w="1766" w:type="dxa"/>
            <w:tcBorders>
              <w:top w:val="single" w:color="000000" w:sz="4" w:space="0"/>
              <w:left w:val="single" w:color="000000" w:sz="4" w:space="0"/>
              <w:bottom w:val="single" w:color="000000" w:sz="4" w:space="0"/>
              <w:right w:val="single" w:color="000000" w:sz="4" w:space="0"/>
            </w:tcBorders>
            <w:noWrap w:val="0"/>
            <w:vAlign w:val="center"/>
          </w:tcPr>
          <w:p w14:paraId="74DE6FF1">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10001-35000</w:t>
            </w:r>
          </w:p>
        </w:tc>
        <w:tc>
          <w:tcPr>
            <w:tcW w:w="883" w:type="dxa"/>
            <w:tcBorders>
              <w:top w:val="single" w:color="000000" w:sz="4" w:space="0"/>
              <w:left w:val="single" w:color="000000" w:sz="4" w:space="0"/>
              <w:bottom w:val="single" w:color="000000" w:sz="4" w:space="0"/>
              <w:right w:val="single" w:color="000000" w:sz="4" w:space="0"/>
            </w:tcBorders>
            <w:noWrap w:val="0"/>
            <w:vAlign w:val="center"/>
          </w:tcPr>
          <w:p w14:paraId="500DF60D">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125</w:t>
            </w:r>
          </w:p>
        </w:tc>
        <w:tc>
          <w:tcPr>
            <w:tcW w:w="883" w:type="dxa"/>
            <w:tcBorders>
              <w:top w:val="single" w:color="000000" w:sz="4" w:space="0"/>
              <w:left w:val="single" w:color="000000" w:sz="4" w:space="0"/>
              <w:bottom w:val="single" w:color="000000" w:sz="4" w:space="0"/>
              <w:right w:val="single" w:color="000000" w:sz="4" w:space="0"/>
            </w:tcBorders>
            <w:noWrap w:val="0"/>
            <w:vAlign w:val="center"/>
          </w:tcPr>
          <w:p w14:paraId="18C74DBF">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315</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0941217E">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500</w:t>
            </w:r>
          </w:p>
        </w:tc>
      </w:tr>
      <w:tr w14:paraId="0FD7E009">
        <w:tblPrEx>
          <w:tblCellMar>
            <w:top w:w="15" w:type="dxa"/>
            <w:left w:w="15" w:type="dxa"/>
            <w:bottom w:w="15" w:type="dxa"/>
            <w:right w:w="15" w:type="dxa"/>
          </w:tblCellMar>
        </w:tblPrEx>
        <w:trPr>
          <w:trHeight w:val="459" w:hRule="atLeast"/>
          <w:jc w:val="center"/>
        </w:trPr>
        <w:tc>
          <w:tcPr>
            <w:tcW w:w="1498" w:type="dxa"/>
            <w:tcBorders>
              <w:top w:val="single" w:color="000000" w:sz="4" w:space="0"/>
              <w:left w:val="single" w:color="000000" w:sz="4" w:space="0"/>
              <w:bottom w:val="single" w:color="000000" w:sz="4" w:space="0"/>
              <w:right w:val="single" w:color="000000" w:sz="4" w:space="0"/>
            </w:tcBorders>
            <w:noWrap w:val="0"/>
            <w:vAlign w:val="center"/>
          </w:tcPr>
          <w:p w14:paraId="2EAF2572">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91-150</w:t>
            </w:r>
          </w:p>
        </w:tc>
        <w:tc>
          <w:tcPr>
            <w:tcW w:w="883" w:type="dxa"/>
            <w:tcBorders>
              <w:top w:val="single" w:color="000000" w:sz="4" w:space="0"/>
              <w:left w:val="single" w:color="000000" w:sz="4" w:space="0"/>
              <w:bottom w:val="single" w:color="000000" w:sz="4" w:space="0"/>
              <w:right w:val="single" w:color="000000" w:sz="4" w:space="0"/>
            </w:tcBorders>
            <w:noWrap w:val="0"/>
            <w:vAlign w:val="center"/>
          </w:tcPr>
          <w:p w14:paraId="556CE581">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8</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31794E44">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20</w:t>
            </w:r>
          </w:p>
        </w:tc>
        <w:tc>
          <w:tcPr>
            <w:tcW w:w="883" w:type="dxa"/>
            <w:tcBorders>
              <w:top w:val="single" w:color="000000" w:sz="4" w:space="0"/>
              <w:left w:val="single" w:color="000000" w:sz="4" w:space="0"/>
              <w:bottom w:val="single" w:color="000000" w:sz="4" w:space="0"/>
              <w:right w:val="single" w:color="000000" w:sz="4" w:space="0"/>
            </w:tcBorders>
            <w:noWrap w:val="0"/>
            <w:vAlign w:val="center"/>
          </w:tcPr>
          <w:p w14:paraId="0DC71E7F">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32</w:t>
            </w:r>
          </w:p>
        </w:tc>
        <w:tc>
          <w:tcPr>
            <w:tcW w:w="1766" w:type="dxa"/>
            <w:tcBorders>
              <w:top w:val="single" w:color="000000" w:sz="4" w:space="0"/>
              <w:left w:val="single" w:color="000000" w:sz="4" w:space="0"/>
              <w:bottom w:val="single" w:color="000000" w:sz="4" w:space="0"/>
              <w:right w:val="single" w:color="000000" w:sz="4" w:space="0"/>
            </w:tcBorders>
            <w:noWrap w:val="0"/>
            <w:vAlign w:val="center"/>
          </w:tcPr>
          <w:p w14:paraId="2E574DBD">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35001-150000</w:t>
            </w:r>
          </w:p>
        </w:tc>
        <w:tc>
          <w:tcPr>
            <w:tcW w:w="883" w:type="dxa"/>
            <w:tcBorders>
              <w:top w:val="single" w:color="000000" w:sz="4" w:space="0"/>
              <w:left w:val="single" w:color="000000" w:sz="4" w:space="0"/>
              <w:bottom w:val="single" w:color="000000" w:sz="4" w:space="0"/>
              <w:right w:val="single" w:color="000000" w:sz="4" w:space="0"/>
            </w:tcBorders>
            <w:noWrap w:val="0"/>
            <w:vAlign w:val="center"/>
          </w:tcPr>
          <w:p w14:paraId="7BBA3B55">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200</w:t>
            </w:r>
          </w:p>
        </w:tc>
        <w:tc>
          <w:tcPr>
            <w:tcW w:w="883" w:type="dxa"/>
            <w:tcBorders>
              <w:top w:val="single" w:color="000000" w:sz="4" w:space="0"/>
              <w:left w:val="single" w:color="000000" w:sz="4" w:space="0"/>
              <w:bottom w:val="single" w:color="000000" w:sz="4" w:space="0"/>
              <w:right w:val="single" w:color="000000" w:sz="4" w:space="0"/>
            </w:tcBorders>
            <w:noWrap w:val="0"/>
            <w:vAlign w:val="center"/>
          </w:tcPr>
          <w:p w14:paraId="4918982B">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500</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3D31A21A">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800</w:t>
            </w:r>
          </w:p>
        </w:tc>
      </w:tr>
      <w:tr w14:paraId="0E5B229A">
        <w:tblPrEx>
          <w:tblCellMar>
            <w:top w:w="15" w:type="dxa"/>
            <w:left w:w="15" w:type="dxa"/>
            <w:bottom w:w="15" w:type="dxa"/>
            <w:right w:w="15" w:type="dxa"/>
          </w:tblCellMar>
        </w:tblPrEx>
        <w:trPr>
          <w:trHeight w:val="459" w:hRule="atLeast"/>
          <w:jc w:val="center"/>
        </w:trPr>
        <w:tc>
          <w:tcPr>
            <w:tcW w:w="1498" w:type="dxa"/>
            <w:tcBorders>
              <w:top w:val="single" w:color="000000" w:sz="4" w:space="0"/>
              <w:left w:val="single" w:color="000000" w:sz="4" w:space="0"/>
              <w:bottom w:val="single" w:color="000000" w:sz="4" w:space="0"/>
              <w:right w:val="single" w:color="000000" w:sz="4" w:space="0"/>
            </w:tcBorders>
            <w:noWrap w:val="0"/>
            <w:vAlign w:val="center"/>
          </w:tcPr>
          <w:p w14:paraId="67781F64">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151-280</w:t>
            </w:r>
          </w:p>
        </w:tc>
        <w:tc>
          <w:tcPr>
            <w:tcW w:w="883" w:type="dxa"/>
            <w:tcBorders>
              <w:top w:val="single" w:color="000000" w:sz="4" w:space="0"/>
              <w:left w:val="single" w:color="000000" w:sz="4" w:space="0"/>
              <w:bottom w:val="single" w:color="000000" w:sz="4" w:space="0"/>
              <w:right w:val="single" w:color="000000" w:sz="4" w:space="0"/>
            </w:tcBorders>
            <w:noWrap w:val="0"/>
            <w:vAlign w:val="center"/>
          </w:tcPr>
          <w:p w14:paraId="0FBB62B4">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13</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6EF026CC">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32</w:t>
            </w:r>
          </w:p>
        </w:tc>
        <w:tc>
          <w:tcPr>
            <w:tcW w:w="883" w:type="dxa"/>
            <w:tcBorders>
              <w:top w:val="single" w:color="000000" w:sz="4" w:space="0"/>
              <w:left w:val="single" w:color="000000" w:sz="4" w:space="0"/>
              <w:bottom w:val="single" w:color="000000" w:sz="4" w:space="0"/>
              <w:right w:val="single" w:color="000000" w:sz="4" w:space="0"/>
            </w:tcBorders>
            <w:noWrap w:val="0"/>
            <w:vAlign w:val="center"/>
          </w:tcPr>
          <w:p w14:paraId="7FAF4751">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50</w:t>
            </w:r>
          </w:p>
        </w:tc>
        <w:tc>
          <w:tcPr>
            <w:tcW w:w="1766" w:type="dxa"/>
            <w:tcBorders>
              <w:top w:val="single" w:color="000000" w:sz="4" w:space="0"/>
              <w:left w:val="single" w:color="000000" w:sz="4" w:space="0"/>
              <w:bottom w:val="single" w:color="000000" w:sz="4" w:space="0"/>
              <w:right w:val="single" w:color="000000" w:sz="4" w:space="0"/>
            </w:tcBorders>
            <w:noWrap w:val="0"/>
            <w:vAlign w:val="center"/>
          </w:tcPr>
          <w:p w14:paraId="5B68F635">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150001-500000</w:t>
            </w:r>
          </w:p>
        </w:tc>
        <w:tc>
          <w:tcPr>
            <w:tcW w:w="883" w:type="dxa"/>
            <w:tcBorders>
              <w:top w:val="single" w:color="000000" w:sz="4" w:space="0"/>
              <w:left w:val="single" w:color="000000" w:sz="4" w:space="0"/>
              <w:bottom w:val="single" w:color="000000" w:sz="4" w:space="0"/>
              <w:right w:val="single" w:color="000000" w:sz="4" w:space="0"/>
            </w:tcBorders>
            <w:noWrap w:val="0"/>
            <w:vAlign w:val="center"/>
          </w:tcPr>
          <w:p w14:paraId="02A65FD0">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315</w:t>
            </w:r>
          </w:p>
        </w:tc>
        <w:tc>
          <w:tcPr>
            <w:tcW w:w="883" w:type="dxa"/>
            <w:tcBorders>
              <w:top w:val="single" w:color="000000" w:sz="4" w:space="0"/>
              <w:left w:val="single" w:color="000000" w:sz="4" w:space="0"/>
              <w:bottom w:val="single" w:color="000000" w:sz="4" w:space="0"/>
              <w:right w:val="single" w:color="000000" w:sz="4" w:space="0"/>
            </w:tcBorders>
            <w:noWrap w:val="0"/>
            <w:vAlign w:val="center"/>
          </w:tcPr>
          <w:p w14:paraId="1DBEC97A">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800</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3D74F82A">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1250</w:t>
            </w:r>
          </w:p>
        </w:tc>
      </w:tr>
      <w:tr w14:paraId="70CD000E">
        <w:tblPrEx>
          <w:tblCellMar>
            <w:top w:w="15" w:type="dxa"/>
            <w:left w:w="15" w:type="dxa"/>
            <w:bottom w:w="15" w:type="dxa"/>
            <w:right w:w="15" w:type="dxa"/>
          </w:tblCellMar>
        </w:tblPrEx>
        <w:trPr>
          <w:trHeight w:val="459" w:hRule="atLeast"/>
          <w:jc w:val="center"/>
        </w:trPr>
        <w:tc>
          <w:tcPr>
            <w:tcW w:w="8560" w:type="dxa"/>
            <w:gridSpan w:val="8"/>
            <w:tcBorders>
              <w:top w:val="single" w:color="000000" w:sz="4" w:space="0"/>
              <w:left w:val="single" w:color="000000" w:sz="4" w:space="0"/>
              <w:bottom w:val="single" w:color="000000" w:sz="4" w:space="0"/>
              <w:right w:val="single" w:color="000000" w:sz="4" w:space="0"/>
            </w:tcBorders>
            <w:noWrap w:val="0"/>
            <w:vAlign w:val="center"/>
          </w:tcPr>
          <w:p w14:paraId="1AD0239A">
            <w:pPr>
              <w:widowControl/>
              <w:ind w:firstLine="420" w:firstLineChars="200"/>
              <w:jc w:val="left"/>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注：检测类别A适用于一般施工质量的检测，可用于既有结构的一般项目检测；检测类别B适用于结构质量或者性能的检测，可用于既有结构的重要项目检测；检测类别C适用于结构质量或者性能的严格检测或复检；可用于存在问题较多既有结构的检测。</w:t>
            </w:r>
          </w:p>
        </w:tc>
      </w:tr>
    </w:tbl>
    <w:p w14:paraId="1C5FD9C2">
      <w:pPr>
        <w:bidi w:val="0"/>
        <w:rPr>
          <w:rFonts w:hint="default" w:ascii="Times New Roman" w:hAnsi="Times New Roman" w:eastAsia="宋体" w:cs="Times New Roman"/>
          <w:b/>
          <w:bCs/>
          <w:color w:val="auto"/>
          <w:kern w:val="2"/>
          <w:sz w:val="28"/>
          <w:szCs w:val="28"/>
          <w:lang w:val="en-US" w:eastAsia="zh-CN" w:bidi="ar-SA"/>
        </w:rPr>
      </w:pPr>
      <w:r>
        <w:rPr>
          <w:rFonts w:hint="default" w:ascii="Times New Roman" w:hAnsi="Times New Roman" w:eastAsia="宋体" w:cs="Times New Roman"/>
          <w:b/>
          <w:bCs/>
          <w:color w:val="auto"/>
          <w:kern w:val="2"/>
          <w:sz w:val="28"/>
          <w:szCs w:val="28"/>
          <w:lang w:val="en-US" w:eastAsia="zh-CN" w:bidi="ar-SA"/>
        </w:rPr>
        <w:t>7.4、结构缺陷及构件外观质量普查</w:t>
      </w:r>
    </w:p>
    <w:p w14:paraId="262E2733">
      <w:pPr>
        <w:spacing w:line="360" w:lineRule="auto"/>
        <w:ind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对厂房内有损坏和明显变形的结构构件进行重点检测，另外，对厂房的梁、柱和围护结构进行普查（注：需具备现场检测条件）。对存在的损坏现象采用测量、文字描述、图文照片等方式进行详细记录，并根据现场检测情况，绘制损坏构件的平面分布示意图。具体如下：</w:t>
      </w:r>
    </w:p>
    <w:p w14:paraId="19F81C66">
      <w:pPr>
        <w:spacing w:line="360" w:lineRule="auto"/>
        <w:ind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1、检查钢构件的锈蚀情况；</w:t>
      </w:r>
    </w:p>
    <w:p w14:paraId="170AFD3F">
      <w:pPr>
        <w:spacing w:line="360" w:lineRule="auto"/>
        <w:ind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2、检查厂房主体钢构的连接节点是否存在断裂、变形等损坏情况；</w:t>
      </w:r>
    </w:p>
    <w:p w14:paraId="7B566623">
      <w:pPr>
        <w:spacing w:line="360" w:lineRule="auto"/>
        <w:ind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3、检查厂房围护结构的开裂和变形损坏情况，确定损坏程度；</w:t>
      </w:r>
    </w:p>
    <w:p w14:paraId="47266991">
      <w:pPr>
        <w:spacing w:line="360" w:lineRule="auto"/>
        <w:ind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4、检查围护结构与钢结构主体之间的开裂、脱开情况，调查厂房是否因下沉而引起两者之间的连接损坏。</w:t>
      </w:r>
    </w:p>
    <w:p w14:paraId="030A2E9E">
      <w:pPr>
        <w:bidi w:val="0"/>
        <w:rPr>
          <w:rFonts w:hint="default" w:ascii="Times New Roman" w:hAnsi="Times New Roman" w:eastAsia="宋体" w:cs="Times New Roman"/>
          <w:b/>
          <w:bCs/>
          <w:color w:val="auto"/>
          <w:kern w:val="2"/>
          <w:sz w:val="28"/>
          <w:szCs w:val="28"/>
          <w:lang w:val="en-US" w:eastAsia="zh-CN" w:bidi="ar-SA"/>
        </w:rPr>
      </w:pPr>
      <w:r>
        <w:rPr>
          <w:rFonts w:hint="default" w:ascii="Times New Roman" w:hAnsi="Times New Roman" w:eastAsia="宋体" w:cs="Times New Roman"/>
          <w:b/>
          <w:bCs/>
          <w:color w:val="auto"/>
          <w:kern w:val="2"/>
          <w:sz w:val="28"/>
          <w:szCs w:val="28"/>
          <w:lang w:val="en-US" w:eastAsia="zh-CN" w:bidi="ar-SA"/>
        </w:rPr>
        <w:t>7.</w:t>
      </w:r>
      <w:r>
        <w:rPr>
          <w:rFonts w:hint="eastAsia" w:ascii="Times New Roman" w:hAnsi="Times New Roman" w:eastAsia="宋体" w:cs="Times New Roman"/>
          <w:b/>
          <w:bCs/>
          <w:color w:val="auto"/>
          <w:kern w:val="2"/>
          <w:sz w:val="28"/>
          <w:szCs w:val="28"/>
          <w:lang w:val="en-US" w:eastAsia="zh-CN" w:bidi="ar-SA"/>
        </w:rPr>
        <w:t>5</w:t>
      </w:r>
      <w:r>
        <w:rPr>
          <w:rFonts w:hint="default" w:ascii="Times New Roman" w:hAnsi="Times New Roman" w:eastAsia="宋体" w:cs="Times New Roman"/>
          <w:b/>
          <w:bCs/>
          <w:color w:val="auto"/>
          <w:kern w:val="2"/>
          <w:sz w:val="28"/>
          <w:szCs w:val="28"/>
          <w:lang w:val="en-US" w:eastAsia="zh-CN" w:bidi="ar-SA"/>
        </w:rPr>
        <w:t>、涂层厚度检测</w:t>
      </w:r>
    </w:p>
    <w:p w14:paraId="67401DAC">
      <w:pPr>
        <w:spacing w:before="120" w:after="120"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钢结构房屋防腐涂层检测根据《建筑结构检测技术标准》（GB/T 50344-2019）、《钢结构现场检测技术标准》（GB/T 50621-2010）、《钢结构工程施工质量验收标准》（GB 50205-2020）的规定进行。</w:t>
      </w:r>
    </w:p>
    <w:p w14:paraId="64B4DC76">
      <w:pPr>
        <w:spacing w:before="120" w:after="120"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涂层的检测项目应包括外观质量、涂层完整性、涂层厚度。</w:t>
      </w:r>
    </w:p>
    <w:p w14:paraId="66F37EF6">
      <w:pPr>
        <w:spacing w:before="120" w:after="120"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涂层外观质量和完整性采用观察检查，全数检测。</w:t>
      </w:r>
    </w:p>
    <w:p w14:paraId="2D27353D">
      <w:pPr>
        <w:spacing w:before="120" w:after="120"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钢构件外观完好区域的表面防腐涂层厚度采用涂膜测厚仪进行抽样检测，</w:t>
      </w:r>
      <w:r>
        <w:rPr>
          <w:rFonts w:hint="default" w:ascii="Times New Roman" w:hAnsi="Times New Roman" w:cs="Times New Roman"/>
          <w:b/>
          <w:bCs/>
          <w:color w:val="auto"/>
          <w:sz w:val="24"/>
        </w:rPr>
        <w:t>构件抽查数量不应少于</w:t>
      </w:r>
      <w:r>
        <w:rPr>
          <w:rFonts w:hint="eastAsia" w:ascii="Times New Roman" w:hAnsi="Times New Roman" w:cs="Times New Roman"/>
          <w:b/>
          <w:bCs/>
          <w:color w:val="auto"/>
          <w:sz w:val="24"/>
          <w:lang w:val="en-US" w:eastAsia="zh-CN"/>
        </w:rPr>
        <w:t>本文</w:t>
      </w:r>
      <w:r>
        <w:rPr>
          <w:rFonts w:hint="default" w:ascii="Times New Roman" w:hAnsi="Times New Roman" w:cs="Times New Roman"/>
          <w:b/>
          <w:bCs/>
          <w:color w:val="auto"/>
          <w:sz w:val="24"/>
        </w:rPr>
        <w:t>表</w:t>
      </w:r>
      <w:r>
        <w:rPr>
          <w:rFonts w:hint="eastAsia" w:ascii="Times New Roman" w:hAnsi="Times New Roman" w:cs="Times New Roman"/>
          <w:b/>
          <w:bCs/>
          <w:color w:val="auto"/>
          <w:sz w:val="24"/>
          <w:lang w:val="en-US" w:eastAsia="zh-CN"/>
        </w:rPr>
        <w:t>7.3.1</w:t>
      </w:r>
      <w:r>
        <w:rPr>
          <w:rFonts w:hint="default" w:ascii="Times New Roman" w:hAnsi="Times New Roman" w:cs="Times New Roman"/>
          <w:b/>
          <w:bCs/>
          <w:color w:val="auto"/>
          <w:sz w:val="24"/>
        </w:rPr>
        <w:t>中B类检测样本的最小容量，也不应少于3件。</w:t>
      </w:r>
      <w:r>
        <w:rPr>
          <w:rFonts w:hint="default" w:ascii="Times New Roman" w:hAnsi="Times New Roman" w:cs="Times New Roman"/>
          <w:color w:val="auto"/>
          <w:sz w:val="24"/>
        </w:rPr>
        <w:t>每个抽检构件检测5处，每处以3个相距50mm的测点（测点部位的涂层应表面完整且与钢材附着良好）干漆膜厚度的平均值作为该处涂层厚度的代表值。</w:t>
      </w:r>
    </w:p>
    <w:p w14:paraId="4A834B5C">
      <w:pPr>
        <w:spacing w:line="360" w:lineRule="auto"/>
        <w:ind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rPr>
        <w:t>《钢结构现场检测技术标准》（GB/T 50621-2010）规定：每处3个测点的涂层厚度平均值不应小于设计厚度的85％，同一构件上15个测点的涂层厚度平均值不应小于设计厚度。</w:t>
      </w:r>
      <w:r>
        <w:rPr>
          <w:rFonts w:hint="default" w:ascii="Times New Roman" w:hAnsi="Times New Roman" w:cs="Times New Roman"/>
          <w:b w:val="0"/>
          <w:bCs/>
          <w:color w:val="auto"/>
          <w:sz w:val="24"/>
        </w:rPr>
        <w:t>当设计对涂层厚度无要求时，涂层</w:t>
      </w:r>
      <w:r>
        <w:rPr>
          <w:rFonts w:hint="default" w:ascii="Times New Roman" w:hAnsi="Times New Roman" w:cs="Times New Roman"/>
          <w:color w:val="auto"/>
          <w:sz w:val="24"/>
        </w:rPr>
        <w:t>干漆膜总厚度，室内应为125μm，室外应为150μm，其允许偏差为-25μm</w:t>
      </w:r>
      <w:r>
        <w:rPr>
          <w:rFonts w:hint="default" w:ascii="Times New Roman" w:hAnsi="Times New Roman" w:eastAsia="宋体" w:cs="Times New Roman"/>
          <w:color w:val="auto"/>
          <w:kern w:val="2"/>
          <w:sz w:val="24"/>
          <w:szCs w:val="24"/>
          <w:lang w:val="en-US" w:eastAsia="zh-CN" w:bidi="ar-SA"/>
        </w:rPr>
        <w:t>。</w:t>
      </w:r>
    </w:p>
    <w:p w14:paraId="58E63AF0">
      <w:pPr>
        <w:bidi w:val="0"/>
        <w:rPr>
          <w:rFonts w:hint="default" w:ascii="Times New Roman" w:hAnsi="Times New Roman" w:eastAsia="宋体" w:cs="Times New Roman"/>
          <w:b/>
          <w:bCs/>
          <w:color w:val="auto"/>
          <w:kern w:val="2"/>
          <w:sz w:val="28"/>
          <w:szCs w:val="28"/>
          <w:lang w:val="en-US" w:eastAsia="zh-CN" w:bidi="ar-SA"/>
        </w:rPr>
      </w:pPr>
      <w:r>
        <w:rPr>
          <w:rFonts w:hint="default" w:ascii="Times New Roman" w:hAnsi="Times New Roman" w:eastAsia="宋体" w:cs="Times New Roman"/>
          <w:b/>
          <w:bCs/>
          <w:color w:val="auto"/>
          <w:kern w:val="2"/>
          <w:sz w:val="28"/>
          <w:szCs w:val="28"/>
          <w:lang w:val="en-US" w:eastAsia="zh-CN" w:bidi="ar-SA"/>
        </w:rPr>
        <w:t>7.</w:t>
      </w:r>
      <w:r>
        <w:rPr>
          <w:rFonts w:hint="eastAsia" w:ascii="Times New Roman" w:hAnsi="Times New Roman" w:eastAsia="宋体" w:cs="Times New Roman"/>
          <w:b/>
          <w:bCs/>
          <w:color w:val="auto"/>
          <w:kern w:val="2"/>
          <w:sz w:val="28"/>
          <w:szCs w:val="28"/>
          <w:lang w:val="en-US" w:eastAsia="zh-CN" w:bidi="ar-SA"/>
        </w:rPr>
        <w:t>6</w:t>
      </w:r>
      <w:r>
        <w:rPr>
          <w:rFonts w:hint="default" w:ascii="Times New Roman" w:hAnsi="Times New Roman" w:eastAsia="宋体" w:cs="Times New Roman"/>
          <w:b/>
          <w:bCs/>
          <w:color w:val="auto"/>
          <w:kern w:val="2"/>
          <w:sz w:val="28"/>
          <w:szCs w:val="28"/>
          <w:lang w:val="en-US" w:eastAsia="zh-CN" w:bidi="ar-SA"/>
        </w:rPr>
        <w:t>、钢结构钢材强度检测</w:t>
      </w:r>
    </w:p>
    <w:p w14:paraId="15445308">
      <w:pPr>
        <w:spacing w:before="120" w:after="120" w:line="360" w:lineRule="auto"/>
        <w:ind w:firstLine="480" w:firstLineChars="200"/>
        <w:jc w:val="left"/>
        <w:rPr>
          <w:rFonts w:hint="default" w:ascii="Times New Roman" w:hAnsi="Times New Roman" w:cs="Times New Roman"/>
          <w:color w:val="auto"/>
          <w:sz w:val="24"/>
        </w:rPr>
      </w:pPr>
      <w:r>
        <w:rPr>
          <w:rFonts w:hint="eastAsia"/>
          <w:color w:val="auto"/>
          <w:sz w:val="24"/>
        </w:rPr>
        <w:t>现场检测时，将钢材牌号</w:t>
      </w:r>
      <w:r>
        <w:rPr>
          <w:rFonts w:hint="default" w:ascii="Times New Roman" w:hAnsi="Times New Roman" w:cs="Times New Roman"/>
          <w:color w:val="auto"/>
          <w:sz w:val="24"/>
        </w:rPr>
        <w:t>相同的同类构件划分为一个检验批。</w:t>
      </w:r>
      <w:r>
        <w:rPr>
          <w:rFonts w:hint="default" w:ascii="Times New Roman" w:hAnsi="Times New Roman" w:cs="Times New Roman"/>
          <w:b/>
          <w:color w:val="auto"/>
          <w:sz w:val="24"/>
        </w:rPr>
        <w:t>在检测批中随抽取构件，抽检数量不得少于</w:t>
      </w:r>
      <w:r>
        <w:rPr>
          <w:rFonts w:hint="default" w:ascii="Times New Roman" w:hAnsi="Times New Roman" w:cs="Times New Roman"/>
          <w:b/>
          <w:color w:val="auto"/>
          <w:sz w:val="24"/>
          <w:lang w:val="en-US" w:eastAsia="zh-CN"/>
        </w:rPr>
        <w:t>本文</w:t>
      </w:r>
      <w:r>
        <w:rPr>
          <w:rFonts w:hint="default" w:ascii="Times New Roman" w:hAnsi="Times New Roman" w:cs="Times New Roman"/>
          <w:b/>
          <w:color w:val="auto"/>
          <w:sz w:val="24"/>
        </w:rPr>
        <w:t>表</w:t>
      </w:r>
      <w:r>
        <w:rPr>
          <w:rFonts w:hint="default" w:ascii="Times New Roman" w:hAnsi="Times New Roman" w:cs="Times New Roman"/>
          <w:b/>
          <w:color w:val="auto"/>
          <w:sz w:val="24"/>
          <w:lang w:val="en-US" w:eastAsia="zh-CN"/>
        </w:rPr>
        <w:t>7.3.1</w:t>
      </w:r>
      <w:r>
        <w:rPr>
          <w:rFonts w:hint="default" w:ascii="Times New Roman" w:hAnsi="Times New Roman" w:cs="Times New Roman"/>
          <w:b/>
          <w:color w:val="auto"/>
          <w:sz w:val="24"/>
        </w:rPr>
        <w:t>规定的B类检测最少抽样数量。</w:t>
      </w:r>
    </w:p>
    <w:p w14:paraId="501DBBB7">
      <w:pPr>
        <w:spacing w:before="120" w:after="120" w:line="360" w:lineRule="auto"/>
        <w:ind w:firstLine="480" w:firstLineChars="200"/>
        <w:jc w:val="left"/>
        <w:rPr>
          <w:color w:val="auto"/>
          <w:sz w:val="24"/>
        </w:rPr>
      </w:pPr>
      <w:r>
        <w:rPr>
          <w:rFonts w:hint="default" w:ascii="Times New Roman" w:hAnsi="Times New Roman" w:cs="Times New Roman"/>
          <w:color w:val="auto"/>
          <w:sz w:val="24"/>
        </w:rPr>
        <w:t>现场对钢材厚度不小于6mm，曲面曲率半径不小于30mm的钢构件，钢材强度采用表面硬度法检测。现场采用里氏硬度计按《金属材料里氏硬度试验 第1部分：试验方法》(GB/T17394.1-2014)和《建筑结构检测技术标准</w:t>
      </w:r>
      <w:r>
        <w:rPr>
          <w:color w:val="auto"/>
          <w:sz w:val="24"/>
        </w:rPr>
        <w:t>》（GB/T 50344-2019）的规定测量抽检钢构件的里氏硬度值(HL)，换算得出钢材的抗拉强度。</w:t>
      </w:r>
    </w:p>
    <w:p w14:paraId="70B94F41">
      <w:pPr>
        <w:spacing w:before="120" w:after="120"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（1）测区布置及处理</w:t>
      </w:r>
    </w:p>
    <w:p w14:paraId="1AB8E05D">
      <w:pPr>
        <w:spacing w:before="120" w:after="120"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根据现场实际情况确定检测构件的数量。在每一抽检构件布置测区：测区宜布置在里氏硬度计能垂直向下检测的钢材表面，也可布置在非垂直向下的钢材表面；测区宜布置在测试时不产生颤振的部位；每一抽检构件上测区数量不应少于3个。</w:t>
      </w:r>
    </w:p>
    <w:p w14:paraId="35EFAC7F">
      <w:pPr>
        <w:spacing w:before="120" w:after="120"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测区钢材表面应进行打磨处理，去除各种涂层，并应用粗、细砂纸打磨至表面粗糙度R</w:t>
      </w:r>
      <w:r>
        <w:rPr>
          <w:rFonts w:hint="default" w:ascii="Times New Roman" w:hAnsi="Times New Roman" w:cs="Times New Roman"/>
          <w:i/>
          <w:color w:val="auto"/>
          <w:sz w:val="24"/>
        </w:rPr>
        <w:t>a</w:t>
      </w:r>
      <w:r>
        <w:rPr>
          <w:rFonts w:hint="default" w:ascii="Times New Roman" w:hAnsi="Times New Roman" w:cs="Times New Roman"/>
          <w:color w:val="auto"/>
          <w:sz w:val="24"/>
        </w:rPr>
        <w:t>的平均值不大于1.6μm；每个测区打磨的区域不应小于30mm</w:t>
      </w:r>
      <w:r>
        <w:rPr>
          <w:rFonts w:hint="default" w:ascii="Times New Roman" w:hAnsi="Times New Roman" w:cs="Times New Roman"/>
          <w:color w:val="auto"/>
          <w:sz w:val="24"/>
        </w:rPr>
        <w:sym w:font="Symbol" w:char="F0B4"/>
      </w:r>
      <w:r>
        <w:rPr>
          <w:rFonts w:hint="default" w:ascii="Times New Roman" w:hAnsi="Times New Roman" w:cs="Times New Roman"/>
          <w:color w:val="auto"/>
          <w:sz w:val="24"/>
        </w:rPr>
        <w:t>60mm。</w:t>
      </w:r>
    </w:p>
    <w:p w14:paraId="516B9C1E">
      <w:pPr>
        <w:spacing w:before="120" w:after="120"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（2）测区内的测点布置及硬度测试</w:t>
      </w:r>
    </w:p>
    <w:p w14:paraId="5B04A565">
      <w:pPr>
        <w:spacing w:before="120" w:after="120"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每一测区内均匀布置9个测点，测点之间的距离应大于4mm，测点距构件边缘距离不应小于5mm。</w:t>
      </w:r>
    </w:p>
    <w:p w14:paraId="78821233">
      <w:pPr>
        <w:spacing w:before="120" w:after="120"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测试时冲击装置应紧压在测区的测点上，冲击方向应与测试面垂直；同一测点只应测试一次，测点的里氏硬度值应精确至1HL。</w:t>
      </w:r>
    </w:p>
    <w:p w14:paraId="73660E1B">
      <w:pPr>
        <w:spacing w:before="120" w:after="120"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（3）硬度计算及修正、测区钢材强度换算</w:t>
      </w:r>
    </w:p>
    <w:p w14:paraId="2D943B8F">
      <w:pPr>
        <w:spacing w:before="120" w:after="120"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从测区9个里氏硬度测试值中剔除2个最大值和2个最小值，余下的5个里氏硬度测试值按下式计算平均值：</w:t>
      </w:r>
    </w:p>
    <w:p w14:paraId="1AA9EA94">
      <w:pPr>
        <w:adjustRightInd w:val="0"/>
        <w:snapToGrid w:val="0"/>
        <w:spacing w:before="120" w:after="120" w:line="360" w:lineRule="auto"/>
        <w:ind w:firstLine="420" w:firstLineChars="200"/>
        <w:jc w:val="left"/>
        <w:rPr>
          <w:rFonts w:hint="default" w:ascii="Times New Roman" w:hAnsi="Times New Roman" w:cs="Times New Roman"/>
          <w:color w:val="auto"/>
          <w:highlight w:val="lightGray"/>
        </w:rPr>
      </w:pPr>
      <w:r>
        <w:rPr>
          <w:rFonts w:hint="default" w:ascii="Times New Roman" w:hAnsi="Times New Roman" w:cs="Times New Roman"/>
          <w:color w:val="auto"/>
        </w:rPr>
        <w:t xml:space="preserve">             </w:t>
      </w:r>
      <w:r>
        <w:rPr>
          <w:rFonts w:hint="default" w:ascii="Times New Roman" w:hAnsi="Times New Roman" w:cs="Times New Roman"/>
          <w:color w:val="auto"/>
          <w:position w:val="-28"/>
        </w:rPr>
        <w:object>
          <v:shape id="_x0000_i1025" o:spt="75" type="#_x0000_t75" style="height:33.95pt;width:81.5pt;" o:ole="t" filled="f" o:preferrelative="t" stroked="f" coordsize="21600,21600">
            <v:path/>
            <v:fill on="f" focussize="0,0"/>
            <v:stroke on="f" joinstyle="miter"/>
            <v:imagedata r:id="rId17" o:title=""/>
            <o:lock v:ext="edit" aspectratio="t"/>
            <w10:wrap type="none"/>
            <w10:anchorlock/>
          </v:shape>
          <o:OLEObject Type="Embed" ProgID="Equation.3" ShapeID="_x0000_i1025" DrawAspect="Content" ObjectID="_1468075725" r:id="rId16">
            <o:LockedField>false</o:LockedField>
          </o:OLEObject>
        </w:object>
      </w:r>
      <w:r>
        <w:rPr>
          <w:rFonts w:hint="default" w:ascii="Times New Roman" w:hAnsi="Times New Roman" w:cs="Times New Roman"/>
          <w:color w:val="auto"/>
        </w:rPr>
        <w:t xml:space="preserve">                                     </w:t>
      </w:r>
    </w:p>
    <w:p w14:paraId="5A766EA4">
      <w:pPr>
        <w:adjustRightInd w:val="0"/>
        <w:snapToGrid w:val="0"/>
        <w:spacing w:before="120" w:after="120" w:line="360" w:lineRule="auto"/>
        <w:ind w:firstLine="200"/>
        <w:jc w:val="left"/>
        <w:rPr>
          <w:rFonts w:hint="default" w:ascii="Times New Roman" w:hAnsi="Times New Roman" w:cs="Times New Roman"/>
          <w:color w:val="auto"/>
        </w:rPr>
      </w:pPr>
      <w:r>
        <w:rPr>
          <w:rFonts w:hint="default" w:ascii="Times New Roman" w:hAnsi="Times New Roman" w:cs="Times New Roman"/>
          <w:color w:val="auto"/>
        </w:rPr>
        <w:t>式中：HL</w:t>
      </w:r>
      <w:r>
        <w:rPr>
          <w:rFonts w:hint="default" w:ascii="Times New Roman" w:hAnsi="Times New Roman" w:cs="Times New Roman"/>
          <w:color w:val="auto"/>
          <w:vertAlign w:val="subscript"/>
        </w:rPr>
        <w:t>m</w:t>
      </w:r>
      <w:r>
        <w:rPr>
          <w:rFonts w:hint="default" w:ascii="Times New Roman" w:hAnsi="Times New Roman" w:cs="Times New Roman"/>
          <w:color w:val="auto"/>
        </w:rPr>
        <w:t>—测区里氏硬度的测试平均值，精确到1HL；</w:t>
      </w:r>
    </w:p>
    <w:p w14:paraId="6FC9AB47">
      <w:pPr>
        <w:adjustRightInd w:val="0"/>
        <w:snapToGrid w:val="0"/>
        <w:spacing w:before="120" w:after="120" w:line="360" w:lineRule="auto"/>
        <w:ind w:firstLine="630" w:firstLineChars="300"/>
        <w:jc w:val="left"/>
        <w:rPr>
          <w:rFonts w:hint="default" w:ascii="Times New Roman" w:hAnsi="Times New Roman" w:cs="Times New Roman"/>
          <w:color w:val="auto"/>
        </w:rPr>
      </w:pPr>
      <w:r>
        <w:rPr>
          <w:rFonts w:hint="default" w:ascii="Times New Roman" w:hAnsi="Times New Roman" w:cs="Times New Roman"/>
          <w:color w:val="auto"/>
        </w:rPr>
        <w:t>HL</w:t>
      </w:r>
      <w:r>
        <w:rPr>
          <w:rFonts w:hint="default" w:ascii="Times New Roman" w:hAnsi="Times New Roman" w:cs="Times New Roman"/>
          <w:color w:val="auto"/>
          <w:vertAlign w:val="subscript"/>
        </w:rPr>
        <w:t xml:space="preserve">i </w:t>
      </w:r>
      <w:r>
        <w:rPr>
          <w:rFonts w:hint="default" w:ascii="Times New Roman" w:hAnsi="Times New Roman" w:cs="Times New Roman"/>
          <w:color w:val="auto"/>
        </w:rPr>
        <w:t>—测区余下5个测试值中第i个测点的里氏硬度值。</w:t>
      </w:r>
    </w:p>
    <w:p w14:paraId="37FAE3CF">
      <w:pPr>
        <w:adjustRightInd w:val="0"/>
        <w:snapToGrid w:val="0"/>
        <w:spacing w:before="120" w:after="120"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当非垂直方向检测钢结构构件表面时，应按下式对测区里氏硬度平均值进行弹击角度和弹击方向修正：</w:t>
      </w:r>
    </w:p>
    <w:p w14:paraId="7755AF91">
      <w:pPr>
        <w:adjustRightInd w:val="0"/>
        <w:snapToGrid w:val="0"/>
        <w:spacing w:before="120" w:after="120" w:line="360" w:lineRule="auto"/>
        <w:ind w:firstLine="1890" w:firstLineChars="900"/>
        <w:jc w:val="left"/>
        <w:rPr>
          <w:rFonts w:hint="default" w:ascii="Times New Roman" w:hAnsi="Times New Roman" w:cs="Times New Roman"/>
          <w:color w:val="auto"/>
          <w:szCs w:val="21"/>
        </w:rPr>
      </w:pPr>
      <w:r>
        <w:rPr>
          <w:rFonts w:hint="default" w:ascii="Times New Roman" w:hAnsi="Times New Roman" w:cs="Times New Roman"/>
          <w:color w:val="auto"/>
          <w:szCs w:val="21"/>
        </w:rPr>
        <w:t>HL</w:t>
      </w:r>
      <w:r>
        <w:rPr>
          <w:rFonts w:hint="default" w:ascii="Times New Roman" w:hAnsi="Times New Roman" w:cs="Times New Roman"/>
          <w:color w:val="auto"/>
          <w:szCs w:val="21"/>
          <w:vertAlign w:val="subscript"/>
        </w:rPr>
        <w:t>dm</w:t>
      </w:r>
      <w:r>
        <w:rPr>
          <w:rFonts w:hint="default" w:ascii="Times New Roman" w:hAnsi="Times New Roman" w:cs="Times New Roman"/>
          <w:color w:val="auto"/>
          <w:szCs w:val="21"/>
        </w:rPr>
        <w:t xml:space="preserve"> = HL</w:t>
      </w:r>
      <w:r>
        <w:rPr>
          <w:rFonts w:hint="default" w:ascii="Times New Roman" w:hAnsi="Times New Roman" w:cs="Times New Roman"/>
          <w:color w:val="auto"/>
          <w:szCs w:val="21"/>
          <w:vertAlign w:val="subscript"/>
        </w:rPr>
        <w:t>m</w:t>
      </w:r>
      <w:r>
        <w:rPr>
          <w:rFonts w:hint="default" w:ascii="Times New Roman" w:hAnsi="Times New Roman" w:cs="Times New Roman"/>
          <w:color w:val="auto"/>
          <w:szCs w:val="21"/>
        </w:rPr>
        <w:t xml:space="preserve"> + HL</w:t>
      </w:r>
      <w:r>
        <w:rPr>
          <w:rFonts w:hint="default" w:ascii="Times New Roman" w:hAnsi="Times New Roman" w:cs="Times New Roman"/>
          <w:color w:val="auto"/>
          <w:szCs w:val="21"/>
          <w:vertAlign w:val="subscript"/>
        </w:rPr>
        <w:t xml:space="preserve">a </w:t>
      </w:r>
      <w:r>
        <w:rPr>
          <w:rFonts w:hint="default" w:ascii="Times New Roman" w:hAnsi="Times New Roman" w:cs="Times New Roman"/>
          <w:color w:val="auto"/>
          <w:szCs w:val="21"/>
        </w:rPr>
        <w:t xml:space="preserve">                               </w:t>
      </w:r>
    </w:p>
    <w:p w14:paraId="03501F40">
      <w:pPr>
        <w:adjustRightInd w:val="0"/>
        <w:snapToGrid w:val="0"/>
        <w:spacing w:before="120" w:after="120" w:line="360" w:lineRule="auto"/>
        <w:jc w:val="left"/>
        <w:rPr>
          <w:rFonts w:hint="default" w:ascii="Times New Roman" w:hAnsi="Times New Roman" w:cs="Times New Roman"/>
          <w:color w:val="auto"/>
        </w:rPr>
      </w:pPr>
      <w:r>
        <w:rPr>
          <w:rFonts w:hint="default" w:ascii="Times New Roman" w:hAnsi="Times New Roman" w:cs="Times New Roman"/>
          <w:color w:val="auto"/>
        </w:rPr>
        <w:t>式中：HL</w:t>
      </w:r>
      <w:r>
        <w:rPr>
          <w:rFonts w:hint="default" w:ascii="Times New Roman" w:hAnsi="Times New Roman" w:cs="Times New Roman"/>
          <w:color w:val="auto"/>
          <w:vertAlign w:val="subscript"/>
        </w:rPr>
        <w:t>dm</w:t>
      </w:r>
      <w:r>
        <w:rPr>
          <w:rFonts w:hint="default" w:ascii="Times New Roman" w:hAnsi="Times New Roman" w:cs="Times New Roman"/>
          <w:color w:val="auto"/>
        </w:rPr>
        <w:t>—修正后的垂直方向里氏硬度平均值；</w:t>
      </w:r>
    </w:p>
    <w:p w14:paraId="46E4670D">
      <w:pPr>
        <w:adjustRightInd w:val="0"/>
        <w:snapToGrid w:val="0"/>
        <w:spacing w:before="120" w:after="120" w:line="360" w:lineRule="auto"/>
        <w:ind w:firstLine="630" w:firstLineChars="300"/>
        <w:jc w:val="left"/>
        <w:rPr>
          <w:rFonts w:hint="default" w:ascii="Times New Roman" w:hAnsi="Times New Roman" w:cs="Times New Roman"/>
          <w:color w:val="auto"/>
          <w:highlight w:val="lightGray"/>
        </w:rPr>
      </w:pPr>
      <w:r>
        <w:rPr>
          <w:rFonts w:hint="default" w:ascii="Times New Roman" w:hAnsi="Times New Roman" w:cs="Times New Roman"/>
          <w:color w:val="auto"/>
        </w:rPr>
        <w:t>HL</w:t>
      </w:r>
      <w:r>
        <w:rPr>
          <w:rFonts w:hint="default" w:ascii="Times New Roman" w:hAnsi="Times New Roman" w:cs="Times New Roman"/>
          <w:color w:val="auto"/>
          <w:vertAlign w:val="subscript"/>
        </w:rPr>
        <w:t>m</w:t>
      </w:r>
      <w:r>
        <w:rPr>
          <w:rFonts w:hint="default" w:ascii="Times New Roman" w:hAnsi="Times New Roman" w:cs="Times New Roman"/>
          <w:color w:val="auto"/>
        </w:rPr>
        <w:t>—非垂直向下检测时测区里氏硬度的平均值；</w:t>
      </w:r>
    </w:p>
    <w:p w14:paraId="3526784B">
      <w:pPr>
        <w:adjustRightInd w:val="0"/>
        <w:snapToGrid w:val="0"/>
        <w:spacing w:before="120" w:after="120" w:line="360" w:lineRule="auto"/>
        <w:ind w:left="630" w:hanging="630" w:hangingChars="300"/>
        <w:jc w:val="left"/>
        <w:rPr>
          <w:rFonts w:hint="default" w:ascii="Times New Roman" w:hAnsi="Times New Roman" w:cs="Times New Roman"/>
          <w:color w:val="auto"/>
        </w:rPr>
      </w:pPr>
      <w:r>
        <w:rPr>
          <w:rFonts w:hint="default" w:ascii="Times New Roman" w:hAnsi="Times New Roman" w:cs="Times New Roman"/>
          <w:color w:val="auto"/>
        </w:rPr>
        <w:t>HL</w:t>
      </w:r>
      <w:r>
        <w:rPr>
          <w:rFonts w:hint="default" w:ascii="Times New Roman" w:hAnsi="Times New Roman" w:cs="Times New Roman"/>
          <w:color w:val="auto"/>
          <w:vertAlign w:val="subscript"/>
        </w:rPr>
        <w:t>a</w:t>
      </w:r>
      <w:r>
        <w:rPr>
          <w:rFonts w:hint="default" w:ascii="Times New Roman" w:hAnsi="Times New Roman" w:cs="Times New Roman"/>
          <w:color w:val="auto"/>
        </w:rPr>
        <w:t>—非垂直向下方向检测时里氏硬度修正值，按《建筑结构检测技术标准》（GB/T 50344-2019）表N.3.3采用。</w:t>
      </w:r>
    </w:p>
    <w:p w14:paraId="65495C65">
      <w:pPr>
        <w:spacing w:before="120" w:after="120"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当测区钢材的厚度小于12mm时，应按下式对测区里氏硬度平均值进行修正：</w:t>
      </w:r>
    </w:p>
    <w:p w14:paraId="06C56F17">
      <w:pPr>
        <w:adjustRightInd w:val="0"/>
        <w:snapToGrid w:val="0"/>
        <w:spacing w:before="120" w:after="120" w:line="360" w:lineRule="auto"/>
        <w:ind w:firstLine="2205" w:firstLineChars="1050"/>
        <w:jc w:val="left"/>
        <w:rPr>
          <w:rFonts w:hint="default" w:ascii="Times New Roman" w:hAnsi="Times New Roman" w:cs="Times New Roman"/>
          <w:color w:val="auto"/>
        </w:rPr>
      </w:pPr>
      <w:r>
        <w:rPr>
          <w:rFonts w:hint="default" w:ascii="Times New Roman" w:hAnsi="Times New Roman" w:cs="Times New Roman"/>
          <w:color w:val="auto"/>
        </w:rPr>
        <w:t>HL</w:t>
      </w:r>
      <w:r>
        <w:rPr>
          <w:rFonts w:hint="default" w:ascii="Times New Roman" w:hAnsi="Times New Roman" w:cs="Times New Roman"/>
          <w:color w:val="auto"/>
          <w:vertAlign w:val="subscript"/>
        </w:rPr>
        <w:t>dm</w:t>
      </w:r>
      <w:r>
        <w:rPr>
          <w:rFonts w:hint="default" w:ascii="Times New Roman" w:hAnsi="Times New Roman" w:cs="Times New Roman"/>
          <w:color w:val="auto"/>
        </w:rPr>
        <w:t xml:space="preserve"> = HL</w:t>
      </w:r>
      <w:r>
        <w:rPr>
          <w:rFonts w:hint="default" w:ascii="Times New Roman" w:hAnsi="Times New Roman" w:cs="Times New Roman"/>
          <w:color w:val="auto"/>
          <w:vertAlign w:val="subscript"/>
        </w:rPr>
        <w:t>m</w:t>
      </w:r>
      <w:r>
        <w:rPr>
          <w:rFonts w:hint="default" w:ascii="Times New Roman" w:hAnsi="Times New Roman" w:cs="Times New Roman"/>
          <w:color w:val="auto"/>
        </w:rPr>
        <w:t xml:space="preserve"> + HL</w:t>
      </w:r>
      <w:r>
        <w:rPr>
          <w:rFonts w:hint="default" w:ascii="Times New Roman" w:hAnsi="Times New Roman" w:cs="Times New Roman"/>
          <w:color w:val="auto"/>
          <w:vertAlign w:val="subscript"/>
        </w:rPr>
        <w:t>t</w:t>
      </w:r>
      <w:r>
        <w:rPr>
          <w:rFonts w:hint="default" w:ascii="Times New Roman" w:hAnsi="Times New Roman" w:cs="Times New Roman"/>
          <w:color w:val="auto"/>
        </w:rPr>
        <w:t xml:space="preserve">                                 </w:t>
      </w:r>
    </w:p>
    <w:p w14:paraId="3AC6CF29">
      <w:pPr>
        <w:adjustRightInd w:val="0"/>
        <w:snapToGrid w:val="0"/>
        <w:spacing w:before="120" w:after="120" w:line="360" w:lineRule="auto"/>
        <w:ind w:left="1155" w:hanging="1155" w:hangingChars="550"/>
        <w:jc w:val="left"/>
        <w:rPr>
          <w:rFonts w:hint="default" w:ascii="Times New Roman" w:hAnsi="Times New Roman" w:cs="Times New Roman"/>
          <w:color w:val="auto"/>
        </w:rPr>
      </w:pPr>
      <w:r>
        <w:rPr>
          <w:rFonts w:hint="default" w:ascii="Times New Roman" w:hAnsi="Times New Roman" w:cs="Times New Roman"/>
          <w:color w:val="auto"/>
        </w:rPr>
        <w:t>式中：HL</w:t>
      </w:r>
      <w:r>
        <w:rPr>
          <w:rFonts w:hint="default" w:ascii="Times New Roman" w:hAnsi="Times New Roman" w:cs="Times New Roman"/>
          <w:color w:val="auto"/>
          <w:vertAlign w:val="subscript"/>
        </w:rPr>
        <w:t>t</w:t>
      </w:r>
      <w:r>
        <w:rPr>
          <w:rFonts w:hint="default" w:ascii="Times New Roman" w:hAnsi="Times New Roman" w:cs="Times New Roman"/>
          <w:color w:val="auto"/>
        </w:rPr>
        <w:t>—检测不同的钢材厚度时里氏硬度修正值，按《建筑结构检测技术标准》（GB/T 50344-2019）表 N. 3.4采用。</w:t>
      </w:r>
    </w:p>
    <w:p w14:paraId="5AA7101C">
      <w:pPr>
        <w:spacing w:before="120" w:after="120"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根据测区修正后的里氏硬度的代表值HL</w:t>
      </w:r>
      <w:r>
        <w:rPr>
          <w:rFonts w:hint="default" w:ascii="Times New Roman" w:hAnsi="Times New Roman" w:cs="Times New Roman"/>
          <w:color w:val="auto"/>
          <w:sz w:val="24"/>
          <w:vertAlign w:val="subscript"/>
        </w:rPr>
        <w:t>dm</w:t>
      </w:r>
      <w:r>
        <w:rPr>
          <w:rFonts w:hint="default" w:ascii="Times New Roman" w:hAnsi="Times New Roman" w:cs="Times New Roman"/>
          <w:color w:val="auto"/>
          <w:sz w:val="24"/>
        </w:rPr>
        <w:t>，按《建筑结构检测技术标准》（GB/T 50344-2019）表N. 3. 5确定测区钢材抗拉强度的最小值</w:t>
      </w:r>
      <w:r>
        <w:rPr>
          <w:rFonts w:hint="default" w:ascii="Times New Roman" w:hAnsi="Times New Roman" w:cs="Times New Roman"/>
          <w:i/>
          <w:color w:val="auto"/>
          <w:sz w:val="24"/>
        </w:rPr>
        <w:t>f</w:t>
      </w:r>
      <w:r>
        <w:rPr>
          <w:rFonts w:hint="default" w:ascii="Times New Roman" w:hAnsi="Times New Roman" w:cs="Times New Roman"/>
          <w:color w:val="auto"/>
          <w:sz w:val="24"/>
          <w:vertAlign w:val="subscript"/>
        </w:rPr>
        <w:t>b,mim</w:t>
      </w:r>
      <w:r>
        <w:rPr>
          <w:rFonts w:hint="default" w:ascii="Times New Roman" w:hAnsi="Times New Roman" w:cs="Times New Roman"/>
          <w:color w:val="auto"/>
          <w:sz w:val="24"/>
        </w:rPr>
        <w:t>和最大值</w:t>
      </w:r>
      <w:r>
        <w:rPr>
          <w:rFonts w:hint="default" w:ascii="Times New Roman" w:hAnsi="Times New Roman" w:cs="Times New Roman"/>
          <w:i/>
          <w:color w:val="auto"/>
          <w:sz w:val="24"/>
        </w:rPr>
        <w:t>f</w:t>
      </w:r>
      <w:r>
        <w:rPr>
          <w:rFonts w:hint="default" w:ascii="Times New Roman" w:hAnsi="Times New Roman" w:cs="Times New Roman"/>
          <w:color w:val="auto"/>
          <w:sz w:val="24"/>
          <w:vertAlign w:val="subscript"/>
        </w:rPr>
        <w:t>b,max</w:t>
      </w:r>
      <w:r>
        <w:rPr>
          <w:rFonts w:hint="default" w:ascii="Times New Roman" w:hAnsi="Times New Roman" w:cs="Times New Roman"/>
          <w:color w:val="auto"/>
          <w:sz w:val="24"/>
        </w:rPr>
        <w:t>。</w:t>
      </w:r>
    </w:p>
    <w:p w14:paraId="1C86D299">
      <w:pPr>
        <w:spacing w:before="120" w:after="120"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（4）钢材强度的推定和强度等级的区分</w:t>
      </w:r>
    </w:p>
    <w:p w14:paraId="614BD909">
      <w:pPr>
        <w:spacing w:before="120" w:after="120"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单个构件：取3个测区换算抗拉强度最小值</w:t>
      </w:r>
      <w:r>
        <w:rPr>
          <w:rFonts w:hint="default" w:ascii="Times New Roman" w:hAnsi="Times New Roman" w:cs="Times New Roman"/>
          <w:i/>
          <w:color w:val="auto"/>
          <w:sz w:val="24"/>
        </w:rPr>
        <w:t>f</w:t>
      </w:r>
      <w:r>
        <w:rPr>
          <w:rFonts w:hint="default" w:ascii="Times New Roman" w:hAnsi="Times New Roman" w:cs="Times New Roman"/>
          <w:color w:val="auto"/>
          <w:sz w:val="24"/>
          <w:vertAlign w:val="subscript"/>
        </w:rPr>
        <w:t>b,mim</w:t>
      </w:r>
      <w:r>
        <w:rPr>
          <w:rFonts w:hint="default" w:ascii="Times New Roman" w:hAnsi="Times New Roman" w:cs="Times New Roman"/>
          <w:color w:val="auto"/>
          <w:sz w:val="24"/>
        </w:rPr>
        <w:t>的平均值作为该构件推定范围的下限值，取3个测区换算抗拉强度最大值</w:t>
      </w:r>
      <w:r>
        <w:rPr>
          <w:rFonts w:hint="default" w:ascii="Times New Roman" w:hAnsi="Times New Roman" w:cs="Times New Roman"/>
          <w:i/>
          <w:color w:val="auto"/>
          <w:sz w:val="24"/>
        </w:rPr>
        <w:t>f</w:t>
      </w:r>
      <w:r>
        <w:rPr>
          <w:rFonts w:hint="default" w:ascii="Times New Roman" w:hAnsi="Times New Roman" w:cs="Times New Roman"/>
          <w:color w:val="auto"/>
          <w:sz w:val="24"/>
          <w:vertAlign w:val="subscript"/>
        </w:rPr>
        <w:t>b,max</w:t>
      </w:r>
      <w:r>
        <w:rPr>
          <w:rFonts w:hint="default" w:ascii="Times New Roman" w:hAnsi="Times New Roman" w:cs="Times New Roman"/>
          <w:color w:val="auto"/>
          <w:sz w:val="24"/>
        </w:rPr>
        <w:t>的平均值作为该构件推定范围的上限值；该构件抗拉强度的推定值，取构件推定范围上限值与下限值的平均值；该构件抗拉强度的特征值，取推定范围的下限值。</w:t>
      </w:r>
    </w:p>
    <w:p w14:paraId="0587374C">
      <w:pPr>
        <w:spacing w:before="120" w:after="120" w:line="360" w:lineRule="auto"/>
        <w:ind w:firstLine="480" w:firstLineChars="200"/>
        <w:jc w:val="left"/>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rPr>
        <w:t>检验批：钢材抗拉强度特征值接近的构件可视为同等强度等级；所有构件钢材抗拉强度特征值的平均值可作为与钢材强度等级对应抗拉强度标准值的比较值。当构件钢材抗拉强度代表值在该种钢材产品标准的极限抗拉强度范围内时，可判定该构件满足设计要求。当检测批所有构件均满足要求时，对工程质量的检测可判定为符合设计要求。</w:t>
      </w:r>
    </w:p>
    <w:p w14:paraId="5628A2A1">
      <w:pPr>
        <w:bidi w:val="0"/>
        <w:rPr>
          <w:rFonts w:hint="default" w:ascii="Times New Roman" w:hAnsi="Times New Roman" w:eastAsia="宋体" w:cs="Times New Roman"/>
          <w:b/>
          <w:bCs/>
          <w:color w:val="auto"/>
          <w:kern w:val="2"/>
          <w:sz w:val="28"/>
          <w:szCs w:val="28"/>
          <w:lang w:val="en-US" w:eastAsia="zh-CN" w:bidi="ar-SA"/>
        </w:rPr>
      </w:pPr>
      <w:r>
        <w:rPr>
          <w:rFonts w:hint="default" w:ascii="Times New Roman" w:hAnsi="Times New Roman" w:eastAsia="宋体" w:cs="Times New Roman"/>
          <w:b/>
          <w:bCs/>
          <w:color w:val="auto"/>
          <w:kern w:val="2"/>
          <w:sz w:val="28"/>
          <w:szCs w:val="28"/>
          <w:lang w:val="en-US" w:eastAsia="zh-CN" w:bidi="ar-SA"/>
        </w:rPr>
        <w:t>7.</w:t>
      </w:r>
      <w:r>
        <w:rPr>
          <w:rFonts w:hint="eastAsia" w:ascii="Times New Roman" w:hAnsi="Times New Roman" w:eastAsia="宋体" w:cs="Times New Roman"/>
          <w:b/>
          <w:bCs/>
          <w:color w:val="auto"/>
          <w:kern w:val="2"/>
          <w:sz w:val="28"/>
          <w:szCs w:val="28"/>
          <w:lang w:val="en-US" w:eastAsia="zh-CN" w:bidi="ar-SA"/>
        </w:rPr>
        <w:t>7、</w:t>
      </w:r>
      <w:r>
        <w:rPr>
          <w:rFonts w:hint="default" w:ascii="Times New Roman" w:hAnsi="Times New Roman" w:eastAsia="宋体" w:cs="Times New Roman"/>
          <w:b/>
          <w:bCs/>
          <w:color w:val="auto"/>
          <w:kern w:val="2"/>
          <w:sz w:val="28"/>
          <w:szCs w:val="28"/>
          <w:lang w:val="en-US" w:eastAsia="zh-CN" w:bidi="ar-SA"/>
        </w:rPr>
        <w:t>钢柱垂直度、钢梁挠度检测</w:t>
      </w:r>
    </w:p>
    <w:p w14:paraId="6444EDA4">
      <w:pPr>
        <w:spacing w:line="360" w:lineRule="auto"/>
        <w:ind w:firstLine="480" w:firstLineChars="200"/>
        <w:jc w:val="left"/>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依据设计图纸，现场采用全站仪对该厂房钢柱垂直度、钢梁挠度进行抽样检测，检测方法与偏差允许值应按《钢结构工程施工质量验收规范》（GB/T50205-2020）、《钢结构设计标准》（GB50017-2017）确定。</w:t>
      </w:r>
      <w:r>
        <w:rPr>
          <w:rFonts w:hint="default" w:ascii="Times New Roman" w:hAnsi="Times New Roman" w:eastAsia="宋体" w:cs="Times New Roman"/>
          <w:b/>
          <w:bCs/>
          <w:color w:val="auto"/>
          <w:kern w:val="2"/>
          <w:sz w:val="24"/>
          <w:szCs w:val="24"/>
          <w:lang w:val="en-US" w:eastAsia="zh-CN" w:bidi="ar-SA"/>
        </w:rPr>
        <w:t>抽检数量不少于《建筑结构检测技术标准》（GB/T50344－2019）中规定的检验批最小样本容量的要求</w:t>
      </w:r>
      <w:r>
        <w:rPr>
          <w:rFonts w:hint="default" w:ascii="Times New Roman" w:hAnsi="Times New Roman" w:eastAsia="宋体" w:cs="Times New Roman"/>
          <w:color w:val="auto"/>
          <w:kern w:val="2"/>
          <w:sz w:val="24"/>
          <w:szCs w:val="24"/>
          <w:lang w:val="en-US" w:eastAsia="zh-CN" w:bidi="ar-SA"/>
        </w:rPr>
        <w:t>。</w:t>
      </w:r>
    </w:p>
    <w:p w14:paraId="3C17CBC5">
      <w:pPr>
        <w:bidi w:val="0"/>
        <w:rPr>
          <w:rFonts w:hint="default" w:ascii="Times New Roman" w:hAnsi="Times New Roman" w:eastAsia="宋体" w:cs="Times New Roman"/>
          <w:b/>
          <w:bCs/>
          <w:color w:val="auto"/>
          <w:kern w:val="2"/>
          <w:sz w:val="28"/>
          <w:szCs w:val="28"/>
          <w:lang w:val="en-US" w:eastAsia="zh-CN" w:bidi="ar-SA"/>
        </w:rPr>
      </w:pPr>
      <w:r>
        <w:rPr>
          <w:rFonts w:hint="default" w:ascii="Times New Roman" w:hAnsi="Times New Roman" w:eastAsia="宋体" w:cs="Times New Roman"/>
          <w:b/>
          <w:bCs/>
          <w:color w:val="auto"/>
          <w:kern w:val="2"/>
          <w:sz w:val="28"/>
          <w:szCs w:val="28"/>
          <w:lang w:val="en-US" w:eastAsia="zh-CN" w:bidi="ar-SA"/>
        </w:rPr>
        <w:t>7.</w:t>
      </w:r>
      <w:r>
        <w:rPr>
          <w:rFonts w:hint="eastAsia" w:ascii="Times New Roman" w:hAnsi="Times New Roman" w:eastAsia="宋体" w:cs="Times New Roman"/>
          <w:b/>
          <w:bCs/>
          <w:color w:val="auto"/>
          <w:kern w:val="2"/>
          <w:sz w:val="28"/>
          <w:szCs w:val="28"/>
          <w:lang w:val="en-US" w:eastAsia="zh-CN" w:bidi="ar-SA"/>
        </w:rPr>
        <w:t>8、</w:t>
      </w:r>
      <w:r>
        <w:rPr>
          <w:rFonts w:hint="default" w:ascii="Times New Roman" w:hAnsi="Times New Roman" w:eastAsia="宋体" w:cs="Times New Roman"/>
          <w:b/>
          <w:bCs/>
          <w:color w:val="auto"/>
          <w:kern w:val="2"/>
          <w:sz w:val="28"/>
          <w:szCs w:val="28"/>
          <w:lang w:val="en-US" w:eastAsia="zh-CN" w:bidi="ar-SA"/>
        </w:rPr>
        <w:t>梁柱节点的焊缝和螺栓连接检测</w:t>
      </w:r>
    </w:p>
    <w:p w14:paraId="6EE98704">
      <w:pPr>
        <w:spacing w:line="360" w:lineRule="auto"/>
        <w:ind w:firstLine="482" w:firstLineChars="200"/>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cs="Times New Roman"/>
          <w:b/>
          <w:bCs/>
          <w:color w:val="auto"/>
          <w:kern w:val="2"/>
          <w:sz w:val="24"/>
          <w:szCs w:val="24"/>
          <w:highlight w:val="none"/>
          <w:lang w:val="en-US" w:eastAsia="zh-CN" w:bidi="ar-SA"/>
        </w:rPr>
        <w:t>1.</w:t>
      </w:r>
      <w:r>
        <w:rPr>
          <w:rFonts w:hint="eastAsia" w:ascii="Times New Roman" w:hAnsi="Times New Roman" w:cs="Times New Roman"/>
          <w:b/>
          <w:bCs/>
          <w:color w:val="auto"/>
          <w:kern w:val="2"/>
          <w:sz w:val="24"/>
          <w:szCs w:val="24"/>
          <w:highlight w:val="none"/>
          <w:lang w:val="en-US" w:eastAsia="zh-CN" w:bidi="ar-SA"/>
        </w:rPr>
        <w:t xml:space="preserve"> </w:t>
      </w:r>
      <w:r>
        <w:rPr>
          <w:rFonts w:hint="default" w:ascii="Times New Roman" w:hAnsi="Times New Roman" w:eastAsia="宋体" w:cs="Times New Roman"/>
          <w:b/>
          <w:bCs/>
          <w:color w:val="auto"/>
          <w:kern w:val="2"/>
          <w:sz w:val="24"/>
          <w:szCs w:val="24"/>
          <w:highlight w:val="none"/>
          <w:lang w:val="en-US" w:eastAsia="zh-CN" w:bidi="ar-SA"/>
        </w:rPr>
        <w:t>焊缝连接</w:t>
      </w:r>
    </w:p>
    <w:p w14:paraId="3B71CE0B">
      <w:pPr>
        <w:spacing w:line="360" w:lineRule="auto"/>
        <w:ind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焊缝检测内容为：焊缝外观质量、内部缺陷的超声波检测。</w:t>
      </w:r>
    </w:p>
    <w:p w14:paraId="3E60FCB0">
      <w:pPr>
        <w:spacing w:line="360" w:lineRule="auto"/>
        <w:ind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焊缝外观质量检查采用目测方法：检查内容包括：裂纹、咬边、根部收缩、弧坑、电弧擦伤、表面夹渣、焊缝饱满程度、表面气孔和腐蚀程度。焊缝尺寸检查采用量具卡规进行量测，测量焊缝长度和高度是否满足要求。</w:t>
      </w:r>
    </w:p>
    <w:p w14:paraId="0366526D">
      <w:pPr>
        <w:spacing w:line="360" w:lineRule="auto"/>
        <w:ind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内部缺陷的超声波检测：根据《钢结构工程施工质量验收规范》（GB 50205-2020）的要求，并考虑到检测现场的实际情况，对钢结构构件中要求全焊的二级焊缝采用超声波探伤仪抽样检测焊缝焊接质量。</w:t>
      </w:r>
    </w:p>
    <w:p w14:paraId="2FBABE09">
      <w:pPr>
        <w:spacing w:line="360" w:lineRule="auto"/>
        <w:ind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焊缝连接内部缺陷的超声波检测抽检数量不少于《建筑结构检测技术标准》（GB/T50344－2019）中规定的检验批最小样本容量的要求。</w:t>
      </w:r>
    </w:p>
    <w:p w14:paraId="47285F75">
      <w:pPr>
        <w:numPr>
          <w:ilvl w:val="0"/>
          <w:numId w:val="3"/>
        </w:numPr>
        <w:spacing w:line="360" w:lineRule="auto"/>
        <w:ind w:leftChars="200"/>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螺栓连接</w:t>
      </w:r>
    </w:p>
    <w:p w14:paraId="6E74772F">
      <w:pPr>
        <w:spacing w:line="360" w:lineRule="auto"/>
        <w:ind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螺栓检测内容为：螺栓断裂、松动、脱落、螺杆弯曲、连接零件是否齐全和锈蚀程度。螺栓连接检测的方法为观察、锤击检查。</w:t>
      </w:r>
    </w:p>
    <w:p w14:paraId="0769769C">
      <w:pPr>
        <w:pStyle w:val="35"/>
        <w:ind w:left="0" w:leftChars="0" w:firstLine="0" w:firstLineChars="0"/>
        <w:rPr>
          <w:rFonts w:hint="default" w:ascii="Times New Roman" w:hAnsi="Times New Roman" w:eastAsia="宋体" w:cs="Times New Roman"/>
          <w:b/>
          <w:bCs/>
          <w:color w:val="auto"/>
          <w:kern w:val="2"/>
          <w:sz w:val="28"/>
          <w:szCs w:val="28"/>
          <w:lang w:val="en-US" w:eastAsia="zh-CN" w:bidi="ar-SA"/>
        </w:rPr>
      </w:pPr>
      <w:r>
        <w:rPr>
          <w:rFonts w:hint="default" w:ascii="Times New Roman" w:hAnsi="Times New Roman" w:eastAsia="宋体" w:cs="Times New Roman"/>
          <w:b/>
          <w:bCs/>
          <w:color w:val="auto"/>
          <w:kern w:val="2"/>
          <w:sz w:val="28"/>
          <w:szCs w:val="28"/>
          <w:lang w:val="en-US" w:eastAsia="zh-CN" w:bidi="ar-SA"/>
        </w:rPr>
        <w:t>7.</w:t>
      </w:r>
      <w:r>
        <w:rPr>
          <w:rFonts w:hint="eastAsia" w:ascii="Times New Roman" w:hAnsi="Times New Roman" w:cs="Times New Roman"/>
          <w:b/>
          <w:bCs/>
          <w:color w:val="auto"/>
          <w:kern w:val="2"/>
          <w:sz w:val="28"/>
          <w:szCs w:val="28"/>
          <w:lang w:val="en-US" w:eastAsia="zh-CN" w:bidi="ar-SA"/>
        </w:rPr>
        <w:t>9</w:t>
      </w:r>
      <w:r>
        <w:rPr>
          <w:rFonts w:hint="default" w:ascii="Times New Roman" w:hAnsi="Times New Roman" w:eastAsia="宋体" w:cs="Times New Roman"/>
          <w:b/>
          <w:bCs/>
          <w:color w:val="auto"/>
          <w:kern w:val="2"/>
          <w:sz w:val="28"/>
          <w:szCs w:val="28"/>
          <w:lang w:val="en-US" w:eastAsia="zh-CN" w:bidi="ar-SA"/>
        </w:rPr>
        <w:t>、结构布置、支撑系统核查</w:t>
      </w:r>
    </w:p>
    <w:p w14:paraId="4C82C140">
      <w:pPr>
        <w:spacing w:line="360" w:lineRule="auto"/>
        <w:ind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依据《钢结构设计标准》（GB50017-2017）、《工业建筑可靠性鉴定标准》（GB50144-2019）的要求，核查厂房结构布置是否合理，是否形成完整的体系；结构形式和构件选型、整体性构造和连接等是否符合现行国家标准规范的规定。</w:t>
      </w:r>
    </w:p>
    <w:p w14:paraId="6E253905">
      <w:pPr>
        <w:spacing w:line="360" w:lineRule="auto"/>
        <w:ind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依据《钢结构设计标准》（GB50017-2017）、《工业建筑可靠性鉴定标准》（GB50144-2019）的要求，核查支撑系统是否布置合理，是否形成完整的支撑系统；支撑构件的长细比、宽厚比及节点构造是否符合现行国家标准规范的规定。</w:t>
      </w:r>
    </w:p>
    <w:p w14:paraId="3A2B141C">
      <w:pPr>
        <w:bidi w:val="0"/>
        <w:rPr>
          <w:rFonts w:hint="default" w:ascii="Times New Roman" w:hAnsi="Times New Roman" w:eastAsia="宋体" w:cs="Times New Roman"/>
          <w:b/>
          <w:bCs/>
          <w:color w:val="auto"/>
          <w:kern w:val="2"/>
          <w:sz w:val="28"/>
          <w:szCs w:val="28"/>
          <w:lang w:val="en-US" w:eastAsia="zh-CN" w:bidi="ar-SA"/>
        </w:rPr>
      </w:pPr>
      <w:r>
        <w:rPr>
          <w:rFonts w:hint="default" w:ascii="Times New Roman" w:hAnsi="Times New Roman" w:eastAsia="宋体" w:cs="Times New Roman"/>
          <w:b/>
          <w:bCs/>
          <w:color w:val="auto"/>
          <w:kern w:val="2"/>
          <w:sz w:val="28"/>
          <w:szCs w:val="28"/>
          <w:lang w:val="en-US" w:eastAsia="zh-CN" w:bidi="ar-SA"/>
        </w:rPr>
        <w:t>7.10、对</w:t>
      </w:r>
      <w:r>
        <w:rPr>
          <w:rFonts w:hint="eastAsia" w:ascii="Times New Roman" w:hAnsi="Times New Roman" w:eastAsia="宋体" w:cs="Times New Roman"/>
          <w:b/>
          <w:bCs/>
          <w:color w:val="auto"/>
          <w:kern w:val="2"/>
          <w:sz w:val="28"/>
          <w:szCs w:val="28"/>
          <w:lang w:val="en-US" w:eastAsia="zh-CN" w:bidi="ar-SA"/>
        </w:rPr>
        <w:t>结构</w:t>
      </w:r>
      <w:r>
        <w:rPr>
          <w:rFonts w:hint="default" w:ascii="Times New Roman" w:hAnsi="Times New Roman" w:eastAsia="宋体" w:cs="Times New Roman"/>
          <w:b/>
          <w:bCs/>
          <w:color w:val="auto"/>
          <w:kern w:val="2"/>
          <w:sz w:val="28"/>
          <w:szCs w:val="28"/>
          <w:lang w:val="en-US" w:eastAsia="zh-CN" w:bidi="ar-SA"/>
        </w:rPr>
        <w:t>现状提出合理化建议</w:t>
      </w:r>
    </w:p>
    <w:p w14:paraId="37A828CA">
      <w:pPr>
        <w:spacing w:line="360" w:lineRule="auto"/>
        <w:ind w:firstLine="480" w:firstLineChars="200"/>
        <w:rPr>
          <w:rFonts w:hint="default" w:ascii="Times New Roman" w:hAnsi="Times New Roman" w:cs="Times New Roman"/>
          <w:b/>
          <w:color w:val="auto"/>
          <w:sz w:val="30"/>
          <w:szCs w:val="30"/>
        </w:rPr>
      </w:pPr>
      <w:r>
        <w:rPr>
          <w:rFonts w:hint="default" w:ascii="Times New Roman" w:hAnsi="Times New Roman" w:cs="Times New Roman"/>
          <w:color w:val="auto"/>
          <w:sz w:val="24"/>
          <w:lang w:val="en-US" w:eastAsia="zh-CN"/>
        </w:rPr>
        <w:t>根据检测评估结果，对该厂房存在的结构损坏及缺陷按国家现行规范规程的要求，提出相应的维修加固建议，以供委托方进行参考</w:t>
      </w:r>
      <w:r>
        <w:rPr>
          <w:rFonts w:hint="default" w:ascii="Times New Roman" w:hAnsi="Times New Roman" w:eastAsia="宋体" w:cs="Times New Roman"/>
          <w:color w:val="auto"/>
          <w:kern w:val="2"/>
          <w:sz w:val="24"/>
          <w:szCs w:val="24"/>
          <w:lang w:val="en-US" w:eastAsia="zh-CN" w:bidi="ar-SA"/>
        </w:rPr>
        <w:t>。</w:t>
      </w:r>
    </w:p>
    <w:bookmarkEnd w:id="114"/>
    <w:p w14:paraId="342DB825">
      <w:pPr>
        <w:bidi w:val="0"/>
        <w:rPr>
          <w:rFonts w:hint="default"/>
          <w:b/>
          <w:bCs/>
          <w:color w:val="auto"/>
          <w:sz w:val="32"/>
          <w:szCs w:val="32"/>
          <w:lang w:val="en-US" w:eastAsia="zh-CN"/>
        </w:rPr>
      </w:pPr>
      <w:bookmarkStart w:id="115" w:name="_Toc5599"/>
      <w:bookmarkStart w:id="116" w:name="_Toc18592"/>
      <w:bookmarkStart w:id="117" w:name="_Toc788"/>
      <w:r>
        <w:rPr>
          <w:rFonts w:hint="default"/>
          <w:b/>
          <w:bCs/>
          <w:color w:val="auto"/>
          <w:sz w:val="32"/>
          <w:szCs w:val="32"/>
          <w:lang w:val="en-US" w:eastAsia="zh-CN"/>
        </w:rPr>
        <w:t>八、检测仪器设备</w:t>
      </w:r>
      <w:bookmarkEnd w:id="115"/>
      <w:bookmarkEnd w:id="116"/>
      <w:bookmarkEnd w:id="117"/>
    </w:p>
    <w:p w14:paraId="5EBC83B9">
      <w:pPr>
        <w:spacing w:before="120" w:after="120"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结合公司以往类似工程的检测经验、工程的规模及现场的实际情况，本次检测拟投入仪器设备见表</w:t>
      </w:r>
      <w:r>
        <w:rPr>
          <w:rFonts w:hint="default" w:ascii="Times New Roman" w:hAnsi="Times New Roman" w:cs="Times New Roman"/>
          <w:color w:val="auto"/>
          <w:sz w:val="24"/>
          <w:lang w:val="en-US" w:eastAsia="zh-CN"/>
        </w:rPr>
        <w:t>8</w:t>
      </w:r>
      <w:r>
        <w:rPr>
          <w:rFonts w:hint="default" w:ascii="Times New Roman" w:hAnsi="Times New Roman" w:cs="Times New Roman"/>
          <w:color w:val="auto"/>
          <w:sz w:val="24"/>
        </w:rPr>
        <w:t>-1。</w:t>
      </w:r>
    </w:p>
    <w:p w14:paraId="6A2130DB">
      <w:pPr>
        <w:spacing w:before="120" w:after="120"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所使用检测仪器均在检定有效周期内，状态良好。在进行检测作业前、作业中、作业后，均按照相关规范规定及本公司制定的相关操作规程、作业指导书进行检查、率定及检测作业。</w:t>
      </w:r>
    </w:p>
    <w:p w14:paraId="352E9613">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w:t>
      </w:r>
      <w:r>
        <w:rPr>
          <w:rFonts w:hint="default" w:ascii="Times New Roman" w:hAnsi="Times New Roman" w:cs="Times New Roman"/>
          <w:b/>
          <w:color w:val="auto"/>
          <w:szCs w:val="21"/>
          <w:lang w:val="en-US" w:eastAsia="zh-CN"/>
        </w:rPr>
        <w:t>8</w:t>
      </w:r>
      <w:r>
        <w:rPr>
          <w:rFonts w:hint="default" w:ascii="Times New Roman" w:hAnsi="Times New Roman" w:cs="Times New Roman"/>
          <w:b/>
          <w:color w:val="auto"/>
          <w:szCs w:val="21"/>
        </w:rPr>
        <w:t xml:space="preserve">-1 </w:t>
      </w:r>
      <w:r>
        <w:rPr>
          <w:rFonts w:hint="default" w:ascii="Times New Roman" w:hAnsi="Times New Roman" w:cs="Times New Roman"/>
          <w:b/>
          <w:color w:val="auto"/>
          <w:szCs w:val="21"/>
          <w:lang w:val="en-US" w:eastAsia="zh-CN"/>
        </w:rPr>
        <w:t xml:space="preserve"> </w:t>
      </w:r>
      <w:r>
        <w:rPr>
          <w:rFonts w:hint="default" w:ascii="Times New Roman" w:hAnsi="Times New Roman" w:cs="Times New Roman"/>
          <w:b/>
          <w:color w:val="auto"/>
          <w:szCs w:val="21"/>
        </w:rPr>
        <w:t>主要检测仪器设备</w:t>
      </w:r>
    </w:p>
    <w:tbl>
      <w:tblPr>
        <w:tblStyle w:val="22"/>
        <w:tblW w:w="902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94"/>
        <w:gridCol w:w="1603"/>
        <w:gridCol w:w="1736"/>
        <w:gridCol w:w="2036"/>
        <w:gridCol w:w="2456"/>
      </w:tblGrid>
      <w:tr w14:paraId="4FE853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194" w:type="dxa"/>
            <w:vAlign w:val="center"/>
          </w:tcPr>
          <w:p w14:paraId="7A7B2FB5">
            <w:pPr>
              <w:spacing w:before="0" w:after="0" w:line="240" w:lineRule="auto"/>
              <w:jc w:val="center"/>
              <w:rPr>
                <w:b/>
                <w:bCs/>
                <w:color w:val="auto"/>
              </w:rPr>
            </w:pPr>
            <w:bookmarkStart w:id="118" w:name="_Toc2078"/>
            <w:bookmarkStart w:id="119" w:name="_Toc53047114"/>
            <w:bookmarkStart w:id="120" w:name="_Toc2231"/>
            <w:bookmarkStart w:id="121" w:name="_Toc53047203"/>
            <w:bookmarkStart w:id="122" w:name="_Toc15776"/>
            <w:r>
              <w:rPr>
                <w:b/>
                <w:bCs/>
                <w:color w:val="auto"/>
              </w:rPr>
              <w:t>仪器名称</w:t>
            </w:r>
          </w:p>
        </w:tc>
        <w:tc>
          <w:tcPr>
            <w:tcW w:w="1603" w:type="dxa"/>
            <w:vAlign w:val="center"/>
          </w:tcPr>
          <w:p w14:paraId="67D75249">
            <w:pPr>
              <w:spacing w:before="0" w:after="0" w:line="240" w:lineRule="auto"/>
              <w:jc w:val="center"/>
              <w:rPr>
                <w:b/>
                <w:bCs/>
                <w:color w:val="auto"/>
              </w:rPr>
            </w:pPr>
            <w:r>
              <w:rPr>
                <w:b/>
                <w:bCs/>
                <w:color w:val="auto"/>
              </w:rPr>
              <w:t>规格型号</w:t>
            </w:r>
          </w:p>
        </w:tc>
        <w:tc>
          <w:tcPr>
            <w:tcW w:w="1736" w:type="dxa"/>
            <w:vAlign w:val="center"/>
          </w:tcPr>
          <w:p w14:paraId="581EB97D">
            <w:pPr>
              <w:spacing w:before="0" w:after="0" w:line="240" w:lineRule="auto"/>
              <w:jc w:val="center"/>
              <w:rPr>
                <w:b/>
                <w:bCs/>
                <w:color w:val="auto"/>
              </w:rPr>
            </w:pPr>
            <w:r>
              <w:rPr>
                <w:b/>
                <w:bCs/>
                <w:color w:val="auto"/>
              </w:rPr>
              <w:t>仪器编号</w:t>
            </w:r>
          </w:p>
        </w:tc>
        <w:tc>
          <w:tcPr>
            <w:tcW w:w="2036" w:type="dxa"/>
            <w:vAlign w:val="center"/>
          </w:tcPr>
          <w:p w14:paraId="58F9EBB4">
            <w:pPr>
              <w:spacing w:before="0" w:after="0" w:line="240" w:lineRule="auto"/>
              <w:jc w:val="center"/>
              <w:rPr>
                <w:b/>
                <w:bCs/>
                <w:color w:val="auto"/>
              </w:rPr>
            </w:pPr>
            <w:r>
              <w:rPr>
                <w:b/>
                <w:bCs/>
                <w:color w:val="auto"/>
              </w:rPr>
              <w:t>证书编号</w:t>
            </w:r>
          </w:p>
        </w:tc>
        <w:tc>
          <w:tcPr>
            <w:tcW w:w="2456" w:type="dxa"/>
            <w:vAlign w:val="center"/>
          </w:tcPr>
          <w:p w14:paraId="4C01202B">
            <w:pPr>
              <w:spacing w:before="0" w:after="0" w:line="240" w:lineRule="auto"/>
              <w:jc w:val="center"/>
              <w:rPr>
                <w:b/>
                <w:bCs/>
                <w:color w:val="auto"/>
              </w:rPr>
            </w:pPr>
            <w:r>
              <w:rPr>
                <w:b/>
                <w:bCs/>
                <w:color w:val="auto"/>
              </w:rPr>
              <w:t>校准有效期</w:t>
            </w:r>
          </w:p>
        </w:tc>
      </w:tr>
      <w:tr w14:paraId="54B7DA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194" w:type="dxa"/>
            <w:vAlign w:val="center"/>
          </w:tcPr>
          <w:p w14:paraId="140C6A57">
            <w:pPr>
              <w:widowControl/>
              <w:spacing w:before="0" w:after="0" w:line="240" w:lineRule="auto"/>
              <w:jc w:val="center"/>
              <w:rPr>
                <w:rFonts w:hint="eastAsia"/>
                <w:color w:val="auto"/>
                <w:sz w:val="21"/>
                <w:szCs w:val="21"/>
                <w:lang w:val="en-US" w:eastAsia="zh-CN"/>
              </w:rPr>
            </w:pPr>
          </w:p>
        </w:tc>
        <w:tc>
          <w:tcPr>
            <w:tcW w:w="1603" w:type="dxa"/>
            <w:vAlign w:val="center"/>
          </w:tcPr>
          <w:p w14:paraId="6B84F0D5">
            <w:pPr>
              <w:widowControl/>
              <w:spacing w:before="0" w:after="0" w:line="240" w:lineRule="auto"/>
              <w:jc w:val="center"/>
              <w:rPr>
                <w:rFonts w:hint="eastAsia"/>
                <w:color w:val="auto"/>
                <w:sz w:val="21"/>
                <w:szCs w:val="21"/>
                <w:lang w:val="en-US" w:eastAsia="zh-CN"/>
              </w:rPr>
            </w:pPr>
          </w:p>
        </w:tc>
        <w:tc>
          <w:tcPr>
            <w:tcW w:w="1736" w:type="dxa"/>
            <w:vAlign w:val="center"/>
          </w:tcPr>
          <w:p w14:paraId="14DC477B">
            <w:pPr>
              <w:widowControl/>
              <w:spacing w:before="0" w:after="0" w:line="240" w:lineRule="auto"/>
              <w:jc w:val="center"/>
              <w:rPr>
                <w:rFonts w:hint="eastAsia"/>
                <w:color w:val="auto"/>
                <w:sz w:val="21"/>
                <w:szCs w:val="21"/>
                <w:lang w:val="en-US" w:eastAsia="zh-CN"/>
              </w:rPr>
            </w:pPr>
          </w:p>
        </w:tc>
        <w:tc>
          <w:tcPr>
            <w:tcW w:w="2036" w:type="dxa"/>
            <w:vAlign w:val="center"/>
          </w:tcPr>
          <w:p w14:paraId="6A264613">
            <w:pPr>
              <w:widowControl/>
              <w:spacing w:before="0" w:after="0" w:line="240" w:lineRule="auto"/>
              <w:jc w:val="center"/>
              <w:rPr>
                <w:rFonts w:hint="eastAsia"/>
                <w:color w:val="auto"/>
                <w:sz w:val="21"/>
                <w:szCs w:val="21"/>
                <w:lang w:val="en-US" w:eastAsia="zh-CN"/>
              </w:rPr>
            </w:pPr>
          </w:p>
        </w:tc>
        <w:tc>
          <w:tcPr>
            <w:tcW w:w="2456" w:type="dxa"/>
            <w:vAlign w:val="center"/>
          </w:tcPr>
          <w:p w14:paraId="1CB0A399">
            <w:pPr>
              <w:widowControl/>
              <w:spacing w:before="0" w:after="0" w:line="240" w:lineRule="auto"/>
              <w:jc w:val="center"/>
              <w:rPr>
                <w:rFonts w:hint="eastAsia"/>
                <w:color w:val="auto"/>
                <w:sz w:val="21"/>
                <w:szCs w:val="21"/>
                <w:lang w:val="en-US" w:eastAsia="zh-CN"/>
              </w:rPr>
            </w:pPr>
          </w:p>
        </w:tc>
      </w:tr>
      <w:tr w14:paraId="113929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194" w:type="dxa"/>
            <w:vAlign w:val="center"/>
          </w:tcPr>
          <w:p w14:paraId="033C8A8D">
            <w:pPr>
              <w:widowControl/>
              <w:spacing w:before="0" w:after="0" w:line="240" w:lineRule="auto"/>
              <w:jc w:val="center"/>
              <w:rPr>
                <w:rFonts w:hint="eastAsia"/>
                <w:color w:val="auto"/>
                <w:sz w:val="21"/>
                <w:szCs w:val="21"/>
                <w:lang w:val="en-US" w:eastAsia="zh-CN"/>
              </w:rPr>
            </w:pPr>
          </w:p>
        </w:tc>
        <w:tc>
          <w:tcPr>
            <w:tcW w:w="1603" w:type="dxa"/>
            <w:vAlign w:val="center"/>
          </w:tcPr>
          <w:p w14:paraId="4B73151C">
            <w:pPr>
              <w:widowControl/>
              <w:spacing w:before="0" w:after="0" w:line="240" w:lineRule="auto"/>
              <w:jc w:val="center"/>
              <w:rPr>
                <w:rFonts w:hint="eastAsia"/>
                <w:color w:val="auto"/>
                <w:sz w:val="21"/>
                <w:szCs w:val="21"/>
                <w:lang w:val="en-US" w:eastAsia="zh-CN"/>
              </w:rPr>
            </w:pPr>
          </w:p>
        </w:tc>
        <w:tc>
          <w:tcPr>
            <w:tcW w:w="1736" w:type="dxa"/>
            <w:vAlign w:val="center"/>
          </w:tcPr>
          <w:p w14:paraId="34743C0A">
            <w:pPr>
              <w:widowControl/>
              <w:spacing w:before="0" w:after="0" w:line="240" w:lineRule="auto"/>
              <w:jc w:val="center"/>
              <w:rPr>
                <w:rFonts w:hint="eastAsia"/>
                <w:color w:val="auto"/>
                <w:sz w:val="21"/>
                <w:szCs w:val="21"/>
                <w:lang w:val="en-US" w:eastAsia="zh-CN"/>
              </w:rPr>
            </w:pPr>
          </w:p>
        </w:tc>
        <w:tc>
          <w:tcPr>
            <w:tcW w:w="2036" w:type="dxa"/>
            <w:vAlign w:val="center"/>
          </w:tcPr>
          <w:p w14:paraId="384E3CC3">
            <w:pPr>
              <w:widowControl/>
              <w:spacing w:before="0" w:after="0" w:line="240" w:lineRule="auto"/>
              <w:jc w:val="center"/>
              <w:rPr>
                <w:rFonts w:hint="eastAsia"/>
                <w:color w:val="auto"/>
                <w:sz w:val="21"/>
                <w:szCs w:val="21"/>
                <w:lang w:val="en-US" w:eastAsia="zh-CN"/>
              </w:rPr>
            </w:pPr>
          </w:p>
        </w:tc>
        <w:tc>
          <w:tcPr>
            <w:tcW w:w="2456" w:type="dxa"/>
            <w:vAlign w:val="center"/>
          </w:tcPr>
          <w:p w14:paraId="314E2514">
            <w:pPr>
              <w:widowControl/>
              <w:spacing w:before="0" w:after="0" w:line="240" w:lineRule="auto"/>
              <w:jc w:val="center"/>
              <w:rPr>
                <w:rFonts w:hint="eastAsia"/>
                <w:color w:val="auto"/>
                <w:sz w:val="21"/>
                <w:szCs w:val="21"/>
                <w:lang w:val="en-US" w:eastAsia="zh-CN"/>
              </w:rPr>
            </w:pPr>
          </w:p>
        </w:tc>
      </w:tr>
      <w:tr w14:paraId="0B08A6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194" w:type="dxa"/>
            <w:vAlign w:val="center"/>
          </w:tcPr>
          <w:p w14:paraId="706BA277">
            <w:pPr>
              <w:widowControl/>
              <w:spacing w:before="0" w:after="0" w:line="240" w:lineRule="auto"/>
              <w:jc w:val="center"/>
              <w:rPr>
                <w:rFonts w:hint="eastAsia"/>
                <w:color w:val="auto"/>
                <w:sz w:val="21"/>
                <w:szCs w:val="21"/>
                <w:lang w:val="en-US" w:eastAsia="zh-CN"/>
              </w:rPr>
            </w:pPr>
            <w:r>
              <w:rPr>
                <w:rFonts w:hint="eastAsia"/>
                <w:b/>
                <w:bCs/>
                <w:color w:val="auto"/>
                <w:sz w:val="21"/>
                <w:szCs w:val="21"/>
              </w:rPr>
              <w:t>计算软件</w:t>
            </w:r>
          </w:p>
        </w:tc>
        <w:tc>
          <w:tcPr>
            <w:tcW w:w="7831" w:type="dxa"/>
            <w:gridSpan w:val="4"/>
            <w:vAlign w:val="center"/>
          </w:tcPr>
          <w:p w14:paraId="3CF7FB37">
            <w:pPr>
              <w:widowControl/>
              <w:spacing w:before="0" w:after="0" w:line="240" w:lineRule="auto"/>
              <w:jc w:val="center"/>
              <w:rPr>
                <w:rFonts w:hint="eastAsia"/>
                <w:color w:val="auto"/>
                <w:sz w:val="21"/>
                <w:szCs w:val="21"/>
                <w:lang w:val="en-US" w:eastAsia="zh-CN"/>
              </w:rPr>
            </w:pPr>
          </w:p>
        </w:tc>
      </w:tr>
    </w:tbl>
    <w:p w14:paraId="37630C7A">
      <w:pPr>
        <w:bidi w:val="0"/>
        <w:rPr>
          <w:rFonts w:hint="default"/>
          <w:b/>
          <w:bCs/>
          <w:color w:val="auto"/>
          <w:sz w:val="32"/>
          <w:szCs w:val="32"/>
          <w:lang w:val="en-US" w:eastAsia="zh-CN"/>
        </w:rPr>
      </w:pPr>
      <w:r>
        <w:rPr>
          <w:rFonts w:hint="default"/>
          <w:b/>
          <w:bCs/>
          <w:color w:val="auto"/>
          <w:sz w:val="32"/>
          <w:szCs w:val="32"/>
          <w:lang w:val="en-US" w:eastAsia="zh-CN"/>
        </w:rPr>
        <w:t>九、</w:t>
      </w:r>
      <w:bookmarkEnd w:id="118"/>
      <w:bookmarkEnd w:id="119"/>
      <w:bookmarkEnd w:id="120"/>
      <w:bookmarkEnd w:id="121"/>
      <w:r>
        <w:rPr>
          <w:rFonts w:hint="default"/>
          <w:b/>
          <w:bCs/>
          <w:color w:val="auto"/>
          <w:sz w:val="32"/>
          <w:szCs w:val="32"/>
          <w:lang w:val="en-US" w:eastAsia="zh-CN"/>
        </w:rPr>
        <w:t>项目工期进度安排</w:t>
      </w:r>
      <w:bookmarkEnd w:id="122"/>
    </w:p>
    <w:p w14:paraId="65CE96A4">
      <w:pPr>
        <w:spacing w:before="120" w:after="120" w:line="360" w:lineRule="auto"/>
        <w:ind w:firstLine="480" w:firstLineChars="200"/>
        <w:jc w:val="left"/>
        <w:rPr>
          <w:rFonts w:hint="default" w:ascii="Times New Roman" w:hAnsi="Times New Roman" w:cs="Times New Roman"/>
          <w:color w:val="auto"/>
          <w:sz w:val="24"/>
        </w:rPr>
      </w:pPr>
      <w:bookmarkStart w:id="123" w:name="_Toc115185768"/>
      <w:bookmarkStart w:id="124" w:name="_Toc328812820"/>
      <w:bookmarkStart w:id="125" w:name="_Toc115171561"/>
      <w:r>
        <w:rPr>
          <w:rFonts w:hint="default" w:ascii="Times New Roman" w:hAnsi="Times New Roman" w:cs="Times New Roman"/>
          <w:color w:val="auto"/>
          <w:sz w:val="24"/>
        </w:rPr>
        <w:t>项目总工期</w:t>
      </w:r>
      <w:r>
        <w:rPr>
          <w:rFonts w:hint="eastAsia" w:ascii="Times New Roman" w:hAnsi="Times New Roman" w:cs="Times New Roman"/>
          <w:color w:val="auto"/>
          <w:sz w:val="24"/>
          <w:lang w:val="en-US" w:eastAsia="zh-CN"/>
        </w:rPr>
        <w:t>xx</w:t>
      </w:r>
      <w:r>
        <w:rPr>
          <w:rFonts w:hint="default" w:ascii="Times New Roman" w:hAnsi="Times New Roman" w:cs="Times New Roman"/>
          <w:color w:val="auto"/>
          <w:sz w:val="24"/>
        </w:rPr>
        <w:t>日历天，其中现场检测工期</w:t>
      </w:r>
      <w:r>
        <w:rPr>
          <w:rFonts w:hint="eastAsia" w:ascii="Times New Roman" w:hAnsi="Times New Roman" w:cs="Times New Roman"/>
          <w:color w:val="auto"/>
          <w:sz w:val="24"/>
          <w:lang w:val="en-US" w:eastAsia="zh-CN"/>
        </w:rPr>
        <w:t>xx</w:t>
      </w:r>
      <w:r>
        <w:rPr>
          <w:rFonts w:hint="default" w:ascii="Times New Roman" w:hAnsi="Times New Roman" w:cs="Times New Roman"/>
          <w:color w:val="auto"/>
          <w:sz w:val="24"/>
        </w:rPr>
        <w:t>日历天，数据处理及报告编写工期</w:t>
      </w:r>
      <w:r>
        <w:rPr>
          <w:rFonts w:hint="eastAsia" w:ascii="Times New Roman" w:hAnsi="Times New Roman" w:cs="Times New Roman"/>
          <w:color w:val="auto"/>
          <w:sz w:val="24"/>
          <w:lang w:val="en-US" w:eastAsia="zh-CN"/>
        </w:rPr>
        <w:t>xx</w:t>
      </w:r>
      <w:r>
        <w:rPr>
          <w:rFonts w:hint="default" w:ascii="Times New Roman" w:hAnsi="Times New Roman" w:cs="Times New Roman"/>
          <w:color w:val="auto"/>
          <w:sz w:val="24"/>
        </w:rPr>
        <w:t>日历天。具体开工日期以业主方通知为准。</w:t>
      </w:r>
    </w:p>
    <w:p w14:paraId="1184CA05">
      <w:pPr>
        <w:spacing w:before="120" w:after="120"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以上检测工期将根据业主要求和实际情况可略做调整，如检测中遇到与计划方案不一致情况，将进行工期调整。</w:t>
      </w:r>
    </w:p>
    <w:p w14:paraId="4411F98F">
      <w:pPr>
        <w:bidi w:val="0"/>
        <w:rPr>
          <w:rFonts w:hint="default"/>
          <w:b/>
          <w:bCs/>
          <w:color w:val="auto"/>
          <w:sz w:val="32"/>
          <w:szCs w:val="32"/>
          <w:lang w:val="en-US" w:eastAsia="zh-CN"/>
        </w:rPr>
      </w:pPr>
      <w:bookmarkStart w:id="126" w:name="_Toc20851"/>
      <w:bookmarkStart w:id="127" w:name="_Toc6969"/>
      <w:bookmarkStart w:id="128" w:name="_Toc25830"/>
      <w:r>
        <w:rPr>
          <w:rFonts w:hint="default"/>
          <w:b/>
          <w:bCs/>
          <w:color w:val="auto"/>
          <w:sz w:val="32"/>
          <w:szCs w:val="32"/>
          <w:lang w:val="en-US" w:eastAsia="zh-CN"/>
        </w:rPr>
        <w:t>十、安全保证措施</w:t>
      </w:r>
      <w:bookmarkEnd w:id="126"/>
      <w:bookmarkEnd w:id="127"/>
      <w:bookmarkEnd w:id="128"/>
    </w:p>
    <w:p w14:paraId="13FBE422">
      <w:pPr>
        <w:pStyle w:val="11"/>
        <w:keepNext w:val="0"/>
        <w:keepLines w:val="0"/>
        <w:pageBreakBefore w:val="0"/>
        <w:widowControl w:val="0"/>
        <w:kinsoku/>
        <w:wordWrap/>
        <w:overflowPunct/>
        <w:topLinePunct w:val="0"/>
        <w:autoSpaceDE/>
        <w:autoSpaceDN/>
        <w:bidi w:val="0"/>
        <w:adjustRightInd w:val="0"/>
        <w:snapToGrid w:val="0"/>
        <w:spacing w:before="120" w:after="120" w:line="360" w:lineRule="auto"/>
        <w:ind w:firstLine="56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1</w:t>
      </w:r>
      <w:r>
        <w:rPr>
          <w:rFonts w:hint="default" w:ascii="Times New Roman" w:hAnsi="Times New Roman"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进入工地现场时，严格遵守委托单位的各项安全规章制度。必须按要求安全帽佩戴安全帽。同时要由委托单位派专人带路、陪同，并按指定道路行走，不从危险地区通行，不伤害他人，不被他人伤害，保证检测人员能安全到达操作平台。</w:t>
      </w:r>
    </w:p>
    <w:p w14:paraId="5BA6414C">
      <w:pPr>
        <w:pStyle w:val="11"/>
        <w:keepNext w:val="0"/>
        <w:keepLines w:val="0"/>
        <w:pageBreakBefore w:val="0"/>
        <w:widowControl w:val="0"/>
        <w:kinsoku/>
        <w:wordWrap/>
        <w:overflowPunct/>
        <w:topLinePunct w:val="0"/>
        <w:autoSpaceDE/>
        <w:autoSpaceDN/>
        <w:bidi w:val="0"/>
        <w:spacing w:before="120" w:after="120" w:line="360" w:lineRule="auto"/>
        <w:ind w:firstLine="56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2</w:t>
      </w:r>
      <w:r>
        <w:rPr>
          <w:rFonts w:hint="default" w:ascii="Times New Roman" w:hAnsi="Times New Roman"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作业人员严禁在施工现场非吸烟区内吸烟</w:t>
      </w:r>
      <w:r>
        <w:rPr>
          <w:rFonts w:hint="default" w:ascii="Times New Roman" w:hAnsi="Times New Roman"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对不符合安全作业条件的情况，检测人员必须拒绝进行作业。</w:t>
      </w:r>
    </w:p>
    <w:bookmarkEnd w:id="123"/>
    <w:bookmarkEnd w:id="124"/>
    <w:bookmarkEnd w:id="125"/>
    <w:p w14:paraId="4A939A24">
      <w:pPr>
        <w:bidi w:val="0"/>
        <w:rPr>
          <w:rFonts w:hint="default"/>
          <w:b/>
          <w:bCs/>
          <w:color w:val="auto"/>
          <w:sz w:val="32"/>
          <w:szCs w:val="32"/>
          <w:lang w:val="en-US" w:eastAsia="zh-CN"/>
        </w:rPr>
      </w:pPr>
      <w:bookmarkStart w:id="129" w:name="_Toc50360924"/>
      <w:bookmarkStart w:id="130" w:name="_Toc7781"/>
      <w:bookmarkStart w:id="131" w:name="_Toc13609"/>
      <w:bookmarkStart w:id="132" w:name="_Toc28787"/>
      <w:r>
        <w:rPr>
          <w:rFonts w:hint="default"/>
          <w:b/>
          <w:bCs/>
          <w:color w:val="auto"/>
          <w:sz w:val="32"/>
          <w:szCs w:val="32"/>
          <w:lang w:val="en-US" w:eastAsia="zh-CN"/>
        </w:rPr>
        <w:t>十一、</w:t>
      </w:r>
      <w:bookmarkEnd w:id="129"/>
      <w:r>
        <w:rPr>
          <w:rFonts w:hint="default"/>
          <w:b/>
          <w:bCs/>
          <w:color w:val="auto"/>
          <w:sz w:val="32"/>
          <w:szCs w:val="32"/>
          <w:lang w:val="en-US" w:eastAsia="zh-CN"/>
        </w:rPr>
        <w:t>需要委托方配合协助的工作</w:t>
      </w:r>
      <w:bookmarkEnd w:id="130"/>
      <w:bookmarkEnd w:id="131"/>
      <w:bookmarkEnd w:id="132"/>
    </w:p>
    <w:p w14:paraId="7839BF64">
      <w:pPr>
        <w:spacing w:before="120" w:after="120"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为顺利完成相关检测工作，检测工作过程中，需要业主委托方协助的工作内容如下：</w:t>
      </w:r>
    </w:p>
    <w:p w14:paraId="5568B4E3">
      <w:pPr>
        <w:spacing w:before="120" w:after="120"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1、提供原有设计施工图纸及其它本工程相应的技术资料文件。</w:t>
      </w:r>
    </w:p>
    <w:p w14:paraId="4F45CB02">
      <w:pPr>
        <w:spacing w:before="120" w:after="120"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2、结构检测过程中，检测构件墙、梁、板、柱均需要在原结构基层面进行检测，若后续有影响检测工作面的吊顶、管线、装饰面层需要贵司配合拆除。同时采样时会根据现场情况尽可能选取拆除工作量最少的构件进行检测。</w:t>
      </w:r>
    </w:p>
    <w:p w14:paraId="350AE919">
      <w:pPr>
        <w:spacing w:before="120" w:after="120"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破拆要求：破拆表面装饰层或粉刷层，将原有结构层外露。如抽取代表性区域内存在安全隐患，则需增加破拆数量。检测现场破拆后的恢复由业主委托方负责。</w:t>
      </w:r>
    </w:p>
    <w:p w14:paraId="0B65A9B5">
      <w:pPr>
        <w:spacing w:before="120" w:after="120"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3、检测过程中，不可避免会产生粉尘及噪声。粉尘影响需要进行防尘保护，噪声影响则需要专人协调提前向工作人员解释。</w:t>
      </w:r>
    </w:p>
    <w:p w14:paraId="26EC5B05">
      <w:pPr>
        <w:spacing w:before="120" w:after="120"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4、其他事项</w:t>
      </w:r>
    </w:p>
    <w:p w14:paraId="58EE9CC8">
      <w:pPr>
        <w:spacing w:before="120" w:after="120"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（1）安排专人协调对接检测相关工作，如提供活动脚手架，协调检测区域、配合水电等相关事项；</w:t>
      </w:r>
    </w:p>
    <w:p w14:paraId="4D04EEB7">
      <w:pPr>
        <w:spacing w:before="120" w:after="120"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（2）提供其他相应的便利条件；</w:t>
      </w:r>
    </w:p>
    <w:p w14:paraId="63F8169B">
      <w:pPr>
        <w:spacing w:before="120" w:after="120"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（3）本计划为初步安排，在检测期间如遇到检测部位环境条件不适宜检测则根据现场实际条件选取具有同样代表性的部位进行检测；如检测结果出现不满足设计或规范要求等异常现象时，可加大检测数量。</w:t>
      </w:r>
    </w:p>
    <w:p w14:paraId="58A06097">
      <w:pPr>
        <w:pStyle w:val="35"/>
        <w:keepNext w:val="0"/>
        <w:keepLines w:val="0"/>
        <w:pageBreakBefore w:val="0"/>
        <w:widowControl/>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b/>
          <w:bCs/>
          <w:color w:val="auto"/>
          <w:kern w:val="2"/>
          <w:sz w:val="32"/>
          <w:szCs w:val="32"/>
          <w:lang w:val="zh-CN" w:eastAsia="zh-CN" w:bidi="ar-SA"/>
        </w:rPr>
      </w:pPr>
      <w:r>
        <w:rPr>
          <w:rFonts w:hint="default" w:ascii="Times New Roman" w:hAnsi="Times New Roman" w:eastAsia="宋体" w:cs="Times New Roman"/>
          <w:b/>
          <w:bCs/>
          <w:color w:val="auto"/>
          <w:kern w:val="2"/>
          <w:sz w:val="32"/>
          <w:szCs w:val="32"/>
          <w:lang w:val="zh-CN" w:eastAsia="zh-CN" w:bidi="ar-SA"/>
        </w:rPr>
        <w:t>十</w:t>
      </w:r>
      <w:r>
        <w:rPr>
          <w:rFonts w:hint="default" w:ascii="Times New Roman" w:hAnsi="Times New Roman" w:eastAsia="宋体" w:cs="Times New Roman"/>
          <w:b/>
          <w:bCs/>
          <w:color w:val="auto"/>
          <w:kern w:val="2"/>
          <w:sz w:val="32"/>
          <w:szCs w:val="32"/>
          <w:lang w:val="en-US" w:eastAsia="zh-CN" w:bidi="ar-SA"/>
        </w:rPr>
        <w:t>二</w:t>
      </w:r>
      <w:r>
        <w:rPr>
          <w:rFonts w:hint="default" w:ascii="Times New Roman" w:hAnsi="Times New Roman" w:eastAsia="宋体" w:cs="Times New Roman"/>
          <w:b/>
          <w:bCs/>
          <w:color w:val="auto"/>
          <w:kern w:val="2"/>
          <w:sz w:val="32"/>
          <w:szCs w:val="32"/>
          <w:lang w:val="zh-CN" w:eastAsia="zh-CN" w:bidi="ar-SA"/>
        </w:rPr>
        <w:t>、鉴定检测方案的实施</w:t>
      </w:r>
    </w:p>
    <w:p w14:paraId="6BB3FE88">
      <w:pPr>
        <w:spacing w:before="120" w:after="120" w:line="360" w:lineRule="auto"/>
        <w:ind w:firstLine="480" w:firstLineChars="200"/>
        <w:jc w:val="left"/>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rPr>
        <w:t>1</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检测过程中，检测人员必须严格执行检测方案和《建筑结构检测技术标准》GB/T 50344-2019及国家相关的规范、标准，确保</w:t>
      </w:r>
      <w:bookmarkStart w:id="459" w:name="_GoBack"/>
      <w:bookmarkEnd w:id="459"/>
      <w:r>
        <w:rPr>
          <w:rFonts w:hint="default" w:ascii="Times New Roman" w:hAnsi="Times New Roman" w:cs="Times New Roman"/>
          <w:color w:val="auto"/>
          <w:sz w:val="24"/>
        </w:rPr>
        <w:t>检测数据真实、齐全和准确</w:t>
      </w:r>
      <w:r>
        <w:rPr>
          <w:rFonts w:hint="default" w:ascii="Times New Roman" w:hAnsi="Times New Roman" w:cs="Times New Roman"/>
          <w:color w:val="auto"/>
          <w:sz w:val="24"/>
          <w:lang w:eastAsia="zh-CN"/>
        </w:rPr>
        <w:t>；</w:t>
      </w:r>
    </w:p>
    <w:p w14:paraId="276DCEDE">
      <w:pPr>
        <w:spacing w:before="120" w:after="120"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2</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检测过程中如确需对检测方案进行调整或变更，双方应作书面签名（盖章）确认。</w:t>
      </w:r>
    </w:p>
    <w:p w14:paraId="0A9A7FB0">
      <w:pPr>
        <w:pStyle w:val="2"/>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 xml:space="preserve">                                             </w:t>
      </w:r>
      <w:r>
        <w:rPr>
          <w:rFonts w:hint="default" w:ascii="Times New Roman" w:hAnsi="Times New Roman" w:cs="Times New Roman"/>
          <w:color w:val="auto"/>
          <w:sz w:val="24"/>
        </w:rPr>
        <w:t xml:space="preserve">  xxxxxxxxxxx公司</w:t>
      </w:r>
    </w:p>
    <w:p w14:paraId="56506BA1">
      <w:pPr>
        <w:rPr>
          <w:rFonts w:hint="default" w:ascii="Times New Roman" w:hAnsi="Times New Roman" w:cs="Times New Roman"/>
          <w:color w:val="auto"/>
          <w:sz w:val="24"/>
        </w:rPr>
      </w:pPr>
      <w:r>
        <w:rPr>
          <w:rFonts w:hint="default" w:ascii="Times New Roman" w:hAnsi="Times New Roman" w:cs="Times New Roman"/>
          <w:color w:val="auto"/>
          <w:sz w:val="24"/>
        </w:rPr>
        <w:t xml:space="preserve">                                                 XXXX年XX月XX日</w:t>
      </w:r>
    </w:p>
    <w:p w14:paraId="7A217206">
      <w:pPr>
        <w:rPr>
          <w:rFonts w:hint="default" w:ascii="Times New Roman" w:hAnsi="Times New Roman" w:cs="Times New Roman"/>
          <w:color w:val="auto"/>
          <w:sz w:val="24"/>
        </w:rPr>
        <w:sectPr>
          <w:pgSz w:w="11906" w:h="16838"/>
          <w:pgMar w:top="1440" w:right="1800" w:bottom="1440" w:left="1800" w:header="851" w:footer="992" w:gutter="0"/>
          <w:pgNumType w:fmt="decimal"/>
          <w:cols w:space="425" w:num="1"/>
          <w:docGrid w:type="lines" w:linePitch="312" w:charSpace="0"/>
        </w:sectPr>
      </w:pPr>
    </w:p>
    <w:p w14:paraId="385B6535">
      <w:pPr>
        <w:pStyle w:val="3"/>
        <w:bidi w:val="0"/>
        <w:jc w:val="center"/>
        <w:rPr>
          <w:rFonts w:hint="default"/>
          <w:color w:val="auto"/>
          <w:lang w:val="en-US" w:eastAsia="zh-CN"/>
        </w:rPr>
      </w:pPr>
      <w:bookmarkStart w:id="133" w:name="_Toc13798"/>
      <w:bookmarkStart w:id="134" w:name="_Toc175203800"/>
      <w:bookmarkStart w:id="135" w:name="_Toc1397"/>
      <w:bookmarkStart w:id="136" w:name="_Toc608"/>
      <w:r>
        <w:rPr>
          <w:rFonts w:hint="default"/>
          <w:color w:val="auto"/>
          <w:lang w:val="en-US" w:eastAsia="zh-CN"/>
        </w:rPr>
        <w:t>附录</w:t>
      </w:r>
      <w:r>
        <w:rPr>
          <w:rFonts w:hint="default" w:ascii="Times New Roman" w:hAnsi="Times New Roman" w:cs="Times New Roman"/>
          <w:color w:val="auto"/>
          <w:lang w:val="en-US" w:eastAsia="zh-CN"/>
        </w:rPr>
        <w:t xml:space="preserve">D </w:t>
      </w:r>
      <w:r>
        <w:rPr>
          <w:rFonts w:hint="eastAsia" w:ascii="Times New Roman" w:hAnsi="Times New Roman" w:cs="Times New Roman"/>
          <w:color w:val="auto"/>
          <w:lang w:val="en-US" w:eastAsia="zh-CN"/>
        </w:rPr>
        <w:t xml:space="preserve"> </w:t>
      </w:r>
      <w:r>
        <w:rPr>
          <w:rFonts w:hint="default"/>
          <w:color w:val="auto"/>
          <w:lang w:val="en-US" w:eastAsia="zh-CN"/>
        </w:rPr>
        <w:t>工业</w:t>
      </w:r>
      <w:r>
        <w:rPr>
          <w:rFonts w:hint="eastAsia"/>
          <w:color w:val="auto"/>
          <w:lang w:val="en-US" w:eastAsia="zh-CN"/>
        </w:rPr>
        <w:t>建筑</w:t>
      </w:r>
      <w:r>
        <w:rPr>
          <w:rFonts w:hint="default"/>
          <w:color w:val="auto"/>
          <w:lang w:val="en-US" w:eastAsia="zh-CN"/>
        </w:rPr>
        <w:t>可靠性鉴定及抗震鉴定报告</w:t>
      </w:r>
      <w:bookmarkEnd w:id="133"/>
      <w:bookmarkEnd w:id="134"/>
      <w:bookmarkEnd w:id="135"/>
      <w:r>
        <w:rPr>
          <w:rFonts w:hint="eastAsia"/>
          <w:color w:val="auto"/>
          <w:lang w:val="en-US" w:eastAsia="zh-CN"/>
        </w:rPr>
        <w:t>（样板）</w:t>
      </w:r>
      <w:bookmarkEnd w:id="136"/>
    </w:p>
    <w:p w14:paraId="4208D416">
      <w:pPr>
        <w:jc w:val="center"/>
        <w:rPr>
          <w:rFonts w:hint="eastAsia"/>
          <w:b/>
          <w:bCs/>
          <w:color w:val="auto"/>
          <w:sz w:val="36"/>
          <w:szCs w:val="36"/>
        </w:rPr>
      </w:pPr>
    </w:p>
    <w:p w14:paraId="19FAE522">
      <w:pPr>
        <w:jc w:val="center"/>
        <w:rPr>
          <w:rFonts w:hint="eastAsia" w:eastAsiaTheme="minorEastAsia"/>
          <w:b/>
          <w:bCs/>
          <w:color w:val="auto"/>
          <w:sz w:val="36"/>
          <w:szCs w:val="36"/>
          <w:lang w:eastAsia="zh-CN"/>
        </w:rPr>
      </w:pPr>
      <w:r>
        <w:rPr>
          <w:rFonts w:hint="eastAsia"/>
          <w:b/>
          <w:bCs/>
          <w:color w:val="auto"/>
          <w:sz w:val="36"/>
          <w:szCs w:val="36"/>
          <w:lang w:val="en-US" w:eastAsia="zh-CN"/>
        </w:rPr>
        <w:t>XX</w:t>
      </w:r>
      <w:r>
        <w:rPr>
          <w:rFonts w:hint="eastAsia"/>
          <w:b/>
          <w:bCs/>
          <w:color w:val="auto"/>
          <w:sz w:val="36"/>
          <w:szCs w:val="36"/>
        </w:rPr>
        <w:t>市</w:t>
      </w:r>
      <w:r>
        <w:rPr>
          <w:rFonts w:hint="eastAsia"/>
          <w:b/>
          <w:bCs/>
          <w:color w:val="auto"/>
          <w:sz w:val="36"/>
          <w:szCs w:val="36"/>
          <w:lang w:val="en-US" w:eastAsia="zh-CN"/>
        </w:rPr>
        <w:t>XX</w:t>
      </w:r>
      <w:r>
        <w:rPr>
          <w:rFonts w:hint="eastAsia"/>
          <w:b/>
          <w:bCs/>
          <w:color w:val="auto"/>
          <w:sz w:val="36"/>
          <w:szCs w:val="36"/>
        </w:rPr>
        <w:t>市</w:t>
      </w:r>
      <w:r>
        <w:rPr>
          <w:rFonts w:hint="eastAsia"/>
          <w:b/>
          <w:bCs/>
          <w:color w:val="auto"/>
          <w:sz w:val="36"/>
          <w:szCs w:val="36"/>
          <w:lang w:val="en-US" w:eastAsia="zh-CN"/>
        </w:rPr>
        <w:t>XXXX</w:t>
      </w:r>
      <w:r>
        <w:rPr>
          <w:rFonts w:hint="eastAsia"/>
          <w:b/>
          <w:bCs/>
          <w:color w:val="auto"/>
          <w:sz w:val="36"/>
          <w:szCs w:val="36"/>
        </w:rPr>
        <w:t>大道</w:t>
      </w:r>
      <w:r>
        <w:rPr>
          <w:rFonts w:hint="eastAsia"/>
          <w:b/>
          <w:bCs/>
          <w:color w:val="auto"/>
          <w:sz w:val="36"/>
          <w:szCs w:val="36"/>
          <w:lang w:eastAsia="zh-CN"/>
        </w:rPr>
        <w:t>（</w:t>
      </w:r>
      <w:r>
        <w:rPr>
          <w:rFonts w:hint="eastAsia"/>
          <w:b/>
          <w:bCs/>
          <w:color w:val="auto"/>
          <w:sz w:val="36"/>
          <w:szCs w:val="36"/>
          <w:lang w:val="en-US" w:eastAsia="zh-CN"/>
        </w:rPr>
        <w:t>项目名称</w:t>
      </w:r>
      <w:r>
        <w:rPr>
          <w:rFonts w:hint="eastAsia"/>
          <w:b/>
          <w:bCs/>
          <w:color w:val="auto"/>
          <w:sz w:val="36"/>
          <w:szCs w:val="36"/>
          <w:lang w:eastAsia="zh-CN"/>
        </w:rPr>
        <w:t>）</w:t>
      </w:r>
    </w:p>
    <w:p w14:paraId="45AC64CF">
      <w:pPr>
        <w:jc w:val="center"/>
        <w:rPr>
          <w:b/>
          <w:bCs/>
          <w:color w:val="auto"/>
          <w:sz w:val="36"/>
          <w:szCs w:val="36"/>
        </w:rPr>
      </w:pPr>
      <w:r>
        <w:rPr>
          <w:rFonts w:hint="eastAsia"/>
          <w:b/>
          <w:bCs/>
          <w:color w:val="auto"/>
          <w:sz w:val="36"/>
          <w:szCs w:val="36"/>
        </w:rPr>
        <w:t>结构安全性及抗震</w:t>
      </w:r>
    </w:p>
    <w:p w14:paraId="1D0E5864">
      <w:pPr>
        <w:jc w:val="center"/>
        <w:rPr>
          <w:rFonts w:ascii="黑体" w:hAnsi="黑体" w:eastAsia="黑体" w:cs="黑体"/>
          <w:color w:val="auto"/>
          <w:sz w:val="84"/>
          <w:szCs w:val="84"/>
        </w:rPr>
      </w:pPr>
      <w:r>
        <w:rPr>
          <w:rFonts w:hint="eastAsia" w:ascii="黑体" w:hAnsi="黑体" w:eastAsia="黑体" w:cs="黑体"/>
          <w:color w:val="auto"/>
          <w:sz w:val="84"/>
          <w:szCs w:val="84"/>
        </w:rPr>
        <w:t>鉴 定 报 告</w:t>
      </w:r>
    </w:p>
    <w:p w14:paraId="639D1083">
      <w:pPr>
        <w:jc w:val="center"/>
        <w:rPr>
          <w:rFonts w:hint="default" w:ascii="宋体" w:hAnsi="宋体" w:eastAsia="宋体" w:cs="宋体"/>
          <w:b/>
          <w:bCs/>
          <w:color w:val="auto"/>
          <w:sz w:val="28"/>
          <w:szCs w:val="28"/>
          <w:lang w:val="en-US" w:eastAsia="zh-CN"/>
        </w:rPr>
      </w:pPr>
      <w:r>
        <w:rPr>
          <w:rFonts w:hint="eastAsia" w:ascii="宋体" w:hAnsi="宋体" w:cs="宋体"/>
          <w:b/>
          <w:bCs/>
          <w:color w:val="auto"/>
          <w:sz w:val="28"/>
          <w:szCs w:val="28"/>
        </w:rPr>
        <w:t>报告编号：</w:t>
      </w:r>
      <w:r>
        <w:rPr>
          <w:rFonts w:hint="eastAsia" w:ascii="宋体" w:hAnsi="宋体" w:cs="宋体"/>
          <w:b/>
          <w:bCs/>
          <w:color w:val="auto"/>
          <w:sz w:val="28"/>
          <w:szCs w:val="28"/>
          <w:lang w:val="en-US" w:eastAsia="zh-CN"/>
        </w:rPr>
        <w:t>XXX</w:t>
      </w:r>
    </w:p>
    <w:p w14:paraId="47835D75">
      <w:pPr>
        <w:pStyle w:val="2"/>
        <w:jc w:val="both"/>
        <w:rPr>
          <w:b/>
          <w:bCs/>
          <w:color w:val="auto"/>
          <w:sz w:val="28"/>
          <w:szCs w:val="28"/>
          <w:highlight w:val="red"/>
        </w:rPr>
      </w:pPr>
    </w:p>
    <w:p w14:paraId="365D5640">
      <w:pPr>
        <w:pStyle w:val="17"/>
        <w:rPr>
          <w:color w:val="auto"/>
        </w:rPr>
      </w:pPr>
    </w:p>
    <w:p w14:paraId="5966BE21">
      <w:pPr>
        <w:rPr>
          <w:rFonts w:ascii="黑体" w:hAnsi="黑体" w:eastAsia="黑体" w:cs="黑体"/>
          <w:b/>
          <w:bCs/>
          <w:color w:val="auto"/>
          <w:spacing w:val="24"/>
          <w:sz w:val="36"/>
        </w:rPr>
      </w:pPr>
    </w:p>
    <w:p w14:paraId="46A45797">
      <w:pPr>
        <w:pStyle w:val="2"/>
        <w:jc w:val="both"/>
        <w:rPr>
          <w:rFonts w:ascii="黑体" w:hAnsi="黑体" w:eastAsia="黑体" w:cs="黑体"/>
          <w:b/>
          <w:bCs/>
          <w:color w:val="auto"/>
          <w:spacing w:val="24"/>
          <w:sz w:val="36"/>
        </w:rPr>
      </w:pPr>
    </w:p>
    <w:p w14:paraId="1E79FF39">
      <w:pPr>
        <w:pStyle w:val="17"/>
        <w:rPr>
          <w:rFonts w:ascii="黑体" w:hAnsi="黑体" w:eastAsia="黑体" w:cs="黑体"/>
          <w:b/>
          <w:bCs/>
          <w:color w:val="auto"/>
          <w:spacing w:val="24"/>
          <w:sz w:val="36"/>
        </w:rPr>
      </w:pPr>
    </w:p>
    <w:p w14:paraId="263241DB">
      <w:pPr>
        <w:pStyle w:val="17"/>
        <w:rPr>
          <w:rFonts w:ascii="黑体" w:hAnsi="黑体" w:eastAsia="黑体" w:cs="黑体"/>
          <w:b/>
          <w:bCs/>
          <w:color w:val="auto"/>
          <w:spacing w:val="24"/>
          <w:sz w:val="36"/>
        </w:rPr>
      </w:pPr>
    </w:p>
    <w:p w14:paraId="529531D1">
      <w:pPr>
        <w:pStyle w:val="17"/>
        <w:rPr>
          <w:rFonts w:ascii="黑体" w:hAnsi="黑体" w:eastAsia="黑体" w:cs="黑体"/>
          <w:b/>
          <w:bCs/>
          <w:color w:val="auto"/>
          <w:spacing w:val="24"/>
          <w:sz w:val="36"/>
        </w:rPr>
      </w:pPr>
    </w:p>
    <w:p w14:paraId="2917B9E7">
      <w:pPr>
        <w:pStyle w:val="17"/>
        <w:rPr>
          <w:rFonts w:ascii="黑体" w:hAnsi="黑体" w:eastAsia="黑体" w:cs="黑体"/>
          <w:b/>
          <w:bCs/>
          <w:color w:val="auto"/>
          <w:spacing w:val="24"/>
          <w:sz w:val="36"/>
        </w:rPr>
      </w:pPr>
    </w:p>
    <w:p w14:paraId="6B23A661">
      <w:pPr>
        <w:pStyle w:val="17"/>
        <w:rPr>
          <w:rFonts w:ascii="黑体" w:hAnsi="黑体" w:eastAsia="黑体" w:cs="黑体"/>
          <w:b/>
          <w:bCs/>
          <w:color w:val="auto"/>
          <w:spacing w:val="24"/>
          <w:sz w:val="36"/>
        </w:rPr>
      </w:pPr>
    </w:p>
    <w:p w14:paraId="1A2D1577">
      <w:pPr>
        <w:pStyle w:val="11"/>
        <w:ind w:firstLine="0" w:firstLineChars="0"/>
        <w:rPr>
          <w:color w:val="auto"/>
        </w:rPr>
      </w:pPr>
    </w:p>
    <w:p w14:paraId="2B326BC1">
      <w:pPr>
        <w:jc w:val="center"/>
        <w:rPr>
          <w:rFonts w:hint="default"/>
          <w:b/>
          <w:bCs/>
          <w:color w:val="auto"/>
          <w:sz w:val="36"/>
          <w:szCs w:val="36"/>
          <w:lang w:val="en-US"/>
        </w:rPr>
      </w:pPr>
      <w:bookmarkStart w:id="137" w:name="_Hlk142551847"/>
      <w:r>
        <w:rPr>
          <w:rFonts w:hint="eastAsia"/>
          <w:b/>
          <w:bCs/>
          <w:color w:val="auto"/>
          <w:sz w:val="36"/>
          <w:szCs w:val="36"/>
          <w:lang w:val="en-US" w:eastAsia="zh-CN"/>
        </w:rPr>
        <w:t>XXX(鉴定机构名称)（公章）</w:t>
      </w:r>
    </w:p>
    <w:bookmarkEnd w:id="137"/>
    <w:p w14:paraId="5C61C6FC">
      <w:pPr>
        <w:tabs>
          <w:tab w:val="left" w:pos="1440"/>
          <w:tab w:val="center" w:pos="4393"/>
        </w:tabs>
        <w:spacing w:after="60"/>
        <w:jc w:val="left"/>
        <w:rPr>
          <w:b/>
          <w:color w:val="auto"/>
          <w:sz w:val="36"/>
          <w:szCs w:val="36"/>
        </w:rPr>
        <w:sectPr>
          <w:headerReference r:id="rId8" w:type="default"/>
          <w:pgSz w:w="11906" w:h="16838"/>
          <w:pgMar w:top="1418" w:right="1418" w:bottom="1134" w:left="1701" w:header="737" w:footer="851" w:gutter="0"/>
          <w:pgNumType w:fmt="decimal"/>
          <w:cols w:space="720" w:num="1"/>
          <w:docGrid w:type="linesAndChars" w:linePitch="312" w:charSpace="0"/>
        </w:sectPr>
      </w:pPr>
      <w:r>
        <w:rPr>
          <w:b/>
          <w:color w:val="auto"/>
          <w:sz w:val="36"/>
          <w:szCs w:val="36"/>
        </w:rPr>
        <w:tab/>
      </w:r>
      <w:r>
        <w:rPr>
          <w:b/>
          <w:color w:val="auto"/>
          <w:sz w:val="36"/>
          <w:szCs w:val="36"/>
        </w:rPr>
        <w:tab/>
      </w:r>
      <w:r>
        <w:rPr>
          <w:rFonts w:hint="eastAsia" w:ascii="宋体" w:hAnsi="宋体" w:cs="宋体"/>
          <w:b/>
          <w:color w:val="auto"/>
          <w:sz w:val="36"/>
          <w:szCs w:val="36"/>
          <w:lang w:val="en-US" w:eastAsia="zh-CN"/>
        </w:rPr>
        <w:t>XXXX</w:t>
      </w:r>
      <w:r>
        <w:rPr>
          <w:rFonts w:hint="eastAsia" w:ascii="宋体" w:hAnsi="宋体" w:cs="宋体"/>
          <w:b/>
          <w:color w:val="auto"/>
          <w:sz w:val="36"/>
          <w:szCs w:val="36"/>
          <w:lang w:eastAsia="zh-CN"/>
        </w:rPr>
        <w:t>年</w:t>
      </w:r>
      <w:r>
        <w:rPr>
          <w:rFonts w:hint="eastAsia" w:ascii="宋体" w:hAnsi="宋体" w:cs="宋体"/>
          <w:b/>
          <w:color w:val="auto"/>
          <w:sz w:val="36"/>
          <w:szCs w:val="36"/>
          <w:lang w:val="en-US" w:eastAsia="zh-CN"/>
        </w:rPr>
        <w:t>XX</w:t>
      </w:r>
      <w:r>
        <w:rPr>
          <w:rFonts w:hint="eastAsia" w:ascii="宋体" w:hAnsi="宋体" w:cs="宋体"/>
          <w:b/>
          <w:color w:val="auto"/>
          <w:sz w:val="36"/>
          <w:szCs w:val="36"/>
        </w:rPr>
        <w:t>月</w:t>
      </w:r>
      <w:r>
        <w:rPr>
          <w:rFonts w:hint="eastAsia" w:ascii="宋体" w:hAnsi="宋体" w:cs="宋体"/>
          <w:b/>
          <w:color w:val="auto"/>
          <w:sz w:val="36"/>
          <w:szCs w:val="36"/>
          <w:lang w:val="en-US" w:eastAsia="zh-CN"/>
        </w:rPr>
        <w:t>XX</w:t>
      </w:r>
      <w:r>
        <w:rPr>
          <w:rFonts w:hint="eastAsia" w:ascii="宋体" w:hAnsi="宋体" w:cs="宋体"/>
          <w:b/>
          <w:color w:val="auto"/>
          <w:sz w:val="36"/>
          <w:szCs w:val="36"/>
        </w:rPr>
        <w:t>日</w:t>
      </w:r>
    </w:p>
    <w:p w14:paraId="7E0B30C1">
      <w:pPr>
        <w:adjustRightInd w:val="0"/>
        <w:snapToGrid w:val="0"/>
        <w:spacing w:before="0" w:after="0" w:line="240" w:lineRule="auto"/>
        <w:jc w:val="center"/>
        <w:rPr>
          <w:rFonts w:eastAsia="黑体"/>
          <w:b/>
          <w:color w:val="auto"/>
          <w:sz w:val="84"/>
          <w:szCs w:val="84"/>
        </w:rPr>
      </w:pPr>
      <w:r>
        <w:rPr>
          <w:rFonts w:eastAsia="黑体"/>
          <w:b/>
          <w:color w:val="auto"/>
          <w:sz w:val="84"/>
          <w:szCs w:val="84"/>
        </w:rPr>
        <w:t>鉴定报告</w:t>
      </w:r>
    </w:p>
    <w:p w14:paraId="4D09975D">
      <w:pPr>
        <w:jc w:val="center"/>
        <w:rPr>
          <w:rFonts w:ascii="黑体" w:hAnsi="黑体" w:eastAsia="黑体"/>
          <w:b/>
          <w:color w:val="auto"/>
          <w:sz w:val="36"/>
          <w:szCs w:val="36"/>
        </w:rPr>
      </w:pPr>
    </w:p>
    <w:p w14:paraId="78B0EA17">
      <w:pPr>
        <w:spacing w:before="0" w:after="0"/>
        <w:ind w:left="1506" w:hanging="1506" w:hangingChars="500"/>
        <w:jc w:val="left"/>
        <w:rPr>
          <w:rFonts w:hint="default" w:ascii="黑体" w:hAnsi="黑体" w:eastAsia="黑体"/>
          <w:b/>
          <w:color w:val="auto"/>
          <w:sz w:val="30"/>
          <w:szCs w:val="30"/>
          <w:lang w:val="en-US" w:eastAsia="zh-CN"/>
        </w:rPr>
      </w:pPr>
      <w:r>
        <w:rPr>
          <w:rFonts w:hint="eastAsia" w:ascii="黑体" w:hAnsi="黑体" w:eastAsia="黑体"/>
          <w:b/>
          <w:color w:val="auto"/>
          <w:sz w:val="30"/>
          <w:szCs w:val="30"/>
        </w:rPr>
        <w:t>项目</w:t>
      </w:r>
      <w:r>
        <w:rPr>
          <w:rFonts w:ascii="黑体" w:hAnsi="黑体" w:eastAsia="黑体"/>
          <w:b/>
          <w:color w:val="auto"/>
          <w:sz w:val="30"/>
          <w:szCs w:val="30"/>
        </w:rPr>
        <w:t>名称：</w:t>
      </w:r>
      <w:r>
        <w:rPr>
          <w:rFonts w:hint="eastAsia" w:ascii="黑体" w:hAnsi="黑体" w:eastAsia="黑体"/>
          <w:b/>
          <w:color w:val="auto"/>
          <w:sz w:val="30"/>
          <w:szCs w:val="30"/>
          <w:lang w:val="en-US" w:eastAsia="zh-CN"/>
        </w:rPr>
        <w:t>XXX</w:t>
      </w:r>
    </w:p>
    <w:p w14:paraId="655BD9C6">
      <w:pPr>
        <w:spacing w:before="0" w:after="0"/>
        <w:jc w:val="left"/>
        <w:rPr>
          <w:rFonts w:hint="default" w:ascii="黑体" w:hAnsi="黑体" w:eastAsia="黑体"/>
          <w:b/>
          <w:color w:val="auto"/>
          <w:sz w:val="30"/>
          <w:szCs w:val="30"/>
          <w:lang w:val="en-US" w:eastAsia="zh-CN"/>
        </w:rPr>
      </w:pPr>
      <w:r>
        <w:rPr>
          <w:rFonts w:hint="eastAsia" w:ascii="黑体" w:hAnsi="黑体" w:eastAsia="黑体"/>
          <w:b/>
          <w:color w:val="auto"/>
          <w:sz w:val="30"/>
          <w:szCs w:val="30"/>
        </w:rPr>
        <w:t>报告编号：</w:t>
      </w:r>
      <w:r>
        <w:rPr>
          <w:rFonts w:hint="eastAsia" w:ascii="黑体" w:hAnsi="黑体" w:eastAsia="黑体"/>
          <w:b/>
          <w:color w:val="auto"/>
          <w:sz w:val="30"/>
          <w:szCs w:val="30"/>
          <w:lang w:val="en-US" w:eastAsia="zh-CN"/>
        </w:rPr>
        <w:t>XXX</w:t>
      </w:r>
    </w:p>
    <w:p w14:paraId="7AC5DCCB">
      <w:pPr>
        <w:spacing w:before="0" w:after="0"/>
        <w:jc w:val="left"/>
        <w:rPr>
          <w:rFonts w:hint="default" w:ascii="黑体" w:hAnsi="黑体" w:eastAsia="黑体"/>
          <w:b/>
          <w:color w:val="auto"/>
          <w:sz w:val="30"/>
          <w:szCs w:val="30"/>
          <w:lang w:val="en-US" w:eastAsia="zh-CN"/>
        </w:rPr>
      </w:pPr>
      <w:r>
        <w:rPr>
          <w:rFonts w:hint="eastAsia" w:ascii="黑体" w:hAnsi="黑体" w:eastAsia="黑体"/>
          <w:b/>
          <w:color w:val="auto"/>
          <w:sz w:val="30"/>
          <w:szCs w:val="30"/>
        </w:rPr>
        <w:t>项目</w:t>
      </w:r>
      <w:r>
        <w:rPr>
          <w:rFonts w:ascii="黑体" w:hAnsi="黑体" w:eastAsia="黑体"/>
          <w:b/>
          <w:color w:val="auto"/>
          <w:sz w:val="30"/>
          <w:szCs w:val="30"/>
        </w:rPr>
        <w:t>地点：</w:t>
      </w:r>
      <w:r>
        <w:rPr>
          <w:rFonts w:hint="eastAsia" w:ascii="黑体" w:hAnsi="黑体" w:eastAsia="黑体"/>
          <w:b/>
          <w:color w:val="auto"/>
          <w:sz w:val="30"/>
          <w:szCs w:val="30"/>
          <w:lang w:val="en-US" w:eastAsia="zh-CN"/>
        </w:rPr>
        <w:t>XXX</w:t>
      </w:r>
    </w:p>
    <w:p w14:paraId="43F54696">
      <w:pPr>
        <w:spacing w:before="0" w:after="0"/>
        <w:jc w:val="left"/>
        <w:rPr>
          <w:rFonts w:hint="default" w:ascii="黑体" w:hAnsi="黑体" w:eastAsia="黑体"/>
          <w:b/>
          <w:color w:val="auto"/>
          <w:sz w:val="30"/>
          <w:szCs w:val="30"/>
          <w:lang w:val="en-US" w:eastAsia="zh-CN"/>
        </w:rPr>
      </w:pPr>
      <w:r>
        <w:rPr>
          <w:rFonts w:ascii="黑体" w:hAnsi="黑体" w:eastAsia="黑体"/>
          <w:b/>
          <w:color w:val="auto"/>
          <w:sz w:val="30"/>
          <w:szCs w:val="30"/>
        </w:rPr>
        <w:t>委托单位：</w:t>
      </w:r>
      <w:r>
        <w:rPr>
          <w:rFonts w:hint="eastAsia" w:ascii="黑体" w:hAnsi="黑体" w:eastAsia="黑体"/>
          <w:b/>
          <w:color w:val="auto"/>
          <w:sz w:val="30"/>
          <w:szCs w:val="30"/>
          <w:lang w:val="en-US" w:eastAsia="zh-CN"/>
        </w:rPr>
        <w:t>XXX</w:t>
      </w:r>
    </w:p>
    <w:p w14:paraId="1919F1C4">
      <w:pPr>
        <w:spacing w:before="0" w:after="0"/>
        <w:jc w:val="left"/>
        <w:rPr>
          <w:rFonts w:hint="default" w:ascii="黑体" w:hAnsi="黑体" w:eastAsia="黑体"/>
          <w:b/>
          <w:color w:val="auto"/>
          <w:sz w:val="30"/>
          <w:szCs w:val="30"/>
          <w:lang w:val="en-US" w:eastAsia="zh-CN"/>
        </w:rPr>
      </w:pPr>
      <w:r>
        <w:rPr>
          <w:rFonts w:hint="eastAsia" w:ascii="黑体" w:hAnsi="黑体" w:eastAsia="黑体"/>
          <w:b/>
          <w:color w:val="auto"/>
          <w:sz w:val="30"/>
          <w:szCs w:val="30"/>
        </w:rPr>
        <w:t>鉴定</w:t>
      </w:r>
      <w:r>
        <w:rPr>
          <w:rFonts w:ascii="黑体" w:hAnsi="黑体" w:eastAsia="黑体"/>
          <w:b/>
          <w:color w:val="auto"/>
          <w:sz w:val="30"/>
          <w:szCs w:val="30"/>
        </w:rPr>
        <w:t>时间：</w:t>
      </w:r>
      <w:r>
        <w:rPr>
          <w:rFonts w:hint="eastAsia" w:ascii="黑体" w:hAnsi="黑体" w:eastAsia="黑体"/>
          <w:b/>
          <w:color w:val="auto"/>
          <w:sz w:val="30"/>
          <w:szCs w:val="30"/>
          <w:lang w:val="en-US" w:eastAsia="zh-CN"/>
        </w:rPr>
        <w:t>XXXX</w:t>
      </w:r>
      <w:r>
        <w:rPr>
          <w:rFonts w:hint="eastAsia" w:ascii="黑体" w:hAnsi="黑体" w:eastAsia="黑体"/>
          <w:b/>
          <w:color w:val="auto"/>
          <w:sz w:val="30"/>
          <w:szCs w:val="30"/>
          <w:lang w:eastAsia="zh-CN"/>
        </w:rPr>
        <w:t>年</w:t>
      </w:r>
      <w:r>
        <w:rPr>
          <w:rFonts w:hint="eastAsia" w:ascii="黑体" w:hAnsi="黑体" w:eastAsia="黑体"/>
          <w:b/>
          <w:color w:val="auto"/>
          <w:sz w:val="30"/>
          <w:szCs w:val="30"/>
          <w:lang w:val="en-US" w:eastAsia="zh-CN"/>
        </w:rPr>
        <w:t>XX</w:t>
      </w:r>
      <w:r>
        <w:rPr>
          <w:rFonts w:hint="eastAsia" w:ascii="黑体" w:hAnsi="黑体" w:eastAsia="黑体"/>
          <w:b/>
          <w:color w:val="auto"/>
          <w:sz w:val="30"/>
          <w:szCs w:val="30"/>
          <w:lang w:eastAsia="zh-CN"/>
        </w:rPr>
        <w:t>月</w:t>
      </w:r>
      <w:r>
        <w:rPr>
          <w:rFonts w:hint="eastAsia" w:ascii="黑体" w:hAnsi="黑体" w:eastAsia="黑体"/>
          <w:b/>
          <w:color w:val="auto"/>
          <w:sz w:val="30"/>
          <w:szCs w:val="30"/>
          <w:lang w:val="en-US" w:eastAsia="zh-CN"/>
        </w:rPr>
        <w:t>XX</w:t>
      </w:r>
      <w:r>
        <w:rPr>
          <w:rFonts w:hint="eastAsia" w:ascii="黑体" w:hAnsi="黑体" w:eastAsia="黑体"/>
          <w:b/>
          <w:color w:val="auto"/>
          <w:sz w:val="30"/>
          <w:szCs w:val="30"/>
          <w:lang w:eastAsia="zh-CN"/>
        </w:rPr>
        <w:t>日</w:t>
      </w:r>
      <w:r>
        <w:rPr>
          <w:rFonts w:hint="eastAsia" w:ascii="黑体" w:hAnsi="黑体" w:eastAsia="黑体"/>
          <w:b/>
          <w:color w:val="auto"/>
          <w:sz w:val="30"/>
          <w:szCs w:val="30"/>
          <w:lang w:val="en-US" w:eastAsia="zh-CN"/>
        </w:rPr>
        <w:t>~XXXX</w:t>
      </w:r>
      <w:r>
        <w:rPr>
          <w:rFonts w:hint="eastAsia" w:ascii="黑体" w:hAnsi="黑体" w:eastAsia="黑体"/>
          <w:b/>
          <w:color w:val="auto"/>
          <w:sz w:val="30"/>
          <w:szCs w:val="30"/>
          <w:lang w:eastAsia="zh-CN"/>
        </w:rPr>
        <w:t>年</w:t>
      </w:r>
      <w:r>
        <w:rPr>
          <w:rFonts w:hint="eastAsia" w:ascii="黑体" w:hAnsi="黑体" w:eastAsia="黑体"/>
          <w:b/>
          <w:color w:val="auto"/>
          <w:sz w:val="30"/>
          <w:szCs w:val="30"/>
          <w:lang w:val="en-US" w:eastAsia="zh-CN"/>
        </w:rPr>
        <w:t>XX</w:t>
      </w:r>
      <w:r>
        <w:rPr>
          <w:rFonts w:hint="eastAsia" w:ascii="黑体" w:hAnsi="黑体" w:eastAsia="黑体"/>
          <w:b/>
          <w:color w:val="auto"/>
          <w:sz w:val="30"/>
          <w:szCs w:val="30"/>
          <w:lang w:eastAsia="zh-CN"/>
        </w:rPr>
        <w:t>月</w:t>
      </w:r>
      <w:r>
        <w:rPr>
          <w:rFonts w:hint="eastAsia" w:ascii="黑体" w:hAnsi="黑体" w:eastAsia="黑体"/>
          <w:b/>
          <w:color w:val="auto"/>
          <w:sz w:val="30"/>
          <w:szCs w:val="30"/>
          <w:lang w:val="en-US" w:eastAsia="zh-CN"/>
        </w:rPr>
        <w:t>XX</w:t>
      </w:r>
      <w:r>
        <w:rPr>
          <w:rFonts w:hint="eastAsia" w:ascii="黑体" w:hAnsi="黑体" w:eastAsia="黑体"/>
          <w:b/>
          <w:color w:val="auto"/>
          <w:sz w:val="30"/>
          <w:szCs w:val="30"/>
          <w:lang w:eastAsia="zh-CN"/>
        </w:rPr>
        <w:t>日</w:t>
      </w:r>
    </w:p>
    <w:p w14:paraId="58F31BC1">
      <w:pPr>
        <w:pStyle w:val="35"/>
        <w:rPr>
          <w:color w:val="auto"/>
        </w:rPr>
      </w:pPr>
    </w:p>
    <w:p w14:paraId="668B88D2">
      <w:pPr>
        <w:pStyle w:val="35"/>
        <w:ind w:firstLine="0"/>
        <w:rPr>
          <w:rFonts w:eastAsia="黑体"/>
          <w:color w:val="auto"/>
        </w:rPr>
      </w:pPr>
      <w:r>
        <w:rPr>
          <w:rFonts w:hint="eastAsia" w:ascii="黑体" w:hAnsi="黑体" w:eastAsia="黑体"/>
          <w:b/>
          <w:color w:val="auto"/>
          <w:sz w:val="30"/>
          <w:szCs w:val="30"/>
        </w:rPr>
        <w:t>签发：</w:t>
      </w:r>
      <w:r>
        <w:rPr>
          <w:rFonts w:hint="eastAsia" w:ascii="黑体" w:hAnsi="黑体" w:eastAsia="黑体"/>
          <w:b/>
          <w:color w:val="auto"/>
          <w:sz w:val="30"/>
          <w:szCs w:val="30"/>
          <w:lang w:val="en-US" w:eastAsia="zh-CN"/>
        </w:rPr>
        <w:t>(打印+手签)</w:t>
      </w:r>
      <w:r>
        <w:rPr>
          <w:rFonts w:hint="eastAsia" w:ascii="黑体" w:hAnsi="黑体" w:eastAsia="黑体"/>
          <w:b/>
          <w:color w:val="auto"/>
          <w:sz w:val="30"/>
          <w:szCs w:val="30"/>
        </w:rPr>
        <w:t xml:space="preserve">              证书编号：</w:t>
      </w:r>
    </w:p>
    <w:p w14:paraId="495C691F">
      <w:pPr>
        <w:spacing w:before="0" w:after="0"/>
        <w:jc w:val="left"/>
        <w:rPr>
          <w:rFonts w:ascii="黑体" w:hAnsi="黑体" w:eastAsia="黑体"/>
          <w:b/>
          <w:color w:val="auto"/>
          <w:sz w:val="30"/>
          <w:szCs w:val="30"/>
        </w:rPr>
      </w:pPr>
      <w:r>
        <w:rPr>
          <w:rFonts w:hint="eastAsia" w:ascii="黑体" w:hAnsi="黑体" w:eastAsia="黑体"/>
          <w:b/>
          <w:color w:val="auto"/>
          <w:sz w:val="30"/>
          <w:szCs w:val="30"/>
        </w:rPr>
        <w:t>审核：</w:t>
      </w:r>
      <w:r>
        <w:rPr>
          <w:rFonts w:hint="eastAsia" w:ascii="黑体" w:hAnsi="黑体" w:eastAsia="黑体"/>
          <w:b/>
          <w:color w:val="auto"/>
          <w:sz w:val="30"/>
          <w:szCs w:val="30"/>
          <w:lang w:val="en-US" w:eastAsia="zh-CN"/>
        </w:rPr>
        <w:t>(打印+手签)</w:t>
      </w:r>
      <w:r>
        <w:rPr>
          <w:rFonts w:hint="eastAsia" w:ascii="黑体" w:hAnsi="黑体" w:eastAsia="黑体"/>
          <w:b/>
          <w:color w:val="auto"/>
          <w:sz w:val="30"/>
          <w:szCs w:val="30"/>
        </w:rPr>
        <w:t xml:space="preserve">              证书编号：</w:t>
      </w:r>
    </w:p>
    <w:p w14:paraId="395E54BC">
      <w:pPr>
        <w:spacing w:before="0" w:after="0"/>
        <w:jc w:val="left"/>
        <w:rPr>
          <w:rFonts w:ascii="黑体" w:hAnsi="黑体" w:eastAsia="黑体"/>
          <w:b/>
          <w:color w:val="auto"/>
          <w:sz w:val="30"/>
          <w:szCs w:val="30"/>
        </w:rPr>
      </w:pPr>
      <w:r>
        <w:rPr>
          <w:rFonts w:hint="eastAsia" w:ascii="黑体" w:hAnsi="黑体" w:eastAsia="黑体"/>
          <w:b/>
          <w:color w:val="auto"/>
          <w:sz w:val="30"/>
          <w:szCs w:val="30"/>
        </w:rPr>
        <w:t>校审：</w:t>
      </w:r>
      <w:r>
        <w:rPr>
          <w:rFonts w:hint="eastAsia" w:ascii="黑体" w:hAnsi="黑体" w:eastAsia="黑体"/>
          <w:b/>
          <w:color w:val="auto"/>
          <w:sz w:val="30"/>
          <w:szCs w:val="30"/>
          <w:lang w:val="en-US" w:eastAsia="zh-CN"/>
        </w:rPr>
        <w:t>(打印+手签)</w:t>
      </w:r>
      <w:r>
        <w:rPr>
          <w:rFonts w:hint="eastAsia" w:ascii="黑体" w:hAnsi="黑体" w:eastAsia="黑体"/>
          <w:b/>
          <w:color w:val="auto"/>
          <w:sz w:val="30"/>
          <w:szCs w:val="30"/>
        </w:rPr>
        <w:t xml:space="preserve">              证书编号：</w:t>
      </w:r>
    </w:p>
    <w:p w14:paraId="3BE1C827">
      <w:pPr>
        <w:spacing w:before="0" w:after="0"/>
        <w:jc w:val="left"/>
        <w:rPr>
          <w:rFonts w:hint="eastAsia" w:ascii="黑体" w:hAnsi="黑体" w:eastAsia="黑体"/>
          <w:b/>
          <w:color w:val="auto"/>
          <w:sz w:val="30"/>
          <w:szCs w:val="30"/>
          <w:lang w:val="en-US" w:eastAsia="zh-CN"/>
        </w:rPr>
      </w:pPr>
      <w:r>
        <w:rPr>
          <w:rFonts w:hint="eastAsia" w:ascii="黑体" w:hAnsi="黑体" w:eastAsia="黑体"/>
          <w:b/>
          <w:color w:val="auto"/>
          <w:sz w:val="30"/>
          <w:szCs w:val="30"/>
        </w:rPr>
        <w:t>编写：</w:t>
      </w:r>
      <w:r>
        <w:rPr>
          <w:rFonts w:hint="eastAsia" w:ascii="黑体" w:hAnsi="黑体" w:eastAsia="黑体"/>
          <w:b/>
          <w:color w:val="auto"/>
          <w:sz w:val="30"/>
          <w:szCs w:val="30"/>
          <w:lang w:val="en-US" w:eastAsia="zh-CN"/>
        </w:rPr>
        <w:t>(打印+手签)</w:t>
      </w:r>
      <w:r>
        <w:rPr>
          <w:rFonts w:hint="eastAsia" w:ascii="黑体" w:hAnsi="黑体" w:eastAsia="黑体"/>
          <w:b/>
          <w:color w:val="auto"/>
          <w:sz w:val="30"/>
          <w:szCs w:val="30"/>
        </w:rPr>
        <w:t xml:space="preserve">              证书编号：</w:t>
      </w:r>
    </w:p>
    <w:p w14:paraId="16C9E912">
      <w:pPr>
        <w:spacing w:before="0" w:after="0"/>
        <w:jc w:val="left"/>
        <w:rPr>
          <w:rFonts w:hint="eastAsia" w:ascii="黑体" w:hAnsi="黑体" w:eastAsia="黑体"/>
          <w:b/>
          <w:color w:val="auto"/>
          <w:sz w:val="30"/>
          <w:szCs w:val="30"/>
          <w:lang w:val="en-US" w:eastAsia="zh-CN"/>
        </w:rPr>
      </w:pPr>
      <w:r>
        <w:rPr>
          <w:rFonts w:hint="eastAsia" w:ascii="黑体" w:hAnsi="黑体" w:eastAsia="黑体"/>
          <w:b/>
          <w:color w:val="auto"/>
          <w:sz w:val="30"/>
          <w:szCs w:val="30"/>
        </w:rPr>
        <w:t>主检：</w:t>
      </w:r>
      <w:r>
        <w:rPr>
          <w:rFonts w:hint="eastAsia" w:ascii="黑体" w:hAnsi="黑体" w:eastAsia="黑体"/>
          <w:b/>
          <w:color w:val="auto"/>
          <w:sz w:val="30"/>
          <w:szCs w:val="30"/>
          <w:lang w:val="en-US" w:eastAsia="zh-CN"/>
        </w:rPr>
        <w:t>(打印+手签)</w:t>
      </w:r>
      <w:r>
        <w:rPr>
          <w:rFonts w:hint="eastAsia" w:ascii="黑体" w:hAnsi="黑体" w:eastAsia="黑体"/>
          <w:b/>
          <w:color w:val="auto"/>
          <w:sz w:val="30"/>
          <w:szCs w:val="30"/>
        </w:rPr>
        <w:t xml:space="preserve">              证书编号：</w:t>
      </w:r>
    </w:p>
    <w:p w14:paraId="6EA2118B">
      <w:pPr>
        <w:spacing w:before="0" w:after="0"/>
        <w:ind w:firstLine="904" w:firstLineChars="300"/>
        <w:jc w:val="left"/>
        <w:rPr>
          <w:rFonts w:hint="default" w:ascii="黑体" w:hAnsi="黑体" w:eastAsia="黑体"/>
          <w:b/>
          <w:color w:val="auto"/>
          <w:sz w:val="30"/>
          <w:szCs w:val="30"/>
          <w:lang w:val="en-US" w:eastAsia="zh-CN"/>
        </w:rPr>
      </w:pPr>
      <w:r>
        <w:rPr>
          <w:rFonts w:hint="eastAsia" w:ascii="黑体" w:hAnsi="黑体" w:eastAsia="黑体"/>
          <w:b/>
          <w:color w:val="auto"/>
          <w:sz w:val="30"/>
          <w:szCs w:val="30"/>
          <w:lang w:val="en-US" w:eastAsia="zh-CN"/>
        </w:rPr>
        <w:t>(打印+手签)</w:t>
      </w:r>
      <w:r>
        <w:rPr>
          <w:rFonts w:hint="eastAsia" w:ascii="黑体" w:hAnsi="黑体" w:eastAsia="黑体"/>
          <w:b/>
          <w:color w:val="auto"/>
          <w:sz w:val="30"/>
          <w:szCs w:val="30"/>
        </w:rPr>
        <w:t xml:space="preserve">   </w:t>
      </w:r>
      <w:r>
        <w:rPr>
          <w:rFonts w:hint="eastAsia" w:ascii="黑体" w:hAnsi="黑体" w:eastAsia="黑体"/>
          <w:b/>
          <w:color w:val="auto"/>
          <w:sz w:val="30"/>
          <w:szCs w:val="30"/>
          <w:lang w:val="en-US" w:eastAsia="zh-CN"/>
        </w:rPr>
        <w:t xml:space="preserve">           </w:t>
      </w:r>
      <w:r>
        <w:rPr>
          <w:rFonts w:hint="eastAsia" w:ascii="黑体" w:hAnsi="黑体" w:eastAsia="黑体"/>
          <w:b/>
          <w:color w:val="auto"/>
          <w:sz w:val="30"/>
          <w:szCs w:val="30"/>
        </w:rPr>
        <w:t>证书编号：</w:t>
      </w:r>
    </w:p>
    <w:p w14:paraId="7CBDEC63">
      <w:pPr>
        <w:pStyle w:val="35"/>
        <w:ind w:firstLine="888" w:firstLineChars="295"/>
        <w:rPr>
          <w:color w:val="auto"/>
        </w:rPr>
      </w:pPr>
      <w:r>
        <w:rPr>
          <w:rFonts w:hint="eastAsia" w:ascii="黑体" w:hAnsi="黑体" w:eastAsia="黑体"/>
          <w:b/>
          <w:color w:val="auto"/>
          <w:sz w:val="30"/>
          <w:szCs w:val="30"/>
        </w:rPr>
        <w:t xml:space="preserve">               </w:t>
      </w:r>
    </w:p>
    <w:p w14:paraId="5EAD4167">
      <w:pPr>
        <w:spacing w:before="0" w:after="0"/>
        <w:ind w:firstLine="630" w:firstLineChars="300"/>
        <w:rPr>
          <w:color w:val="auto"/>
        </w:rPr>
      </w:pPr>
    </w:p>
    <w:p w14:paraId="5548C431">
      <w:pPr>
        <w:pStyle w:val="21"/>
        <w:ind w:left="480" w:firstLine="480"/>
        <w:rPr>
          <w:color w:val="auto"/>
        </w:rPr>
      </w:pPr>
    </w:p>
    <w:p w14:paraId="2966EED3">
      <w:pPr>
        <w:spacing w:before="0" w:after="0"/>
        <w:jc w:val="left"/>
        <w:rPr>
          <w:rFonts w:hint="default" w:ascii="黑体" w:hAnsi="黑体" w:eastAsia="黑体"/>
          <w:b/>
          <w:color w:val="auto"/>
          <w:sz w:val="30"/>
          <w:szCs w:val="30"/>
          <w:lang w:val="en-US" w:eastAsia="zh-CN"/>
        </w:rPr>
      </w:pPr>
      <w:r>
        <w:rPr>
          <w:rFonts w:ascii="黑体" w:hAnsi="黑体" w:eastAsia="黑体"/>
          <w:b/>
          <w:color w:val="auto"/>
          <w:sz w:val="30"/>
          <w:szCs w:val="30"/>
        </w:rPr>
        <w:t>项目负责人：</w:t>
      </w:r>
      <w:r>
        <w:rPr>
          <w:rFonts w:hint="eastAsia" w:ascii="黑体" w:hAnsi="黑体" w:eastAsia="黑体"/>
          <w:b/>
          <w:color w:val="auto"/>
          <w:sz w:val="30"/>
          <w:szCs w:val="30"/>
          <w:lang w:val="en-US" w:eastAsia="zh-CN"/>
        </w:rPr>
        <w:t>(打印+手签)</w:t>
      </w:r>
      <w:r>
        <w:rPr>
          <w:rFonts w:hint="eastAsia" w:ascii="黑体" w:hAnsi="黑体" w:eastAsia="黑体"/>
          <w:b/>
          <w:color w:val="auto"/>
          <w:sz w:val="30"/>
          <w:szCs w:val="30"/>
        </w:rPr>
        <w:t xml:space="preserve"> </w:t>
      </w:r>
    </w:p>
    <w:p w14:paraId="37377B0F">
      <w:pPr>
        <w:pStyle w:val="35"/>
        <w:ind w:firstLine="0"/>
        <w:rPr>
          <w:rFonts w:hint="eastAsia" w:ascii="黑体" w:hAnsi="黑体" w:eastAsia="黑体"/>
          <w:b/>
          <w:color w:val="auto"/>
          <w:sz w:val="30"/>
          <w:szCs w:val="30"/>
          <w:lang w:val="en-US" w:eastAsia="zh-CN"/>
        </w:rPr>
      </w:pPr>
      <w:r>
        <w:rPr>
          <w:rFonts w:hint="eastAsia" w:ascii="黑体" w:hAnsi="黑体" w:eastAsia="黑体"/>
          <w:b/>
          <w:color w:val="auto"/>
          <w:sz w:val="30"/>
          <w:szCs w:val="30"/>
        </w:rPr>
        <w:t>项目组成员</w:t>
      </w:r>
      <w:r>
        <w:rPr>
          <w:rFonts w:ascii="黑体" w:hAnsi="黑体" w:eastAsia="黑体"/>
          <w:b/>
          <w:color w:val="auto"/>
          <w:sz w:val="30"/>
          <w:szCs w:val="30"/>
        </w:rPr>
        <w:t>：</w:t>
      </w:r>
      <w:r>
        <w:rPr>
          <w:rFonts w:hint="eastAsia" w:ascii="黑体" w:hAnsi="黑体" w:eastAsia="黑体"/>
          <w:b/>
          <w:color w:val="auto"/>
          <w:sz w:val="30"/>
          <w:szCs w:val="30"/>
          <w:lang w:val="en-US" w:eastAsia="zh-CN"/>
        </w:rPr>
        <w:t>（打印）（不包含签发人、审核人）</w:t>
      </w:r>
    </w:p>
    <w:p w14:paraId="2352409A">
      <w:pPr>
        <w:ind w:firstLine="4216" w:firstLineChars="1400"/>
        <w:rPr>
          <w:rFonts w:hint="default"/>
          <w:color w:val="auto"/>
          <w:lang w:val="en-US"/>
        </w:rPr>
      </w:pPr>
      <w:r>
        <w:rPr>
          <w:rFonts w:hint="eastAsia" w:ascii="黑体" w:hAnsi="黑体" w:eastAsia="黑体"/>
          <w:b/>
          <w:color w:val="auto"/>
          <w:sz w:val="30"/>
          <w:szCs w:val="30"/>
          <w:lang w:val="en-US" w:eastAsia="zh-CN"/>
        </w:rPr>
        <w:t>（盖注册章）</w:t>
      </w:r>
    </w:p>
    <w:p w14:paraId="35104B14">
      <w:pPr>
        <w:spacing w:before="0" w:after="0"/>
        <w:jc w:val="left"/>
        <w:rPr>
          <w:rFonts w:hint="default" w:ascii="黑体" w:hAnsi="黑体" w:eastAsia="黑体"/>
          <w:b/>
          <w:color w:val="auto"/>
          <w:sz w:val="32"/>
          <w:szCs w:val="32"/>
          <w:lang w:val="en-US" w:eastAsia="zh-CN"/>
        </w:rPr>
      </w:pPr>
      <w:r>
        <w:rPr>
          <w:rFonts w:hint="eastAsia" w:ascii="黑体" w:hAnsi="黑体" w:eastAsia="黑体"/>
          <w:b/>
          <w:color w:val="auto"/>
          <w:sz w:val="32"/>
          <w:szCs w:val="32"/>
        </w:rPr>
        <w:t>鉴定</w:t>
      </w:r>
      <w:r>
        <w:rPr>
          <w:rFonts w:ascii="黑体" w:hAnsi="黑体" w:eastAsia="黑体"/>
          <w:b/>
          <w:color w:val="auto"/>
          <w:sz w:val="32"/>
          <w:szCs w:val="32"/>
        </w:rPr>
        <w:t>单位</w:t>
      </w:r>
      <w:r>
        <w:rPr>
          <w:rFonts w:hint="eastAsia" w:ascii="黑体" w:hAnsi="黑体" w:eastAsia="黑体"/>
          <w:b/>
          <w:color w:val="auto"/>
          <w:sz w:val="32"/>
          <w:szCs w:val="32"/>
        </w:rPr>
        <w:t>：</w:t>
      </w:r>
      <w:r>
        <w:rPr>
          <w:rFonts w:hint="eastAsia" w:ascii="黑体" w:hAnsi="黑体" w:eastAsia="黑体"/>
          <w:b/>
          <w:color w:val="auto"/>
          <w:sz w:val="32"/>
          <w:szCs w:val="32"/>
          <w:lang w:val="en-US" w:eastAsia="zh-CN"/>
        </w:rPr>
        <w:t>XXX(公章)</w:t>
      </w:r>
    </w:p>
    <w:p w14:paraId="35530C53">
      <w:pPr>
        <w:spacing w:before="0" w:after="0"/>
        <w:rPr>
          <w:rFonts w:ascii="黑体" w:hAnsi="黑体" w:eastAsia="黑体"/>
          <w:b/>
          <w:color w:val="auto"/>
          <w:sz w:val="36"/>
          <w:szCs w:val="36"/>
        </w:rPr>
      </w:pPr>
      <w:r>
        <w:rPr>
          <w:rFonts w:hint="eastAsia" w:ascii="黑体" w:hAnsi="黑体" w:eastAsia="黑体"/>
          <w:b/>
          <w:color w:val="auto"/>
          <w:sz w:val="32"/>
          <w:szCs w:val="32"/>
        </w:rPr>
        <w:t xml:space="preserve">签发日期：   </w:t>
      </w:r>
      <w:r>
        <w:rPr>
          <w:rFonts w:ascii="黑体" w:hAnsi="黑体" w:eastAsia="黑体"/>
          <w:b/>
          <w:color w:val="auto"/>
          <w:sz w:val="32"/>
          <w:szCs w:val="32"/>
        </w:rPr>
        <w:t>年</w:t>
      </w:r>
      <w:r>
        <w:rPr>
          <w:rFonts w:hint="eastAsia" w:ascii="黑体" w:hAnsi="黑体" w:eastAsia="黑体"/>
          <w:b/>
          <w:color w:val="auto"/>
          <w:sz w:val="32"/>
          <w:szCs w:val="32"/>
        </w:rPr>
        <w:t xml:space="preserve">    </w:t>
      </w:r>
      <w:r>
        <w:rPr>
          <w:rFonts w:ascii="黑体" w:hAnsi="黑体" w:eastAsia="黑体"/>
          <w:b/>
          <w:color w:val="auto"/>
          <w:sz w:val="32"/>
          <w:szCs w:val="32"/>
        </w:rPr>
        <w:t>月</w:t>
      </w:r>
      <w:r>
        <w:rPr>
          <w:rFonts w:hint="eastAsia" w:ascii="黑体" w:hAnsi="黑体" w:eastAsia="黑体"/>
          <w:b/>
          <w:color w:val="auto"/>
          <w:sz w:val="32"/>
          <w:szCs w:val="32"/>
        </w:rPr>
        <w:t xml:space="preserve">    </w:t>
      </w:r>
      <w:r>
        <w:rPr>
          <w:rFonts w:ascii="黑体" w:hAnsi="黑体" w:eastAsia="黑体"/>
          <w:b/>
          <w:color w:val="auto"/>
          <w:sz w:val="32"/>
          <w:szCs w:val="32"/>
        </w:rPr>
        <w:t xml:space="preserve">日 </w:t>
      </w:r>
      <w:r>
        <w:rPr>
          <w:rFonts w:hint="eastAsia" w:ascii="黑体" w:hAnsi="黑体" w:eastAsia="黑体"/>
          <w:b/>
          <w:color w:val="auto"/>
          <w:sz w:val="32"/>
          <w:szCs w:val="32"/>
        </w:rPr>
        <w:t xml:space="preserve"> </w:t>
      </w:r>
      <w:r>
        <w:rPr>
          <w:rFonts w:hint="eastAsia" w:ascii="黑体" w:hAnsi="黑体" w:eastAsia="黑体"/>
          <w:b/>
          <w:color w:val="auto"/>
          <w:sz w:val="32"/>
          <w:szCs w:val="32"/>
          <w:lang w:val="en-US" w:eastAsia="zh-CN"/>
        </w:rPr>
        <w:t>(日期签发人手填)</w:t>
      </w:r>
    </w:p>
    <w:p w14:paraId="65E75C59">
      <w:pPr>
        <w:spacing w:before="0" w:after="0"/>
        <w:jc w:val="left"/>
        <w:rPr>
          <w:rFonts w:hint="default" w:ascii="Times New Roman" w:hAnsi="Times New Roman" w:cs="Times New Roman"/>
          <w:bCs/>
          <w:color w:val="auto"/>
          <w:sz w:val="28"/>
          <w:szCs w:val="28"/>
        </w:rPr>
      </w:pPr>
      <w:r>
        <w:rPr>
          <w:rFonts w:hint="default" w:ascii="Times New Roman" w:hAnsi="Times New Roman" w:eastAsia="宋体" w:cs="Times New Roman"/>
          <w:b/>
          <w:color w:val="auto"/>
          <w:sz w:val="36"/>
          <w:szCs w:val="20"/>
        </w:rPr>
        <w:br w:type="page"/>
      </w:r>
    </w:p>
    <w:p w14:paraId="117DE6DC">
      <w:pPr>
        <w:spacing w:before="0" w:after="0"/>
        <w:jc w:val="center"/>
        <w:rPr>
          <w:rFonts w:hint="default" w:ascii="黑体" w:hAnsi="黑体" w:eastAsia="黑体"/>
          <w:b/>
          <w:color w:val="auto"/>
          <w:sz w:val="36"/>
          <w:szCs w:val="36"/>
          <w:lang w:val="en-US"/>
        </w:rPr>
      </w:pPr>
      <w:r>
        <w:rPr>
          <w:rFonts w:hint="eastAsia" w:ascii="黑体" w:hAnsi="黑体" w:eastAsia="黑体"/>
          <w:b/>
          <w:color w:val="auto"/>
          <w:sz w:val="36"/>
          <w:szCs w:val="36"/>
          <w:lang w:val="en-US" w:eastAsia="zh-CN"/>
        </w:rPr>
        <w:t>XXX(鉴定机构名称)</w:t>
      </w:r>
    </w:p>
    <w:p w14:paraId="219FB887">
      <w:pPr>
        <w:jc w:val="center"/>
        <w:rPr>
          <w:rFonts w:ascii="黑体" w:hAnsi="黑体" w:eastAsia="黑体"/>
          <w:b/>
          <w:color w:val="auto"/>
          <w:sz w:val="36"/>
          <w:szCs w:val="36"/>
        </w:rPr>
      </w:pPr>
      <w:r>
        <w:rPr>
          <w:rFonts w:hint="eastAsia" w:ascii="黑体" w:hAnsi="黑体" w:eastAsia="黑体"/>
          <w:b/>
          <w:color w:val="auto"/>
          <w:sz w:val="36"/>
          <w:szCs w:val="36"/>
        </w:rPr>
        <w:t>声</w:t>
      </w:r>
      <w:r>
        <w:rPr>
          <w:rFonts w:ascii="黑体" w:hAnsi="黑体" w:eastAsia="黑体"/>
          <w:b/>
          <w:color w:val="auto"/>
          <w:sz w:val="36"/>
          <w:szCs w:val="36"/>
        </w:rPr>
        <w:t xml:space="preserve"> 明</w:t>
      </w:r>
    </w:p>
    <w:p w14:paraId="054F5232">
      <w:pPr>
        <w:keepNext w:val="0"/>
        <w:keepLines w:val="0"/>
        <w:pageBreakBefore w:val="0"/>
        <w:widowControl w:val="0"/>
        <w:kinsoku/>
        <w:wordWrap/>
        <w:overflowPunct/>
        <w:topLinePunct w:val="0"/>
        <w:autoSpaceDE/>
        <w:autoSpaceDN/>
        <w:bidi w:val="0"/>
        <w:adjustRightInd/>
        <w:snapToGrid/>
        <w:spacing w:before="120" w:after="120" w:line="360" w:lineRule="auto"/>
        <w:jc w:val="left"/>
        <w:textAlignment w:val="auto"/>
        <w:rPr>
          <w:rFonts w:eastAsiaTheme="minorEastAsia"/>
          <w:bCs/>
          <w:color w:val="auto"/>
          <w:sz w:val="24"/>
          <w:szCs w:val="24"/>
        </w:rPr>
      </w:pPr>
      <w:r>
        <w:rPr>
          <w:rFonts w:eastAsiaTheme="minorEastAsia"/>
          <w:bCs/>
          <w:color w:val="auto"/>
          <w:sz w:val="24"/>
          <w:szCs w:val="24"/>
        </w:rPr>
        <w:t>1、本报告未加盖本单位公章者和骑缝章者无效；</w:t>
      </w:r>
    </w:p>
    <w:p w14:paraId="29DF8875">
      <w:pPr>
        <w:keepNext w:val="0"/>
        <w:keepLines w:val="0"/>
        <w:pageBreakBefore w:val="0"/>
        <w:widowControl w:val="0"/>
        <w:kinsoku/>
        <w:wordWrap/>
        <w:overflowPunct/>
        <w:topLinePunct w:val="0"/>
        <w:autoSpaceDE/>
        <w:autoSpaceDN/>
        <w:bidi w:val="0"/>
        <w:adjustRightInd/>
        <w:snapToGrid/>
        <w:spacing w:before="120" w:after="120" w:line="360" w:lineRule="auto"/>
        <w:jc w:val="left"/>
        <w:textAlignment w:val="auto"/>
        <w:rPr>
          <w:rFonts w:eastAsiaTheme="minorEastAsia"/>
          <w:bCs/>
          <w:color w:val="auto"/>
          <w:sz w:val="24"/>
          <w:szCs w:val="24"/>
        </w:rPr>
      </w:pPr>
      <w:r>
        <w:rPr>
          <w:rFonts w:eastAsiaTheme="minorEastAsia"/>
          <w:bCs/>
          <w:color w:val="auto"/>
          <w:sz w:val="24"/>
          <w:szCs w:val="24"/>
        </w:rPr>
        <w:t>2、本报告涂改、错页、缺页、换页者或部分复印无效；</w:t>
      </w:r>
    </w:p>
    <w:p w14:paraId="2E617BE9">
      <w:pPr>
        <w:keepNext w:val="0"/>
        <w:keepLines w:val="0"/>
        <w:pageBreakBefore w:val="0"/>
        <w:widowControl w:val="0"/>
        <w:kinsoku/>
        <w:wordWrap/>
        <w:overflowPunct/>
        <w:topLinePunct w:val="0"/>
        <w:autoSpaceDE/>
        <w:autoSpaceDN/>
        <w:bidi w:val="0"/>
        <w:adjustRightInd/>
        <w:snapToGrid/>
        <w:spacing w:before="120" w:after="120" w:line="360" w:lineRule="auto"/>
        <w:jc w:val="left"/>
        <w:textAlignment w:val="auto"/>
        <w:rPr>
          <w:rFonts w:eastAsiaTheme="minorEastAsia"/>
          <w:bCs/>
          <w:color w:val="auto"/>
          <w:sz w:val="24"/>
          <w:szCs w:val="24"/>
        </w:rPr>
      </w:pPr>
      <w:r>
        <w:rPr>
          <w:rFonts w:eastAsiaTheme="minorEastAsia"/>
          <w:bCs/>
          <w:color w:val="auto"/>
          <w:sz w:val="24"/>
          <w:szCs w:val="24"/>
        </w:rPr>
        <w:t>3、本报告无公司“签发、审核、校审、编写、主检和项目负责人”人员的签字无效；</w:t>
      </w:r>
    </w:p>
    <w:p w14:paraId="04BC0D5F">
      <w:pPr>
        <w:keepNext w:val="0"/>
        <w:keepLines w:val="0"/>
        <w:pageBreakBefore w:val="0"/>
        <w:widowControl w:val="0"/>
        <w:kinsoku/>
        <w:wordWrap/>
        <w:overflowPunct/>
        <w:topLinePunct w:val="0"/>
        <w:autoSpaceDE/>
        <w:autoSpaceDN/>
        <w:bidi w:val="0"/>
        <w:adjustRightInd/>
        <w:snapToGrid/>
        <w:spacing w:before="120" w:after="120" w:line="360" w:lineRule="auto"/>
        <w:jc w:val="left"/>
        <w:textAlignment w:val="auto"/>
        <w:rPr>
          <w:rFonts w:eastAsiaTheme="minorEastAsia"/>
          <w:bCs/>
          <w:color w:val="auto"/>
          <w:sz w:val="24"/>
          <w:szCs w:val="24"/>
        </w:rPr>
      </w:pPr>
      <w:r>
        <w:rPr>
          <w:rFonts w:eastAsiaTheme="minorEastAsia"/>
          <w:bCs/>
          <w:color w:val="auto"/>
          <w:sz w:val="24"/>
          <w:szCs w:val="24"/>
        </w:rPr>
        <w:t>4、本报告结论仅对受检部位及本次检测有效；非检测方原因，导致检测结果不满足相应技术标准或设计要求及由此产生的后果，检测方不承担相应责任；</w:t>
      </w:r>
    </w:p>
    <w:p w14:paraId="183B1E36">
      <w:pPr>
        <w:keepNext w:val="0"/>
        <w:keepLines w:val="0"/>
        <w:pageBreakBefore w:val="0"/>
        <w:widowControl w:val="0"/>
        <w:kinsoku/>
        <w:wordWrap/>
        <w:overflowPunct/>
        <w:topLinePunct w:val="0"/>
        <w:autoSpaceDE/>
        <w:autoSpaceDN/>
        <w:bidi w:val="0"/>
        <w:adjustRightInd/>
        <w:snapToGrid/>
        <w:spacing w:before="120" w:after="120" w:line="360" w:lineRule="auto"/>
        <w:jc w:val="left"/>
        <w:textAlignment w:val="auto"/>
        <w:rPr>
          <w:rFonts w:eastAsiaTheme="minorEastAsia"/>
          <w:bCs/>
          <w:color w:val="auto"/>
          <w:sz w:val="24"/>
          <w:szCs w:val="24"/>
        </w:rPr>
      </w:pPr>
      <w:r>
        <w:rPr>
          <w:rFonts w:eastAsiaTheme="minorEastAsia"/>
          <w:bCs/>
          <w:color w:val="auto"/>
          <w:sz w:val="24"/>
          <w:szCs w:val="24"/>
        </w:rPr>
        <w:t>5、未经书面同意本报告不得复制或作为他用；</w:t>
      </w:r>
    </w:p>
    <w:p w14:paraId="3C938575">
      <w:pPr>
        <w:keepNext w:val="0"/>
        <w:keepLines w:val="0"/>
        <w:pageBreakBefore w:val="0"/>
        <w:widowControl w:val="0"/>
        <w:kinsoku/>
        <w:wordWrap/>
        <w:overflowPunct/>
        <w:topLinePunct w:val="0"/>
        <w:autoSpaceDE/>
        <w:autoSpaceDN/>
        <w:bidi w:val="0"/>
        <w:adjustRightInd/>
        <w:snapToGrid/>
        <w:spacing w:before="120" w:after="120" w:line="360" w:lineRule="auto"/>
        <w:jc w:val="left"/>
        <w:textAlignment w:val="auto"/>
        <w:rPr>
          <w:rFonts w:eastAsiaTheme="minorEastAsia"/>
          <w:bCs/>
          <w:color w:val="auto"/>
          <w:sz w:val="24"/>
          <w:szCs w:val="24"/>
        </w:rPr>
      </w:pPr>
      <w:r>
        <w:rPr>
          <w:rFonts w:eastAsiaTheme="minorEastAsia"/>
          <w:bCs/>
          <w:color w:val="auto"/>
          <w:sz w:val="24"/>
          <w:szCs w:val="24"/>
        </w:rPr>
        <w:t>6、对本报告若有异议或需要说明之处，应于收到报告之日起十五日内向我单位书面提出，本单位</w:t>
      </w:r>
      <w:r>
        <w:rPr>
          <w:rFonts w:eastAsiaTheme="minorEastAsia"/>
          <w:color w:val="auto"/>
          <w:sz w:val="24"/>
          <w:szCs w:val="24"/>
        </w:rPr>
        <w:t>将于收到之日起七日内作出</w:t>
      </w:r>
      <w:r>
        <w:rPr>
          <w:rFonts w:eastAsiaTheme="minorEastAsia"/>
          <w:bCs/>
          <w:color w:val="auto"/>
          <w:sz w:val="24"/>
          <w:szCs w:val="24"/>
        </w:rPr>
        <w:t>解释或答复。</w:t>
      </w:r>
    </w:p>
    <w:p w14:paraId="7B5B5B8A">
      <w:pPr>
        <w:keepNext w:val="0"/>
        <w:keepLines w:val="0"/>
        <w:pageBreakBefore w:val="0"/>
        <w:widowControl w:val="0"/>
        <w:kinsoku/>
        <w:wordWrap/>
        <w:overflowPunct/>
        <w:topLinePunct w:val="0"/>
        <w:autoSpaceDE/>
        <w:autoSpaceDN/>
        <w:bidi w:val="0"/>
        <w:adjustRightInd/>
        <w:snapToGrid/>
        <w:spacing w:before="120" w:after="120" w:line="360" w:lineRule="auto"/>
        <w:jc w:val="left"/>
        <w:textAlignment w:val="auto"/>
        <w:rPr>
          <w:rFonts w:eastAsiaTheme="minorEastAsia"/>
          <w:bCs/>
          <w:color w:val="auto"/>
          <w:sz w:val="24"/>
          <w:szCs w:val="24"/>
        </w:rPr>
      </w:pPr>
      <w:r>
        <w:rPr>
          <w:rFonts w:hint="eastAsia" w:eastAsiaTheme="minorEastAsia"/>
          <w:bCs/>
          <w:color w:val="auto"/>
          <w:sz w:val="24"/>
          <w:szCs w:val="24"/>
        </w:rPr>
        <w:t>7、因使用环境、使用条件发生变化（如自然灾害、意外事件、相邻施工影响、拆改结构、改变使用功能）等情况，应重新进行鉴定。</w:t>
      </w:r>
    </w:p>
    <w:p w14:paraId="4B9E650D">
      <w:pPr>
        <w:pStyle w:val="35"/>
        <w:rPr>
          <w:color w:val="auto"/>
        </w:rPr>
      </w:pPr>
    </w:p>
    <w:p w14:paraId="717C6E96">
      <w:pPr>
        <w:rPr>
          <w:color w:val="auto"/>
        </w:rPr>
      </w:pPr>
    </w:p>
    <w:p w14:paraId="20BCCE24">
      <w:pPr>
        <w:pStyle w:val="35"/>
        <w:rPr>
          <w:color w:val="auto"/>
        </w:rPr>
      </w:pPr>
    </w:p>
    <w:p w14:paraId="0134958F">
      <w:pPr>
        <w:rPr>
          <w:color w:val="auto"/>
        </w:rPr>
      </w:pPr>
    </w:p>
    <w:p w14:paraId="527905C3">
      <w:pPr>
        <w:pStyle w:val="35"/>
        <w:rPr>
          <w:color w:val="auto"/>
        </w:rPr>
      </w:pPr>
    </w:p>
    <w:p w14:paraId="5032179C">
      <w:pPr>
        <w:rPr>
          <w:color w:val="auto"/>
        </w:rPr>
      </w:pPr>
    </w:p>
    <w:p w14:paraId="1CE8B2D6">
      <w:pPr>
        <w:pStyle w:val="35"/>
        <w:rPr>
          <w:color w:val="auto"/>
        </w:rPr>
      </w:pPr>
    </w:p>
    <w:p w14:paraId="5CDCE968">
      <w:pPr>
        <w:rPr>
          <w:color w:val="auto"/>
        </w:rPr>
      </w:pPr>
    </w:p>
    <w:p w14:paraId="225397C6">
      <w:pPr>
        <w:pStyle w:val="35"/>
        <w:rPr>
          <w:color w:val="auto"/>
        </w:rPr>
      </w:pPr>
    </w:p>
    <w:p w14:paraId="3576FC9E">
      <w:pPr>
        <w:pStyle w:val="35"/>
        <w:ind w:left="0" w:leftChars="0" w:firstLine="0" w:firstLineChars="0"/>
        <w:rPr>
          <w:color w:val="auto"/>
        </w:rPr>
      </w:pPr>
    </w:p>
    <w:p w14:paraId="70D3465A">
      <w:pPr>
        <w:rPr>
          <w:color w:val="auto"/>
        </w:rPr>
      </w:pPr>
    </w:p>
    <w:p w14:paraId="70311DF7">
      <w:pPr>
        <w:rPr>
          <w:color w:val="auto"/>
          <w:sz w:val="24"/>
          <w:szCs w:val="24"/>
        </w:rPr>
      </w:pPr>
      <w:r>
        <w:rPr>
          <w:b/>
          <w:color w:val="auto"/>
          <w:sz w:val="24"/>
          <w:szCs w:val="24"/>
        </w:rPr>
        <mc:AlternateContent>
          <mc:Choice Requires="wps">
            <w:drawing>
              <wp:anchor distT="0" distB="0" distL="114300" distR="114300" simplePos="0" relativeHeight="251659264" behindDoc="0" locked="0" layoutInCell="1" allowOverlap="1">
                <wp:simplePos x="0" y="0"/>
                <wp:positionH relativeFrom="column">
                  <wp:posOffset>22860</wp:posOffset>
                </wp:positionH>
                <wp:positionV relativeFrom="paragraph">
                  <wp:posOffset>175895</wp:posOffset>
                </wp:positionV>
                <wp:extent cx="1514475" cy="0"/>
                <wp:effectExtent l="0" t="7620" r="0" b="8255"/>
                <wp:wrapNone/>
                <wp:docPr id="3" name="直接箭头连接符 3"/>
                <wp:cNvGraphicFramePr/>
                <a:graphic xmlns:a="http://schemas.openxmlformats.org/drawingml/2006/main">
                  <a:graphicData uri="http://schemas.microsoft.com/office/word/2010/wordprocessingShape">
                    <wps:wsp>
                      <wps:cNvCnPr>
                        <a:cxnSpLocks noChangeShapeType="1"/>
                      </wps:cNvCnPr>
                      <wps:spPr bwMode="auto">
                        <a:xfrm>
                          <a:off x="0" y="0"/>
                          <a:ext cx="1514475" cy="0"/>
                        </a:xfrm>
                        <a:prstGeom prst="straightConnector1">
                          <a:avLst/>
                        </a:prstGeom>
                        <a:noFill/>
                        <a:ln w="15875">
                          <a:solidFill>
                            <a:srgbClr val="000000"/>
                          </a:solidFill>
                          <a:round/>
                        </a:ln>
                      </wps:spPr>
                      <wps:bodyPr/>
                    </wps:wsp>
                  </a:graphicData>
                </a:graphic>
              </wp:anchor>
            </w:drawing>
          </mc:Choice>
          <mc:Fallback>
            <w:pict>
              <v:shape id="_x0000_s1026" o:spid="_x0000_s1026" o:spt="32" type="#_x0000_t32" style="position:absolute;left:0pt;margin-left:1.8pt;margin-top:13.85pt;height:0pt;width:119.25pt;z-index:251659264;mso-width-relative:page;mso-height-relative:page;" filled="f" stroked="t" coordsize="21600,21600" o:gfxdata="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ft8qs1AAAAAcBAAAPAAAAAAAAAAEAIAAAACIAAABkcnMvZG93bnJldi54bWxQSwECFAAUAAAA&#10;CACHTuJA77Ko+fIBAAC/AwAADgAAAAAAAAABACAAAAAjAQAAZHJzL2Uyb0RvYy54bWxQSwUGAAAA&#10;AAYABgBZAQAAhwUAAAAA&#10;">
                <v:fill on="f" focussize="0,0"/>
                <v:stroke weight="1.25pt" color="#000000" joinstyle="round"/>
                <v:imagedata o:title=""/>
                <o:lock v:ext="edit" aspectratio="f"/>
              </v:shape>
            </w:pict>
          </mc:Fallback>
        </mc:AlternateContent>
      </w:r>
    </w:p>
    <w:p w14:paraId="34946652">
      <w:pPr>
        <w:pStyle w:val="57"/>
        <w:keepNext w:val="0"/>
        <w:keepLines w:val="0"/>
        <w:pageBreakBefore w:val="0"/>
        <w:widowControl w:val="0"/>
        <w:kinsoku/>
        <w:wordWrap/>
        <w:overflowPunct/>
        <w:topLinePunct w:val="0"/>
        <w:autoSpaceDE/>
        <w:autoSpaceDN/>
        <w:bidi w:val="0"/>
        <w:adjustRightInd/>
        <w:snapToGrid/>
        <w:spacing w:before="120" w:after="120" w:line="360" w:lineRule="auto"/>
        <w:ind w:firstLine="0" w:firstLineChars="0"/>
        <w:textAlignment w:val="auto"/>
        <w:rPr>
          <w:b/>
          <w:color w:val="auto"/>
          <w:sz w:val="24"/>
          <w:szCs w:val="24"/>
        </w:rPr>
      </w:pPr>
      <w:r>
        <w:rPr>
          <w:b/>
          <w:color w:val="auto"/>
          <w:sz w:val="24"/>
          <w:szCs w:val="24"/>
        </w:rPr>
        <w:t>联系方式：</w:t>
      </w:r>
    </w:p>
    <w:p w14:paraId="2769016A">
      <w:pPr>
        <w:keepNext w:val="0"/>
        <w:keepLines w:val="0"/>
        <w:pageBreakBefore w:val="0"/>
        <w:widowControl w:val="0"/>
        <w:kinsoku/>
        <w:wordWrap/>
        <w:overflowPunct/>
        <w:topLinePunct w:val="0"/>
        <w:autoSpaceDE/>
        <w:autoSpaceDN/>
        <w:bidi w:val="0"/>
        <w:adjustRightInd/>
        <w:snapToGrid/>
        <w:spacing w:before="120" w:after="120" w:line="360" w:lineRule="auto"/>
        <w:jc w:val="left"/>
        <w:textAlignment w:val="auto"/>
        <w:rPr>
          <w:color w:val="auto"/>
          <w:sz w:val="24"/>
          <w:szCs w:val="24"/>
        </w:rPr>
      </w:pPr>
      <w:r>
        <w:rPr>
          <w:color w:val="auto"/>
          <w:sz w:val="24"/>
          <w:szCs w:val="24"/>
        </w:rPr>
        <w:t>检测单位地址：</w:t>
      </w:r>
    </w:p>
    <w:p w14:paraId="7D4E601C">
      <w:pPr>
        <w:keepNext w:val="0"/>
        <w:keepLines w:val="0"/>
        <w:pageBreakBefore w:val="0"/>
        <w:widowControl w:val="0"/>
        <w:kinsoku/>
        <w:wordWrap/>
        <w:overflowPunct/>
        <w:topLinePunct w:val="0"/>
        <w:autoSpaceDE/>
        <w:autoSpaceDN/>
        <w:bidi w:val="0"/>
        <w:adjustRightInd/>
        <w:snapToGrid/>
        <w:spacing w:before="120" w:after="120" w:line="360" w:lineRule="auto"/>
        <w:jc w:val="left"/>
        <w:textAlignment w:val="auto"/>
        <w:rPr>
          <w:color w:val="auto"/>
          <w:sz w:val="24"/>
          <w:szCs w:val="24"/>
        </w:rPr>
      </w:pPr>
      <w:r>
        <w:rPr>
          <w:color w:val="auto"/>
          <w:sz w:val="24"/>
          <w:szCs w:val="24"/>
        </w:rPr>
        <w:t>邮编：</w:t>
      </w:r>
    </w:p>
    <w:p w14:paraId="6D299E0E">
      <w:pPr>
        <w:keepNext w:val="0"/>
        <w:keepLines w:val="0"/>
        <w:pageBreakBefore w:val="0"/>
        <w:widowControl w:val="0"/>
        <w:kinsoku/>
        <w:wordWrap/>
        <w:overflowPunct/>
        <w:topLinePunct w:val="0"/>
        <w:autoSpaceDE/>
        <w:autoSpaceDN/>
        <w:bidi w:val="0"/>
        <w:adjustRightInd/>
        <w:snapToGrid/>
        <w:spacing w:before="120" w:after="120" w:line="360" w:lineRule="auto"/>
        <w:jc w:val="left"/>
        <w:textAlignment w:val="auto"/>
        <w:rPr>
          <w:rFonts w:hint="default" w:ascii="Times New Roman" w:hAnsi="Times New Roman" w:eastAsia="宋体" w:cs="Times New Roman"/>
          <w:b/>
          <w:bCs/>
          <w:color w:val="auto"/>
          <w:kern w:val="0"/>
          <w:sz w:val="36"/>
          <w:szCs w:val="24"/>
        </w:rPr>
      </w:pPr>
      <w:r>
        <w:rPr>
          <w:color w:val="auto"/>
          <w:sz w:val="24"/>
          <w:szCs w:val="24"/>
        </w:rPr>
        <w:t>联系电话：</w:t>
      </w:r>
    </w:p>
    <w:p w14:paraId="630487A5">
      <w:pPr>
        <w:spacing w:before="120" w:after="120" w:line="240" w:lineRule="auto"/>
        <w:jc w:val="center"/>
        <w:rPr>
          <w:rFonts w:hint="default" w:ascii="Times New Roman" w:hAnsi="Times New Roman" w:eastAsia="宋体" w:cs="Times New Roman"/>
          <w:b/>
          <w:bCs/>
          <w:color w:val="auto"/>
          <w:kern w:val="0"/>
          <w:sz w:val="36"/>
          <w:szCs w:val="24"/>
        </w:rPr>
      </w:pPr>
      <w:r>
        <w:rPr>
          <w:rFonts w:hint="default" w:ascii="Times New Roman" w:hAnsi="Times New Roman" w:eastAsia="宋体" w:cs="Times New Roman"/>
          <w:b/>
          <w:bCs/>
          <w:color w:val="auto"/>
          <w:kern w:val="0"/>
          <w:sz w:val="36"/>
          <w:szCs w:val="24"/>
        </w:rPr>
        <w:t>首  页</w:t>
      </w:r>
    </w:p>
    <w:tbl>
      <w:tblPr>
        <w:tblStyle w:val="23"/>
        <w:tblW w:w="960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28"/>
        <w:gridCol w:w="8078"/>
      </w:tblGrid>
      <w:tr w14:paraId="407EBD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528" w:type="dxa"/>
            <w:vAlign w:val="center"/>
          </w:tcPr>
          <w:p w14:paraId="3901AA34">
            <w:pPr>
              <w:keepNext w:val="0"/>
              <w:keepLines w:val="0"/>
              <w:pageBreakBefore w:val="0"/>
              <w:kinsoku/>
              <w:wordWrap/>
              <w:overflowPunct/>
              <w:topLinePunct w:val="0"/>
              <w:bidi w:val="0"/>
              <w:snapToGrid/>
              <w:spacing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工程名称</w:t>
            </w:r>
          </w:p>
        </w:tc>
        <w:tc>
          <w:tcPr>
            <w:tcW w:w="8078" w:type="dxa"/>
            <w:vAlign w:val="center"/>
          </w:tcPr>
          <w:p w14:paraId="2BC7BDF7">
            <w:pPr>
              <w:keepNext w:val="0"/>
              <w:keepLines w:val="0"/>
              <w:pageBreakBefore w:val="0"/>
              <w:kinsoku/>
              <w:wordWrap/>
              <w:overflowPunct/>
              <w:topLinePunct w:val="0"/>
              <w:bidi w:val="0"/>
              <w:snapToGrid/>
              <w:spacing w:line="36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xxx车间结构可靠性鉴定及抗震鉴定</w:t>
            </w:r>
          </w:p>
        </w:tc>
      </w:tr>
      <w:tr w14:paraId="1B17AD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528" w:type="dxa"/>
            <w:vAlign w:val="center"/>
          </w:tcPr>
          <w:p w14:paraId="72618456">
            <w:pPr>
              <w:keepNext w:val="0"/>
              <w:keepLines w:val="0"/>
              <w:pageBreakBefore w:val="0"/>
              <w:kinsoku/>
              <w:wordWrap/>
              <w:overflowPunct/>
              <w:topLinePunct w:val="0"/>
              <w:bidi w:val="0"/>
              <w:snapToGrid/>
              <w:spacing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委托单位</w:t>
            </w:r>
          </w:p>
        </w:tc>
        <w:tc>
          <w:tcPr>
            <w:tcW w:w="8078" w:type="dxa"/>
            <w:vAlign w:val="center"/>
          </w:tcPr>
          <w:p w14:paraId="2913B98F">
            <w:pPr>
              <w:keepNext w:val="0"/>
              <w:keepLines w:val="0"/>
              <w:pageBreakBefore w:val="0"/>
              <w:kinsoku/>
              <w:wordWrap/>
              <w:overflowPunct/>
              <w:topLinePunct w:val="0"/>
              <w:bidi w:val="0"/>
              <w:snapToGrid/>
              <w:spacing w:line="360" w:lineRule="auto"/>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xx省xx市xx大道</w:t>
            </w:r>
          </w:p>
        </w:tc>
      </w:tr>
      <w:tr w14:paraId="7D2A74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528" w:type="dxa"/>
            <w:vAlign w:val="center"/>
          </w:tcPr>
          <w:p w14:paraId="37503066">
            <w:pPr>
              <w:keepNext w:val="0"/>
              <w:keepLines w:val="0"/>
              <w:pageBreakBefore w:val="0"/>
              <w:kinsoku/>
              <w:wordWrap/>
              <w:overflowPunct/>
              <w:topLinePunct w:val="0"/>
              <w:bidi w:val="0"/>
              <w:snapToGrid/>
              <w:spacing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检测单位</w:t>
            </w:r>
          </w:p>
        </w:tc>
        <w:tc>
          <w:tcPr>
            <w:tcW w:w="8078" w:type="dxa"/>
            <w:vAlign w:val="center"/>
          </w:tcPr>
          <w:p w14:paraId="68A0D73E">
            <w:pPr>
              <w:keepNext w:val="0"/>
              <w:keepLines w:val="0"/>
              <w:pageBreakBefore w:val="0"/>
              <w:kinsoku/>
              <w:wordWrap/>
              <w:overflowPunct/>
              <w:topLinePunct w:val="0"/>
              <w:bidi w:val="0"/>
              <w:snapToGrid/>
              <w:spacing w:line="36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xxx</w:t>
            </w:r>
          </w:p>
        </w:tc>
      </w:tr>
      <w:tr w14:paraId="6FB0D7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528" w:type="dxa"/>
            <w:vAlign w:val="center"/>
          </w:tcPr>
          <w:p w14:paraId="76476DEC">
            <w:pPr>
              <w:keepNext w:val="0"/>
              <w:keepLines w:val="0"/>
              <w:pageBreakBefore w:val="0"/>
              <w:kinsoku/>
              <w:wordWrap/>
              <w:overflowPunct/>
              <w:topLinePunct w:val="0"/>
              <w:bidi w:val="0"/>
              <w:snapToGrid/>
              <w:spacing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报告日期</w:t>
            </w:r>
          </w:p>
        </w:tc>
        <w:tc>
          <w:tcPr>
            <w:tcW w:w="8078" w:type="dxa"/>
            <w:vAlign w:val="center"/>
          </w:tcPr>
          <w:p w14:paraId="70020422">
            <w:pPr>
              <w:keepNext w:val="0"/>
              <w:keepLines w:val="0"/>
              <w:pageBreakBefore w:val="0"/>
              <w:kinsoku/>
              <w:wordWrap/>
              <w:overflowPunct/>
              <w:topLinePunct w:val="0"/>
              <w:bidi w:val="0"/>
              <w:snapToGrid/>
              <w:spacing w:line="360" w:lineRule="auto"/>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w:t>
            </w:r>
            <w:r>
              <w:rPr>
                <w:rFonts w:hint="default"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年</w:t>
            </w:r>
            <w:r>
              <w:rPr>
                <w:rFonts w:hint="default" w:ascii="Times New Roman" w:hAnsi="Times New Roman" w:eastAsia="宋体" w:cs="Times New Roman"/>
                <w:color w:val="auto"/>
                <w:sz w:val="21"/>
                <w:szCs w:val="21"/>
                <w:lang w:val="en-US" w:eastAsia="zh-CN"/>
              </w:rPr>
              <w:t>xx</w:t>
            </w:r>
            <w:r>
              <w:rPr>
                <w:rFonts w:hint="default" w:ascii="Times New Roman" w:hAnsi="Times New Roman" w:eastAsia="宋体" w:cs="Times New Roman"/>
                <w:color w:val="auto"/>
                <w:sz w:val="21"/>
                <w:szCs w:val="21"/>
              </w:rPr>
              <w:t>月</w:t>
            </w:r>
            <w:r>
              <w:rPr>
                <w:rFonts w:hint="default" w:ascii="Times New Roman" w:hAnsi="Times New Roman" w:eastAsia="宋体" w:cs="Times New Roman"/>
                <w:color w:val="auto"/>
                <w:sz w:val="21"/>
                <w:szCs w:val="21"/>
                <w:lang w:val="en-US" w:eastAsia="zh-CN"/>
              </w:rPr>
              <w:t>xx</w:t>
            </w:r>
            <w:r>
              <w:rPr>
                <w:rFonts w:hint="default" w:ascii="Times New Roman" w:hAnsi="Times New Roman" w:eastAsia="宋体" w:cs="Times New Roman"/>
                <w:color w:val="auto"/>
                <w:sz w:val="21"/>
                <w:szCs w:val="21"/>
              </w:rPr>
              <w:t>日</w:t>
            </w:r>
          </w:p>
        </w:tc>
      </w:tr>
      <w:tr w14:paraId="1D7A25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528" w:type="dxa"/>
            <w:vAlign w:val="center"/>
          </w:tcPr>
          <w:p w14:paraId="14041445">
            <w:pPr>
              <w:keepNext w:val="0"/>
              <w:keepLines w:val="0"/>
              <w:pageBreakBefore w:val="0"/>
              <w:kinsoku/>
              <w:wordWrap/>
              <w:overflowPunct/>
              <w:topLinePunct w:val="0"/>
              <w:bidi w:val="0"/>
              <w:snapToGrid/>
              <w:spacing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检测范围</w:t>
            </w:r>
          </w:p>
        </w:tc>
        <w:tc>
          <w:tcPr>
            <w:tcW w:w="8078" w:type="dxa"/>
            <w:vAlign w:val="center"/>
          </w:tcPr>
          <w:p w14:paraId="207A9867">
            <w:pPr>
              <w:keepNext w:val="0"/>
              <w:keepLines w:val="0"/>
              <w:pageBreakBefore w:val="0"/>
              <w:kinsoku/>
              <w:wordWrap/>
              <w:overflowPunct/>
              <w:topLinePunct w:val="0"/>
              <w:bidi w:val="0"/>
              <w:snapToGrid/>
              <w:spacing w:line="360" w:lineRule="auto"/>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xxx</w:t>
            </w:r>
            <w:r>
              <w:rPr>
                <w:rFonts w:hint="default" w:ascii="Times New Roman" w:hAnsi="Times New Roman" w:eastAsia="宋体" w:cs="Times New Roman"/>
                <w:color w:val="auto"/>
                <w:sz w:val="21"/>
                <w:szCs w:val="21"/>
              </w:rPr>
              <w:t>车间</w:t>
            </w:r>
          </w:p>
        </w:tc>
      </w:tr>
      <w:tr w14:paraId="2BB170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42" w:hRule="atLeast"/>
          <w:jc w:val="center"/>
        </w:trPr>
        <w:tc>
          <w:tcPr>
            <w:tcW w:w="1528" w:type="dxa"/>
            <w:vAlign w:val="center"/>
          </w:tcPr>
          <w:p w14:paraId="6419BFFE">
            <w:pPr>
              <w:keepNext w:val="0"/>
              <w:keepLines w:val="0"/>
              <w:pageBreakBefore w:val="0"/>
              <w:kinsoku/>
              <w:wordWrap/>
              <w:overflowPunct/>
              <w:topLinePunct w:val="0"/>
              <w:bidi w:val="0"/>
              <w:snapToGrid/>
              <w:spacing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检测依据</w:t>
            </w:r>
          </w:p>
        </w:tc>
        <w:tc>
          <w:tcPr>
            <w:tcW w:w="8078" w:type="dxa"/>
            <w:vAlign w:val="center"/>
          </w:tcPr>
          <w:p w14:paraId="4F1DEC95">
            <w:pPr>
              <w:keepNext w:val="0"/>
              <w:keepLines w:val="0"/>
              <w:pageBreakBefore w:val="0"/>
              <w:widowControl w:val="0"/>
              <w:kinsoku/>
              <w:wordWrap/>
              <w:overflowPunct/>
              <w:topLinePunct w:val="0"/>
              <w:bidi w:val="0"/>
              <w:snapToGrid/>
              <w:spacing w:line="360" w:lineRule="auto"/>
              <w:ind w:firstLine="420" w:firstLineChars="200"/>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1、《建筑结构检测技术标准》（GB/T 50344－2019）；</w:t>
            </w:r>
          </w:p>
          <w:p w14:paraId="235707FF">
            <w:pPr>
              <w:keepNext w:val="0"/>
              <w:keepLines w:val="0"/>
              <w:pageBreakBefore w:val="0"/>
              <w:widowControl w:val="0"/>
              <w:kinsoku/>
              <w:wordWrap/>
              <w:overflowPunct/>
              <w:topLinePunct w:val="0"/>
              <w:bidi w:val="0"/>
              <w:snapToGrid/>
              <w:spacing w:line="360" w:lineRule="auto"/>
              <w:ind w:firstLine="420" w:firstLineChars="200"/>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2、《钢结构现场检测技术标准》（GB/T 50621-2010）；</w:t>
            </w:r>
          </w:p>
          <w:p w14:paraId="10EEB2A7">
            <w:pPr>
              <w:keepNext w:val="0"/>
              <w:keepLines w:val="0"/>
              <w:pageBreakBefore w:val="0"/>
              <w:widowControl w:val="0"/>
              <w:kinsoku/>
              <w:wordWrap/>
              <w:overflowPunct/>
              <w:topLinePunct w:val="0"/>
              <w:bidi w:val="0"/>
              <w:snapToGrid/>
              <w:spacing w:line="360" w:lineRule="auto"/>
              <w:ind w:firstLine="420" w:firstLineChars="200"/>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3、《钢结构工程施工质量验收标准》（GB 50205-2020）；</w:t>
            </w:r>
          </w:p>
          <w:p w14:paraId="31841F12">
            <w:pPr>
              <w:keepNext w:val="0"/>
              <w:keepLines w:val="0"/>
              <w:pageBreakBefore w:val="0"/>
              <w:widowControl w:val="0"/>
              <w:kinsoku/>
              <w:wordWrap/>
              <w:overflowPunct/>
              <w:topLinePunct w:val="0"/>
              <w:bidi w:val="0"/>
              <w:snapToGrid/>
              <w:spacing w:line="360" w:lineRule="auto"/>
              <w:ind w:firstLine="420" w:firstLineChars="200"/>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4、《建筑变形测量规范》（JGJ 8-2016）；</w:t>
            </w:r>
          </w:p>
          <w:p w14:paraId="7C829C7B">
            <w:pPr>
              <w:keepNext w:val="0"/>
              <w:keepLines w:val="0"/>
              <w:pageBreakBefore w:val="0"/>
              <w:kinsoku/>
              <w:wordWrap/>
              <w:overflowPunct/>
              <w:topLinePunct w:val="0"/>
              <w:autoSpaceDE w:val="0"/>
              <w:autoSpaceDN w:val="0"/>
              <w:bidi w:val="0"/>
              <w:snapToGrid/>
              <w:spacing w:line="360" w:lineRule="auto"/>
              <w:ind w:left="420" w:leftChars="20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 《金属材料里氏硬度试验 第1部分：试验方法》（GB/T 17394.1-2014）；6、《金属材料里氏硬度试验 第4部分：硬度值换算表》(GB/T 17394.4-2014)。</w:t>
            </w:r>
          </w:p>
        </w:tc>
      </w:tr>
      <w:tr w14:paraId="01932D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89" w:hRule="atLeast"/>
          <w:jc w:val="center"/>
        </w:trPr>
        <w:tc>
          <w:tcPr>
            <w:tcW w:w="1528" w:type="dxa"/>
            <w:vAlign w:val="center"/>
          </w:tcPr>
          <w:p w14:paraId="08929D84">
            <w:pPr>
              <w:keepNext w:val="0"/>
              <w:keepLines w:val="0"/>
              <w:pageBreakBefore w:val="0"/>
              <w:kinsoku/>
              <w:wordWrap/>
              <w:overflowPunct/>
              <w:topLinePunct w:val="0"/>
              <w:bidi w:val="0"/>
              <w:snapToGrid/>
              <w:spacing w:line="360" w:lineRule="auto"/>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rPr>
              <w:t>鉴定依据</w:t>
            </w:r>
          </w:p>
        </w:tc>
        <w:tc>
          <w:tcPr>
            <w:tcW w:w="8078" w:type="dxa"/>
            <w:vAlign w:val="center"/>
          </w:tcPr>
          <w:p w14:paraId="7FE7EB43">
            <w:pPr>
              <w:keepNext w:val="0"/>
              <w:keepLines w:val="0"/>
              <w:pageBreakBefore w:val="0"/>
              <w:widowControl w:val="0"/>
              <w:kinsoku/>
              <w:wordWrap/>
              <w:overflowPunct/>
              <w:topLinePunct w:val="0"/>
              <w:bidi w:val="0"/>
              <w:snapToGrid/>
              <w:spacing w:line="360" w:lineRule="auto"/>
              <w:ind w:firstLine="420" w:firstLineChars="200"/>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1、《工业建筑可靠性鉴定标准》（GB 50144-2019）；</w:t>
            </w:r>
          </w:p>
          <w:p w14:paraId="37080F5A">
            <w:pPr>
              <w:keepNext w:val="0"/>
              <w:keepLines w:val="0"/>
              <w:pageBreakBefore w:val="0"/>
              <w:widowControl w:val="0"/>
              <w:kinsoku/>
              <w:wordWrap/>
              <w:overflowPunct/>
              <w:topLinePunct w:val="0"/>
              <w:bidi w:val="0"/>
              <w:snapToGrid/>
              <w:spacing w:line="360" w:lineRule="auto"/>
              <w:ind w:firstLine="420" w:firstLineChars="200"/>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2、《既有建筑鉴定与加固通用规范》(GB 55021-2021)；</w:t>
            </w:r>
          </w:p>
          <w:p w14:paraId="03AE6B2D">
            <w:pPr>
              <w:keepNext w:val="0"/>
              <w:keepLines w:val="0"/>
              <w:pageBreakBefore w:val="0"/>
              <w:widowControl w:val="0"/>
              <w:kinsoku/>
              <w:wordWrap/>
              <w:overflowPunct/>
              <w:topLinePunct w:val="0"/>
              <w:bidi w:val="0"/>
              <w:snapToGrid/>
              <w:spacing w:line="360" w:lineRule="auto"/>
              <w:ind w:firstLine="420" w:firstLineChars="200"/>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3、《门式刚架轻型房屋钢结构技术规范》（GB 51022-2015）；</w:t>
            </w:r>
          </w:p>
          <w:p w14:paraId="2A1216B9">
            <w:pPr>
              <w:keepNext w:val="0"/>
              <w:keepLines w:val="0"/>
              <w:pageBreakBefore w:val="0"/>
              <w:widowControl w:val="0"/>
              <w:kinsoku/>
              <w:wordWrap/>
              <w:overflowPunct/>
              <w:topLinePunct w:val="0"/>
              <w:bidi w:val="0"/>
              <w:snapToGrid/>
              <w:spacing w:line="360" w:lineRule="auto"/>
              <w:ind w:firstLine="420" w:firstLineChars="200"/>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4、《建筑地基基础设计规范》（GB 50007-2011）；</w:t>
            </w:r>
          </w:p>
          <w:p w14:paraId="50E48E11">
            <w:pPr>
              <w:keepNext w:val="0"/>
              <w:keepLines w:val="0"/>
              <w:pageBreakBefore w:val="0"/>
              <w:widowControl w:val="0"/>
              <w:kinsoku/>
              <w:wordWrap/>
              <w:overflowPunct/>
              <w:topLinePunct w:val="0"/>
              <w:bidi w:val="0"/>
              <w:snapToGrid/>
              <w:spacing w:line="360" w:lineRule="auto"/>
              <w:ind w:firstLine="420" w:firstLineChars="200"/>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 xml:space="preserve">5、《钢结构设计标准》（GB 50017-2017）； </w:t>
            </w:r>
          </w:p>
          <w:p w14:paraId="6045903A">
            <w:pPr>
              <w:keepNext w:val="0"/>
              <w:keepLines w:val="0"/>
              <w:pageBreakBefore w:val="0"/>
              <w:widowControl w:val="0"/>
              <w:kinsoku/>
              <w:wordWrap/>
              <w:overflowPunct/>
              <w:topLinePunct w:val="0"/>
              <w:bidi w:val="0"/>
              <w:snapToGrid/>
              <w:spacing w:line="360" w:lineRule="auto"/>
              <w:ind w:firstLine="420" w:firstLineChars="200"/>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6、《工程结构通用规范》（GB 55001-2021）；</w:t>
            </w:r>
          </w:p>
          <w:p w14:paraId="16D7B013">
            <w:pPr>
              <w:keepNext w:val="0"/>
              <w:keepLines w:val="0"/>
              <w:pageBreakBefore w:val="0"/>
              <w:kinsoku/>
              <w:wordWrap/>
              <w:overflowPunct/>
              <w:topLinePunct w:val="0"/>
              <w:autoSpaceDE w:val="0"/>
              <w:autoSpaceDN w:val="0"/>
              <w:bidi w:val="0"/>
              <w:adjustRightInd w:val="0"/>
              <w:snapToGrid/>
              <w:spacing w:line="360" w:lineRule="auto"/>
              <w:ind w:firstLine="420" w:firstLineChars="200"/>
              <w:jc w:val="left"/>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rPr>
              <w:t>7、《建筑抗震设计规范》</w:t>
            </w:r>
            <w:r>
              <w:rPr>
                <w:rFonts w:hint="default" w:ascii="Times New Roman" w:hAnsi="Times New Roman" w:eastAsia="宋体" w:cs="Times New Roman"/>
                <w:color w:val="auto"/>
                <w:sz w:val="21"/>
                <w:szCs w:val="21"/>
                <w:lang w:val="en-US" w:eastAsia="zh-CN"/>
              </w:rPr>
              <w:t>（GB/T50011-2010）</w:t>
            </w:r>
            <w:r>
              <w:rPr>
                <w:rFonts w:hint="default" w:ascii="Times New Roman" w:hAnsi="Times New Roman" w:eastAsia="宋体" w:cs="Times New Roman"/>
                <w:color w:val="auto"/>
                <w:sz w:val="21"/>
                <w:szCs w:val="21"/>
                <w:lang w:val="en-US"/>
              </w:rPr>
              <w:t>；</w:t>
            </w:r>
          </w:p>
          <w:p w14:paraId="27087461">
            <w:pPr>
              <w:keepNext w:val="0"/>
              <w:keepLines w:val="0"/>
              <w:pageBreakBefore w:val="0"/>
              <w:widowControl w:val="0"/>
              <w:kinsoku/>
              <w:wordWrap/>
              <w:overflowPunct/>
              <w:topLinePunct w:val="0"/>
              <w:bidi w:val="0"/>
              <w:snapToGrid/>
              <w:spacing w:line="360" w:lineRule="auto"/>
              <w:ind w:firstLine="420" w:firstLineChars="200"/>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8、《建筑工程抗震设防分类标准》（GB 50223-2008）；</w:t>
            </w:r>
          </w:p>
          <w:p w14:paraId="6686FF51">
            <w:pPr>
              <w:keepNext w:val="0"/>
              <w:keepLines w:val="0"/>
              <w:pageBreakBefore w:val="0"/>
              <w:widowControl w:val="0"/>
              <w:kinsoku/>
              <w:wordWrap/>
              <w:overflowPunct/>
              <w:topLinePunct w:val="0"/>
              <w:bidi w:val="0"/>
              <w:snapToGrid/>
              <w:spacing w:line="360" w:lineRule="auto"/>
              <w:ind w:firstLine="420" w:firstLineChars="200"/>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9、低合金高强度结构钢（GBT1591-2018）；</w:t>
            </w:r>
          </w:p>
          <w:p w14:paraId="4446CC1A">
            <w:pPr>
              <w:keepNext w:val="0"/>
              <w:keepLines w:val="0"/>
              <w:pageBreakBefore w:val="0"/>
              <w:widowControl w:val="0"/>
              <w:kinsoku/>
              <w:wordWrap/>
              <w:overflowPunct/>
              <w:topLinePunct w:val="0"/>
              <w:bidi w:val="0"/>
              <w:snapToGrid/>
              <w:spacing w:line="360" w:lineRule="auto"/>
              <w:ind w:firstLine="420" w:firstLineChars="200"/>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10、《建筑抗震鉴定标准》（</w:t>
            </w:r>
            <w:r>
              <w:rPr>
                <w:rFonts w:hint="eastAsia" w:ascii="Times New Roman" w:hAnsi="Times New Roman" w:eastAsia="宋体" w:cs="Times New Roman"/>
                <w:color w:val="auto"/>
                <w:kern w:val="2"/>
                <w:sz w:val="21"/>
                <w:szCs w:val="21"/>
                <w:lang w:val="en-US" w:eastAsia="zh-CN" w:bidi="ar-SA"/>
              </w:rPr>
              <w:t>GB5003-2009</w:t>
            </w:r>
            <w:r>
              <w:rPr>
                <w:rFonts w:hint="default" w:ascii="Times New Roman" w:hAnsi="Times New Roman" w:eastAsia="宋体" w:cs="Times New Roman"/>
                <w:color w:val="auto"/>
                <w:kern w:val="2"/>
                <w:sz w:val="21"/>
                <w:szCs w:val="21"/>
                <w:lang w:val="en-US" w:eastAsia="zh-CN" w:bidi="ar-SA"/>
              </w:rPr>
              <w:t>）。</w:t>
            </w:r>
          </w:p>
        </w:tc>
      </w:tr>
      <w:tr w14:paraId="06A314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1528" w:type="dxa"/>
            <w:vAlign w:val="center"/>
          </w:tcPr>
          <w:p w14:paraId="5D70C1C8">
            <w:pPr>
              <w:keepNext w:val="0"/>
              <w:keepLines w:val="0"/>
              <w:pageBreakBefore w:val="0"/>
              <w:kinsoku/>
              <w:wordWrap/>
              <w:overflowPunct/>
              <w:topLinePunct w:val="0"/>
              <w:bidi w:val="0"/>
              <w:snapToGrid/>
              <w:spacing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检测仪器</w:t>
            </w:r>
          </w:p>
        </w:tc>
        <w:tc>
          <w:tcPr>
            <w:tcW w:w="8078" w:type="dxa"/>
            <w:vAlign w:val="center"/>
          </w:tcPr>
          <w:p w14:paraId="118A90BA">
            <w:pPr>
              <w:keepNext w:val="0"/>
              <w:keepLines w:val="0"/>
              <w:pageBreakBefore w:val="0"/>
              <w:kinsoku/>
              <w:wordWrap/>
              <w:overflowPunct/>
              <w:topLinePunct w:val="0"/>
              <w:autoSpaceDE w:val="0"/>
              <w:autoSpaceDN w:val="0"/>
              <w:bidi w:val="0"/>
              <w:adjustRightInd w:val="0"/>
              <w:snapToGrid/>
              <w:spacing w:line="360" w:lineRule="auto"/>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根据现场实际情况和检测内容，本次检测使用的主要仪器设备如下，在整个检测作业期间，设备均在检定有效期内，运行正常。</w:t>
            </w:r>
          </w:p>
          <w:p w14:paraId="0520BCE1">
            <w:pPr>
              <w:keepNext w:val="0"/>
              <w:keepLines w:val="0"/>
              <w:pageBreakBefore w:val="0"/>
              <w:kinsoku/>
              <w:wordWrap/>
              <w:overflowPunct/>
              <w:topLinePunct w:val="0"/>
              <w:autoSpaceDE w:val="0"/>
              <w:autoSpaceDN w:val="0"/>
              <w:bidi w:val="0"/>
              <w:adjustRightInd w:val="0"/>
              <w:snapToGrid/>
              <w:spacing w:line="360" w:lineRule="auto"/>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1、激光测距仪；</w:t>
            </w:r>
          </w:p>
          <w:p w14:paraId="64217AEA">
            <w:pPr>
              <w:keepNext w:val="0"/>
              <w:keepLines w:val="0"/>
              <w:pageBreakBefore w:val="0"/>
              <w:kinsoku/>
              <w:wordWrap/>
              <w:overflowPunct/>
              <w:topLinePunct w:val="0"/>
              <w:autoSpaceDE w:val="0"/>
              <w:autoSpaceDN w:val="0"/>
              <w:bidi w:val="0"/>
              <w:adjustRightInd w:val="0"/>
              <w:snapToGrid/>
              <w:spacing w:line="360" w:lineRule="auto"/>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2、钢卷尺；</w:t>
            </w:r>
          </w:p>
          <w:p w14:paraId="3BA47531">
            <w:pPr>
              <w:keepNext w:val="0"/>
              <w:keepLines w:val="0"/>
              <w:pageBreakBefore w:val="0"/>
              <w:kinsoku/>
              <w:wordWrap/>
              <w:overflowPunct/>
              <w:topLinePunct w:val="0"/>
              <w:autoSpaceDE w:val="0"/>
              <w:autoSpaceDN w:val="0"/>
              <w:bidi w:val="0"/>
              <w:adjustRightInd w:val="0"/>
              <w:snapToGrid/>
              <w:spacing w:line="360" w:lineRule="auto"/>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3、全站仪；</w:t>
            </w:r>
          </w:p>
          <w:p w14:paraId="39AFB729">
            <w:pPr>
              <w:keepNext w:val="0"/>
              <w:keepLines w:val="0"/>
              <w:pageBreakBefore w:val="0"/>
              <w:kinsoku/>
              <w:wordWrap/>
              <w:overflowPunct/>
              <w:topLinePunct w:val="0"/>
              <w:autoSpaceDE w:val="0"/>
              <w:autoSpaceDN w:val="0"/>
              <w:bidi w:val="0"/>
              <w:adjustRightInd w:val="0"/>
              <w:snapToGrid/>
              <w:spacing w:line="360" w:lineRule="auto"/>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4、游标卡尺；</w:t>
            </w:r>
          </w:p>
          <w:p w14:paraId="1D69D99C">
            <w:pPr>
              <w:keepNext w:val="0"/>
              <w:keepLines w:val="0"/>
              <w:pageBreakBefore w:val="0"/>
              <w:kinsoku/>
              <w:wordWrap/>
              <w:overflowPunct/>
              <w:topLinePunct w:val="0"/>
              <w:autoSpaceDE w:val="0"/>
              <w:autoSpaceDN w:val="0"/>
              <w:bidi w:val="0"/>
              <w:adjustRightInd w:val="0"/>
              <w:snapToGrid/>
              <w:spacing w:line="360" w:lineRule="auto"/>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5、钢板测厚仪；</w:t>
            </w:r>
          </w:p>
          <w:p w14:paraId="13B9C6B2">
            <w:pPr>
              <w:keepNext w:val="0"/>
              <w:keepLines w:val="0"/>
              <w:pageBreakBefore w:val="0"/>
              <w:kinsoku/>
              <w:wordWrap/>
              <w:overflowPunct/>
              <w:topLinePunct w:val="0"/>
              <w:autoSpaceDE w:val="0"/>
              <w:autoSpaceDN w:val="0"/>
              <w:bidi w:val="0"/>
              <w:adjustRightInd w:val="0"/>
              <w:snapToGrid/>
              <w:spacing w:line="360" w:lineRule="auto"/>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6、里氏硬度计；</w:t>
            </w:r>
          </w:p>
          <w:p w14:paraId="4F885EDA">
            <w:pPr>
              <w:keepNext w:val="0"/>
              <w:keepLines w:val="0"/>
              <w:pageBreakBefore w:val="0"/>
              <w:widowControl w:val="0"/>
              <w:kinsoku/>
              <w:wordWrap/>
              <w:overflowPunct/>
              <w:topLinePunct w:val="0"/>
              <w:bidi w:val="0"/>
              <w:snapToGrid/>
              <w:spacing w:line="360" w:lineRule="auto"/>
              <w:ind w:firstLine="420" w:firstLineChars="200"/>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7、漆膜仪。</w:t>
            </w:r>
          </w:p>
        </w:tc>
      </w:tr>
      <w:tr w14:paraId="6896F6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2" w:hRule="atLeast"/>
          <w:jc w:val="center"/>
        </w:trPr>
        <w:tc>
          <w:tcPr>
            <w:tcW w:w="1528" w:type="dxa"/>
            <w:vAlign w:val="center"/>
          </w:tcPr>
          <w:p w14:paraId="3F3B5B89">
            <w:pPr>
              <w:keepNext w:val="0"/>
              <w:keepLines w:val="0"/>
              <w:pageBreakBefore w:val="0"/>
              <w:kinsoku/>
              <w:wordWrap/>
              <w:overflowPunct/>
              <w:topLinePunct w:val="0"/>
              <w:bidi w:val="0"/>
              <w:snapToGrid/>
              <w:spacing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val="0"/>
                <w:bCs/>
                <w:color w:val="auto"/>
                <w:sz w:val="21"/>
                <w:szCs w:val="21"/>
              </w:rPr>
              <w:t>检测结论</w:t>
            </w:r>
          </w:p>
        </w:tc>
        <w:tc>
          <w:tcPr>
            <w:tcW w:w="8078" w:type="dxa"/>
            <w:vAlign w:val="center"/>
          </w:tcPr>
          <w:p w14:paraId="56CF6841">
            <w:pPr>
              <w:keepNext w:val="0"/>
              <w:keepLines w:val="0"/>
              <w:pageBreakBefore w:val="0"/>
              <w:kinsoku/>
              <w:wordWrap/>
              <w:overflowPunct/>
              <w:topLinePunct w:val="0"/>
              <w:bidi w:val="0"/>
              <w:snapToGrid/>
              <w:spacing w:line="360" w:lineRule="auto"/>
              <w:textAlignment w:val="auto"/>
              <w:rPr>
                <w:rFonts w:hint="eastAsia"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一、现场检测结论</w:t>
            </w:r>
            <w:r>
              <w:rPr>
                <w:rFonts w:hint="eastAsia" w:ascii="Times New Roman" w:hAnsi="Times New Roman" w:eastAsia="宋体" w:cs="Times New Roman"/>
                <w:b/>
                <w:bCs/>
                <w:color w:val="auto"/>
                <w:sz w:val="21"/>
                <w:szCs w:val="21"/>
                <w:lang w:eastAsia="zh-CN"/>
              </w:rPr>
              <w:t>（</w:t>
            </w:r>
            <w:r>
              <w:rPr>
                <w:rFonts w:hint="eastAsia" w:ascii="Times New Roman" w:hAnsi="Times New Roman" w:eastAsia="宋体" w:cs="Times New Roman"/>
                <w:b/>
                <w:bCs/>
                <w:color w:val="auto"/>
                <w:sz w:val="21"/>
                <w:szCs w:val="21"/>
                <w:lang w:val="en-US" w:eastAsia="zh-CN"/>
              </w:rPr>
              <w:t>与正文内容一致</w:t>
            </w:r>
            <w:r>
              <w:rPr>
                <w:rFonts w:hint="eastAsia" w:ascii="Times New Roman" w:hAnsi="Times New Roman" w:eastAsia="宋体" w:cs="Times New Roman"/>
                <w:b/>
                <w:bCs/>
                <w:color w:val="auto"/>
                <w:sz w:val="21"/>
                <w:szCs w:val="21"/>
                <w:lang w:eastAsia="zh-CN"/>
              </w:rPr>
              <w:t>）</w:t>
            </w:r>
          </w:p>
          <w:p w14:paraId="424EEEE7">
            <w:pPr>
              <w:keepNext w:val="0"/>
              <w:keepLines w:val="0"/>
              <w:pageBreakBefore w:val="0"/>
              <w:kinsoku/>
              <w:wordWrap/>
              <w:overflowPunct/>
              <w:topLinePunct w:val="0"/>
              <w:autoSpaceDE w:val="0"/>
              <w:autoSpaceDN w:val="0"/>
              <w:bidi w:val="0"/>
              <w:adjustRightInd w:val="0"/>
              <w:snapToGrid/>
              <w:spacing w:line="360" w:lineRule="auto"/>
              <w:jc w:val="left"/>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1、建筑结构概况</w:t>
            </w:r>
          </w:p>
          <w:p w14:paraId="20D9E03B">
            <w:pPr>
              <w:keepNext w:val="0"/>
              <w:keepLines w:val="0"/>
              <w:pageBreakBefore w:val="0"/>
              <w:kinsoku/>
              <w:wordWrap/>
              <w:overflowPunct/>
              <w:topLinePunct w:val="0"/>
              <w:bidi w:val="0"/>
              <w:snapToGrid/>
              <w:spacing w:line="360" w:lineRule="auto"/>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xxx</w:t>
            </w:r>
            <w:r>
              <w:rPr>
                <w:rFonts w:hint="default" w:ascii="Times New Roman" w:hAnsi="Times New Roman" w:eastAsia="宋体" w:cs="Times New Roman"/>
                <w:color w:val="auto"/>
                <w:sz w:val="21"/>
                <w:szCs w:val="21"/>
              </w:rPr>
              <w:t>车间建成于</w:t>
            </w:r>
            <w:r>
              <w:rPr>
                <w:rFonts w:hint="eastAsia" w:ascii="Times New Roman" w:hAnsi="Times New Roman" w:eastAsia="宋体" w:cs="Times New Roman"/>
                <w:color w:val="auto"/>
                <w:sz w:val="21"/>
                <w:szCs w:val="21"/>
                <w:lang w:val="en-US" w:eastAsia="zh-CN"/>
              </w:rPr>
              <w:t>XX</w:t>
            </w:r>
            <w:r>
              <w:rPr>
                <w:rFonts w:hint="default" w:ascii="Times New Roman" w:hAnsi="Times New Roman" w:eastAsia="宋体" w:cs="Times New Roman"/>
                <w:color w:val="auto"/>
                <w:sz w:val="21"/>
                <w:szCs w:val="21"/>
              </w:rPr>
              <w:t>年，该车间厂房位于湖北省</w:t>
            </w:r>
            <w:r>
              <w:rPr>
                <w:rFonts w:hint="eastAsia" w:ascii="Times New Roman" w:hAnsi="Times New Roman" w:eastAsia="宋体" w:cs="Times New Roman"/>
                <w:color w:val="auto"/>
                <w:sz w:val="21"/>
                <w:szCs w:val="21"/>
                <w:lang w:val="en-US" w:eastAsia="zh-CN"/>
              </w:rPr>
              <w:t>XX</w:t>
            </w:r>
            <w:r>
              <w:rPr>
                <w:rFonts w:hint="default" w:ascii="Times New Roman" w:hAnsi="Times New Roman" w:eastAsia="宋体" w:cs="Times New Roman"/>
                <w:color w:val="auto"/>
                <w:sz w:val="21"/>
                <w:szCs w:val="21"/>
              </w:rPr>
              <w:t>市</w:t>
            </w:r>
            <w:r>
              <w:rPr>
                <w:rFonts w:hint="eastAsia" w:ascii="Times New Roman" w:hAnsi="Times New Roman" w:eastAsia="宋体" w:cs="Times New Roman"/>
                <w:color w:val="auto"/>
                <w:sz w:val="21"/>
                <w:szCs w:val="21"/>
                <w:lang w:val="en-US" w:eastAsia="zh-CN"/>
              </w:rPr>
              <w:t>XX</w:t>
            </w:r>
            <w:r>
              <w:rPr>
                <w:rFonts w:hint="default" w:ascii="Times New Roman" w:hAnsi="Times New Roman" w:eastAsia="宋体" w:cs="Times New Roman"/>
                <w:color w:val="auto"/>
                <w:sz w:val="21"/>
                <w:szCs w:val="21"/>
              </w:rPr>
              <w:t>市</w:t>
            </w:r>
            <w:r>
              <w:rPr>
                <w:rFonts w:hint="eastAsia" w:ascii="Times New Roman" w:hAnsi="Times New Roman" w:eastAsia="宋体" w:cs="Times New Roman"/>
                <w:color w:val="auto"/>
                <w:sz w:val="21"/>
                <w:szCs w:val="21"/>
                <w:lang w:val="en-US" w:eastAsia="zh-CN"/>
              </w:rPr>
              <w:t>XX</w:t>
            </w:r>
            <w:r>
              <w:rPr>
                <w:rFonts w:hint="default" w:ascii="Times New Roman" w:hAnsi="Times New Roman" w:eastAsia="宋体" w:cs="Times New Roman"/>
                <w:color w:val="auto"/>
                <w:sz w:val="21"/>
                <w:szCs w:val="21"/>
              </w:rPr>
              <w:t>大道，</w:t>
            </w:r>
            <w:r>
              <w:rPr>
                <w:rFonts w:hint="eastAsia" w:ascii="Times New Roman" w:hAnsi="Times New Roman" w:eastAsia="宋体" w:cs="Times New Roman"/>
                <w:color w:val="auto"/>
                <w:sz w:val="21"/>
                <w:szCs w:val="21"/>
                <w:lang w:val="en-US" w:eastAsia="zh-CN"/>
              </w:rPr>
              <w:t>XX</w:t>
            </w:r>
            <w:r>
              <w:rPr>
                <w:rFonts w:hint="default" w:ascii="Times New Roman" w:hAnsi="Times New Roman" w:eastAsia="宋体" w:cs="Times New Roman"/>
                <w:color w:val="auto"/>
                <w:sz w:val="21"/>
                <w:szCs w:val="21"/>
              </w:rPr>
              <w:t>车间上部主体结构为单层双跨门式刚架结构，基础型式为柱下承台桩基础，受检区域总长约为</w:t>
            </w:r>
            <w:r>
              <w:rPr>
                <w:rFonts w:hint="eastAsia" w:ascii="Times New Roman" w:hAnsi="Times New Roman" w:eastAsia="宋体" w:cs="Times New Roman"/>
                <w:color w:val="auto"/>
                <w:sz w:val="21"/>
                <w:szCs w:val="21"/>
                <w:lang w:val="en-US" w:eastAsia="zh-CN"/>
              </w:rPr>
              <w:t>XX</w:t>
            </w:r>
            <w:r>
              <w:rPr>
                <w:rFonts w:hint="default" w:ascii="Times New Roman" w:hAnsi="Times New Roman" w:eastAsia="宋体" w:cs="Times New Roman"/>
                <w:color w:val="auto"/>
                <w:sz w:val="21"/>
                <w:szCs w:val="21"/>
              </w:rPr>
              <w:t>，总宽约为</w:t>
            </w:r>
            <w:r>
              <w:rPr>
                <w:rFonts w:hint="eastAsia" w:ascii="Times New Roman" w:hAnsi="Times New Roman" w:eastAsia="宋体" w:cs="Times New Roman"/>
                <w:color w:val="auto"/>
                <w:sz w:val="21"/>
                <w:szCs w:val="21"/>
                <w:lang w:val="en-US" w:eastAsia="zh-CN"/>
              </w:rPr>
              <w:t>XX</w:t>
            </w:r>
            <w:r>
              <w:rPr>
                <w:rFonts w:hint="default" w:ascii="Times New Roman" w:hAnsi="Times New Roman" w:eastAsia="宋体" w:cs="Times New Roman"/>
                <w:color w:val="auto"/>
                <w:sz w:val="21"/>
                <w:szCs w:val="21"/>
              </w:rPr>
              <w:t>，最大柱距</w:t>
            </w:r>
            <w:r>
              <w:rPr>
                <w:rFonts w:hint="eastAsia" w:ascii="Times New Roman" w:hAnsi="Times New Roman" w:eastAsia="宋体" w:cs="Times New Roman"/>
                <w:color w:val="auto"/>
                <w:sz w:val="21"/>
                <w:szCs w:val="21"/>
                <w:lang w:val="en-US" w:eastAsia="zh-CN"/>
              </w:rPr>
              <w:t>XX</w:t>
            </w:r>
            <w:r>
              <w:rPr>
                <w:rFonts w:hint="default" w:ascii="Times New Roman" w:hAnsi="Times New Roman" w:eastAsia="宋体" w:cs="Times New Roman"/>
                <w:color w:val="auto"/>
                <w:sz w:val="21"/>
                <w:szCs w:val="21"/>
              </w:rPr>
              <w:t>，最大跨度</w:t>
            </w:r>
            <w:r>
              <w:rPr>
                <w:rFonts w:hint="eastAsia" w:ascii="Times New Roman" w:hAnsi="Times New Roman" w:eastAsia="宋体" w:cs="Times New Roman"/>
                <w:color w:val="auto"/>
                <w:sz w:val="21"/>
                <w:szCs w:val="21"/>
                <w:lang w:val="en-US" w:eastAsia="zh-CN"/>
              </w:rPr>
              <w:t>XX</w:t>
            </w:r>
            <w:r>
              <w:rPr>
                <w:rFonts w:hint="default" w:ascii="Times New Roman" w:hAnsi="Times New Roman" w:eastAsia="宋体" w:cs="Times New Roman"/>
                <w:color w:val="auto"/>
                <w:sz w:val="21"/>
                <w:szCs w:val="21"/>
              </w:rPr>
              <w:t>，建筑物檐口高度约为</w:t>
            </w:r>
            <w:r>
              <w:rPr>
                <w:rFonts w:hint="eastAsia" w:ascii="Times New Roman" w:hAnsi="Times New Roman" w:eastAsia="宋体" w:cs="Times New Roman"/>
                <w:color w:val="auto"/>
                <w:sz w:val="21"/>
                <w:szCs w:val="21"/>
                <w:lang w:val="en-US" w:eastAsia="zh-CN"/>
              </w:rPr>
              <w:t>XX</w:t>
            </w:r>
            <w:r>
              <w:rPr>
                <w:rFonts w:hint="default" w:ascii="Times New Roman" w:hAnsi="Times New Roman" w:eastAsia="宋体" w:cs="Times New Roman"/>
                <w:color w:val="auto"/>
                <w:sz w:val="21"/>
                <w:szCs w:val="21"/>
              </w:rPr>
              <w:t>m，屋脊高度约为</w:t>
            </w:r>
            <w:r>
              <w:rPr>
                <w:rFonts w:hint="eastAsia" w:ascii="Times New Roman" w:hAnsi="Times New Roman" w:eastAsia="宋体" w:cs="Times New Roman"/>
                <w:color w:val="auto"/>
                <w:sz w:val="21"/>
                <w:szCs w:val="21"/>
                <w:lang w:val="en-US" w:eastAsia="zh-CN"/>
              </w:rPr>
              <w:t>XX</w:t>
            </w:r>
            <w:r>
              <w:rPr>
                <w:rFonts w:hint="default" w:ascii="Times New Roman" w:hAnsi="Times New Roman" w:eastAsia="宋体" w:cs="Times New Roman"/>
                <w:color w:val="auto"/>
                <w:sz w:val="21"/>
                <w:szCs w:val="21"/>
              </w:rPr>
              <w:t>，坡度</w:t>
            </w:r>
            <w:r>
              <w:rPr>
                <w:rFonts w:hint="eastAsia" w:ascii="Times New Roman" w:hAnsi="Times New Roman" w:eastAsia="宋体" w:cs="Times New Roman"/>
                <w:i/>
                <w:color w:val="auto"/>
                <w:sz w:val="21"/>
                <w:szCs w:val="21"/>
                <w:lang w:val="en-US" w:eastAsia="zh-CN"/>
              </w:rPr>
              <w:t>XX</w:t>
            </w:r>
            <w:r>
              <w:rPr>
                <w:rFonts w:hint="default" w:ascii="Times New Roman" w:hAnsi="Times New Roman" w:eastAsia="宋体" w:cs="Times New Roman"/>
                <w:color w:val="auto"/>
                <w:sz w:val="21"/>
                <w:szCs w:val="21"/>
              </w:rPr>
              <w:t>，门式刚架主结构钢柱采用工字型实腹式，屋面钢梁采用工字型节点均为刚接，柱脚与基础为刚接，抗风柱柱脚铰接，屋面板卷边单层压型钢板+C型钢镀锌檩条+实腹式钢梁承重，屋面为不上人屋面。</w:t>
            </w:r>
          </w:p>
          <w:p w14:paraId="186106F8">
            <w:pPr>
              <w:keepNext w:val="0"/>
              <w:keepLines w:val="0"/>
              <w:pageBreakBefore w:val="0"/>
              <w:kinsoku/>
              <w:wordWrap/>
              <w:overflowPunct/>
              <w:topLinePunct w:val="0"/>
              <w:autoSpaceDE w:val="0"/>
              <w:autoSpaceDN w:val="0"/>
              <w:bidi w:val="0"/>
              <w:adjustRightInd w:val="0"/>
              <w:snapToGrid/>
              <w:spacing w:line="360" w:lineRule="auto"/>
              <w:jc w:val="left"/>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2、建筑结构布置调查</w:t>
            </w:r>
          </w:p>
          <w:p w14:paraId="6BA20295">
            <w:pPr>
              <w:keepNext w:val="0"/>
              <w:keepLines w:val="0"/>
              <w:pageBreakBefore w:val="0"/>
              <w:kinsoku/>
              <w:wordWrap/>
              <w:overflowPunct/>
              <w:topLinePunct w:val="0"/>
              <w:bidi w:val="0"/>
              <w:snapToGrid/>
              <w:spacing w:line="360" w:lineRule="auto"/>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（1）结构类型</w:t>
            </w:r>
          </w:p>
          <w:p w14:paraId="54E90490">
            <w:pPr>
              <w:keepNext w:val="0"/>
              <w:keepLines w:val="0"/>
              <w:pageBreakBefore w:val="0"/>
              <w:kinsoku/>
              <w:wordWrap/>
              <w:overflowPunct/>
              <w:topLinePunct w:val="0"/>
              <w:bidi w:val="0"/>
              <w:snapToGrid/>
              <w:spacing w:line="360" w:lineRule="auto"/>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上部主体结构类型为单层双跨双坡门式刚架结构，柱距主要为9.0m，跨度主要为24.0m，基础型式为柱下承台桩基础。</w:t>
            </w:r>
          </w:p>
          <w:p w14:paraId="2D2C21D6">
            <w:pPr>
              <w:keepNext w:val="0"/>
              <w:keepLines w:val="0"/>
              <w:pageBreakBefore w:val="0"/>
              <w:kinsoku/>
              <w:wordWrap/>
              <w:overflowPunct/>
              <w:topLinePunct w:val="0"/>
              <w:bidi w:val="0"/>
              <w:snapToGrid/>
              <w:spacing w:line="360" w:lineRule="auto"/>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（2）墙体型式</w:t>
            </w:r>
          </w:p>
          <w:p w14:paraId="7447F16B">
            <w:pPr>
              <w:keepNext w:val="0"/>
              <w:keepLines w:val="0"/>
              <w:pageBreakBefore w:val="0"/>
              <w:kinsoku/>
              <w:wordWrap/>
              <w:overflowPunct/>
              <w:topLinePunct w:val="0"/>
              <w:bidi w:val="0"/>
              <w:snapToGrid/>
              <w:spacing w:line="360" w:lineRule="auto"/>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墙体：外墙采用轻型压型墙板，内隔墙采用混凝土加气块砌筑，水泥混合砂浆砌筑。</w:t>
            </w:r>
          </w:p>
          <w:p w14:paraId="2E73B134">
            <w:pPr>
              <w:keepNext w:val="0"/>
              <w:keepLines w:val="0"/>
              <w:pageBreakBefore w:val="0"/>
              <w:kinsoku/>
              <w:wordWrap/>
              <w:overflowPunct/>
              <w:topLinePunct w:val="0"/>
              <w:bidi w:val="0"/>
              <w:snapToGrid/>
              <w:spacing w:line="360" w:lineRule="auto"/>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（3）柱间支撑系统</w:t>
            </w:r>
          </w:p>
          <w:p w14:paraId="68CA5959">
            <w:pPr>
              <w:keepNext w:val="0"/>
              <w:keepLines w:val="0"/>
              <w:pageBreakBefore w:val="0"/>
              <w:widowControl w:val="0"/>
              <w:kinsoku/>
              <w:wordWrap/>
              <w:overflowPunct/>
              <w:topLinePunct w:val="0"/>
              <w:bidi w:val="0"/>
              <w:snapToGrid/>
              <w:spacing w:line="360" w:lineRule="auto"/>
              <w:ind w:firstLine="420" w:firstLineChars="200"/>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柱间支撑分别在2-3轴、6-7轴、10-11轴、16-17轴、21-22轴布置，截面为角钢180mm×110mm×12mm，上柱支撑为100mm×100mm×10mm。</w:t>
            </w:r>
          </w:p>
          <w:p w14:paraId="022C06F1">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（4）屋面支撑系统</w:t>
            </w:r>
          </w:p>
          <w:p w14:paraId="34DB368B">
            <w:pPr>
              <w:keepNext w:val="0"/>
              <w:keepLines w:val="0"/>
              <w:pageBreakBefore w:val="0"/>
              <w:kinsoku/>
              <w:wordWrap/>
              <w:overflowPunct/>
              <w:topLinePunct w:val="0"/>
              <w:bidi w:val="0"/>
              <w:snapToGrid/>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屋面水平支撑分别</w:t>
            </w:r>
            <w:r>
              <w:rPr>
                <w:rFonts w:hint="eastAsia" w:ascii="Times New Roman" w:hAnsi="Times New Roman" w:eastAsia="宋体" w:cs="Times New Roman"/>
                <w:color w:val="auto"/>
                <w:sz w:val="21"/>
                <w:szCs w:val="21"/>
                <w:lang w:val="en-US" w:eastAsia="zh-CN"/>
              </w:rPr>
              <w:t>XX</w:t>
            </w:r>
            <w:r>
              <w:rPr>
                <w:rFonts w:hint="default" w:ascii="Times New Roman" w:hAnsi="Times New Roman" w:eastAsia="宋体" w:cs="Times New Roman"/>
                <w:color w:val="auto"/>
                <w:sz w:val="21"/>
                <w:szCs w:val="21"/>
              </w:rPr>
              <w:t>布置，截面为100mm、140mm，刚性系杆间隔距离为4500mm，7500mm，屋面檩条为冷弯C形280×80×20×3.0（mm），拉条为12mm，隅撑为L50×5mm角钢。</w:t>
            </w:r>
          </w:p>
          <w:p w14:paraId="5FABE06A">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（5）吊车系统</w:t>
            </w:r>
          </w:p>
          <w:p w14:paraId="3FB7A77F">
            <w:pPr>
              <w:keepNext w:val="0"/>
              <w:keepLines w:val="0"/>
              <w:pageBreakBefore w:val="0"/>
              <w:kinsoku/>
              <w:wordWrap/>
              <w:overflowPunct/>
              <w:topLinePunct w:val="0"/>
              <w:bidi w:val="0"/>
              <w:snapToGrid/>
              <w:spacing w:line="360" w:lineRule="auto"/>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zh-CN"/>
              </w:rPr>
              <w:t>厂房目前在A-B跨布置3台桥式起重吊车</w:t>
            </w:r>
            <w:r>
              <w:rPr>
                <w:rFonts w:hint="default" w:ascii="Times New Roman" w:hAnsi="Times New Roman" w:eastAsia="宋体" w:cs="Times New Roman"/>
                <w:color w:val="auto"/>
                <w:sz w:val="21"/>
                <w:szCs w:val="21"/>
              </w:rPr>
              <w:t>、B-C跨布置3台</w:t>
            </w:r>
            <w:r>
              <w:rPr>
                <w:rFonts w:hint="default" w:ascii="Times New Roman" w:hAnsi="Times New Roman" w:eastAsia="宋体" w:cs="Times New Roman"/>
                <w:color w:val="auto"/>
                <w:sz w:val="21"/>
                <w:szCs w:val="21"/>
                <w:lang w:val="zh-CN"/>
              </w:rPr>
              <w:t>桥式起重吊车，A-B跨</w:t>
            </w:r>
            <w:r>
              <w:rPr>
                <w:rFonts w:hint="default" w:ascii="Times New Roman" w:hAnsi="Times New Roman" w:eastAsia="宋体" w:cs="Times New Roman"/>
                <w:color w:val="auto"/>
                <w:sz w:val="21"/>
                <w:szCs w:val="21"/>
              </w:rPr>
              <w:t>、B-C跨</w:t>
            </w:r>
            <w:r>
              <w:rPr>
                <w:rFonts w:hint="default" w:ascii="Times New Roman" w:hAnsi="Times New Roman" w:eastAsia="宋体" w:cs="Times New Roman"/>
                <w:color w:val="auto"/>
                <w:sz w:val="21"/>
                <w:szCs w:val="21"/>
                <w:lang w:val="zh-CN"/>
              </w:rPr>
              <w:t>起吊重量均为</w:t>
            </w:r>
            <w:r>
              <w:rPr>
                <w:rFonts w:hint="default" w:ascii="Times New Roman" w:hAnsi="Times New Roman" w:eastAsia="宋体" w:cs="Times New Roman"/>
                <w:color w:val="auto"/>
                <w:sz w:val="21"/>
                <w:szCs w:val="21"/>
              </w:rPr>
              <w:t>20T/5T、10T</w:t>
            </w:r>
            <w:r>
              <w:rPr>
                <w:rFonts w:hint="default" w:ascii="Times New Roman" w:hAnsi="Times New Roman" w:eastAsia="宋体" w:cs="Times New Roman"/>
                <w:color w:val="auto"/>
                <w:sz w:val="21"/>
                <w:szCs w:val="21"/>
                <w:lang w:val="zh-CN"/>
              </w:rPr>
              <w:t>。</w:t>
            </w:r>
          </w:p>
          <w:p w14:paraId="3B002E87">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（6）屋面型式做法</w:t>
            </w:r>
          </w:p>
          <w:p w14:paraId="014A7DF8">
            <w:pPr>
              <w:keepNext w:val="0"/>
              <w:keepLines w:val="0"/>
              <w:pageBreakBefore w:val="0"/>
              <w:kinsoku/>
              <w:wordWrap/>
              <w:overflowPunct/>
              <w:topLinePunct w:val="0"/>
              <w:bidi w:val="0"/>
              <w:snapToGrid/>
              <w:spacing w:line="360" w:lineRule="auto"/>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屋面板采用单层压型钢板，采用屋面钢梁+屋面檩条+压型钢板承重，屋面为不上人坡屋面。</w:t>
            </w:r>
          </w:p>
          <w:p w14:paraId="0366AE93">
            <w:pPr>
              <w:keepNext w:val="0"/>
              <w:keepLines w:val="0"/>
              <w:pageBreakBefore w:val="0"/>
              <w:kinsoku/>
              <w:wordWrap/>
              <w:overflowPunct/>
              <w:topLinePunct w:val="0"/>
              <w:autoSpaceDE w:val="0"/>
              <w:autoSpaceDN w:val="0"/>
              <w:bidi w:val="0"/>
              <w:adjustRightInd w:val="0"/>
              <w:snapToGrid/>
              <w:spacing w:line="360" w:lineRule="auto"/>
              <w:jc w:val="left"/>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3、建筑轴网尺寸及构件截面复核</w:t>
            </w:r>
          </w:p>
          <w:p w14:paraId="5671D5D2">
            <w:pPr>
              <w:keepNext w:val="0"/>
              <w:keepLines w:val="0"/>
              <w:pageBreakBefore w:val="0"/>
              <w:kinsoku/>
              <w:wordWrap/>
              <w:overflowPunct/>
              <w:topLinePunct w:val="0"/>
              <w:bidi w:val="0"/>
              <w:snapToGrid/>
              <w:spacing w:line="360" w:lineRule="auto"/>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建筑轴网尺寸和主要钢结构构件尺寸复核见表5.2-2~表5.2-4。</w:t>
            </w:r>
          </w:p>
          <w:p w14:paraId="68E344C0">
            <w:pPr>
              <w:keepNext w:val="0"/>
              <w:keepLines w:val="0"/>
              <w:pageBreakBefore w:val="0"/>
              <w:kinsoku/>
              <w:wordWrap/>
              <w:overflowPunct/>
              <w:topLinePunct w:val="0"/>
              <w:autoSpaceDE w:val="0"/>
              <w:autoSpaceDN w:val="0"/>
              <w:bidi w:val="0"/>
              <w:adjustRightInd w:val="0"/>
              <w:snapToGrid/>
              <w:spacing w:line="360" w:lineRule="auto"/>
              <w:jc w:val="left"/>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4、外观缺陷检测</w:t>
            </w:r>
          </w:p>
          <w:p w14:paraId="2909F44B">
            <w:pPr>
              <w:keepNext w:val="0"/>
              <w:keepLines w:val="0"/>
              <w:pageBreakBefore w:val="0"/>
              <w:widowControl w:val="0"/>
              <w:kinsoku/>
              <w:wordWrap/>
              <w:overflowPunct/>
              <w:topLinePunct w:val="0"/>
              <w:bidi w:val="0"/>
              <w:snapToGrid/>
              <w:spacing w:line="360" w:lineRule="auto"/>
              <w:ind w:firstLine="200"/>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（1）20/A个别钢柱柱脚钢材表面轻微点状锈蚀；</w:t>
            </w:r>
          </w:p>
          <w:p w14:paraId="71CA83D9">
            <w:pPr>
              <w:keepNext w:val="0"/>
              <w:keepLines w:val="0"/>
              <w:pageBreakBefore w:val="0"/>
              <w:widowControl w:val="0"/>
              <w:kinsoku/>
              <w:wordWrap/>
              <w:overflowPunct/>
              <w:topLinePunct w:val="0"/>
              <w:bidi w:val="0"/>
              <w:snapToGrid/>
              <w:spacing w:line="360" w:lineRule="auto"/>
              <w:ind w:firstLine="200"/>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（2）16-17/B柱间支撑表面防腐涂层脱落。</w:t>
            </w:r>
          </w:p>
          <w:p w14:paraId="3AFEA839">
            <w:pPr>
              <w:keepNext w:val="0"/>
              <w:keepLines w:val="0"/>
              <w:pageBreakBefore w:val="0"/>
              <w:kinsoku/>
              <w:wordWrap/>
              <w:overflowPunct/>
              <w:topLinePunct w:val="0"/>
              <w:autoSpaceDE w:val="0"/>
              <w:autoSpaceDN w:val="0"/>
              <w:bidi w:val="0"/>
              <w:adjustRightInd w:val="0"/>
              <w:snapToGrid/>
              <w:spacing w:line="360" w:lineRule="auto"/>
              <w:jc w:val="left"/>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5、防腐涂层厚度检测</w:t>
            </w:r>
          </w:p>
          <w:p w14:paraId="143F7790">
            <w:pPr>
              <w:keepNext w:val="0"/>
              <w:keepLines w:val="0"/>
              <w:pageBreakBefore w:val="0"/>
              <w:kinsoku/>
              <w:wordWrap/>
              <w:overflowPunct/>
              <w:topLinePunct w:val="0"/>
              <w:bidi w:val="0"/>
              <w:snapToGrid/>
              <w:spacing w:line="360" w:lineRule="auto"/>
              <w:ind w:right="2" w:rightChars="1" w:firstLine="420" w:firstLineChars="200"/>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rPr>
              <w:t>检测结果显示：</w:t>
            </w:r>
            <w:r>
              <w:rPr>
                <w:rFonts w:hint="default" w:ascii="Times New Roman" w:hAnsi="Times New Roman" w:eastAsia="宋体" w:cs="Times New Roman"/>
                <w:color w:val="auto"/>
                <w:sz w:val="21"/>
                <w:szCs w:val="21"/>
                <w:lang w:val="zh-CN"/>
              </w:rPr>
              <w:t>（1）所抽检构件的防腐涂层厚度平均值在138μm ~145μm之间，均满足设计图纸＞130μm的要求；</w:t>
            </w:r>
          </w:p>
          <w:p w14:paraId="69D3D3AD">
            <w:pPr>
              <w:keepNext w:val="0"/>
              <w:keepLines w:val="0"/>
              <w:pageBreakBefore w:val="0"/>
              <w:widowControl w:val="0"/>
              <w:kinsoku/>
              <w:wordWrap/>
              <w:overflowPunct/>
              <w:topLinePunct w:val="0"/>
              <w:bidi w:val="0"/>
              <w:snapToGrid/>
              <w:spacing w:line="360" w:lineRule="auto"/>
              <w:ind w:firstLine="384" w:firstLineChars="183"/>
              <w:jc w:val="both"/>
              <w:textAlignment w:val="auto"/>
              <w:rPr>
                <w:rFonts w:hint="default" w:ascii="Times New Roman" w:hAnsi="Times New Roman" w:eastAsia="宋体" w:cs="Times New Roman"/>
                <w:color w:val="auto"/>
                <w:sz w:val="21"/>
                <w:szCs w:val="21"/>
                <w:lang w:val="zh-CN" w:eastAsia="zh-CN" w:bidi="ar-SA"/>
              </w:rPr>
            </w:pPr>
            <w:r>
              <w:rPr>
                <w:rFonts w:hint="default" w:ascii="Times New Roman" w:hAnsi="Times New Roman" w:eastAsia="宋体" w:cs="Times New Roman"/>
                <w:color w:val="auto"/>
                <w:sz w:val="21"/>
                <w:szCs w:val="21"/>
                <w:lang w:val="zh-CN" w:eastAsia="zh-CN" w:bidi="ar-SA"/>
              </w:rPr>
              <w:t>（2）现场抽检构件涂层表面较完整。</w:t>
            </w:r>
          </w:p>
          <w:p w14:paraId="3AD198A6">
            <w:pPr>
              <w:keepNext w:val="0"/>
              <w:keepLines w:val="0"/>
              <w:pageBreakBefore w:val="0"/>
              <w:kinsoku/>
              <w:wordWrap/>
              <w:overflowPunct/>
              <w:topLinePunct w:val="0"/>
              <w:bidi w:val="0"/>
              <w:snapToGrid/>
              <w:spacing w:line="360" w:lineRule="auto"/>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6、钢材里氏硬度检测</w:t>
            </w:r>
          </w:p>
          <w:p w14:paraId="0DE3DF59">
            <w:pPr>
              <w:keepNext w:val="0"/>
              <w:keepLines w:val="0"/>
              <w:pageBreakBefore w:val="0"/>
              <w:kinsoku/>
              <w:wordWrap/>
              <w:overflowPunct/>
              <w:topLinePunct w:val="0"/>
              <w:bidi w:val="0"/>
              <w:snapToGrid/>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检测结果表明：钢柱特征值的平均值为 </w:t>
            </w:r>
            <w:r>
              <w:rPr>
                <w:rFonts w:hint="eastAsia" w:ascii="Times New Roman" w:hAnsi="Times New Roman" w:eastAsia="宋体" w:cs="Times New Roman"/>
                <w:color w:val="auto"/>
                <w:sz w:val="21"/>
                <w:szCs w:val="21"/>
                <w:lang w:val="en-US" w:eastAsia="zh-CN"/>
              </w:rPr>
              <w:t>XX</w:t>
            </w:r>
            <w:r>
              <w:rPr>
                <w:rFonts w:hint="default" w:ascii="Times New Roman" w:hAnsi="Times New Roman" w:eastAsia="宋体" w:cs="Times New Roman"/>
                <w:color w:val="auto"/>
                <w:sz w:val="21"/>
                <w:szCs w:val="21"/>
              </w:rPr>
              <w:t xml:space="preserve">、钢梁特征值的平均值为 </w:t>
            </w:r>
            <w:r>
              <w:rPr>
                <w:rFonts w:hint="eastAsia" w:ascii="Times New Roman" w:hAnsi="Times New Roman" w:eastAsia="宋体" w:cs="Times New Roman"/>
                <w:color w:val="auto"/>
                <w:sz w:val="21"/>
                <w:szCs w:val="21"/>
                <w:lang w:val="en-US" w:eastAsia="zh-CN"/>
              </w:rPr>
              <w:t>XX</w:t>
            </w:r>
            <w:r>
              <w:rPr>
                <w:rFonts w:hint="default" w:ascii="Times New Roman" w:hAnsi="Times New Roman" w:eastAsia="宋体" w:cs="Times New Roman"/>
                <w:color w:val="auto"/>
                <w:sz w:val="21"/>
                <w:szCs w:val="21"/>
              </w:rPr>
              <w:t>（均满足低合金高强度结构钢（GBT1591-2018）Q345B最小抗拉强度为470 N/mm²的要求）。</w:t>
            </w:r>
          </w:p>
          <w:p w14:paraId="6B96CBFB">
            <w:pPr>
              <w:keepNext w:val="0"/>
              <w:keepLines w:val="0"/>
              <w:pageBreakBefore w:val="0"/>
              <w:kinsoku/>
              <w:wordWrap/>
              <w:overflowPunct/>
              <w:topLinePunct w:val="0"/>
              <w:bidi w:val="0"/>
              <w:snapToGrid/>
              <w:spacing w:line="360" w:lineRule="auto"/>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7、钢柱垂直度检测</w:t>
            </w:r>
          </w:p>
          <w:p w14:paraId="5FCB6B20">
            <w:pPr>
              <w:keepNext w:val="0"/>
              <w:keepLines w:val="0"/>
              <w:pageBreakBefore w:val="0"/>
              <w:kinsoku/>
              <w:wordWrap/>
              <w:overflowPunct/>
              <w:topLinePunct w:val="0"/>
              <w:bidi w:val="0"/>
              <w:snapToGrid/>
              <w:spacing w:line="360" w:lineRule="auto"/>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检测结果表明：所抽检钢柱的垂直度满足A级位移：≤H/400（吊车设有驾驶室）的规范限值。</w:t>
            </w:r>
          </w:p>
          <w:p w14:paraId="6391A121">
            <w:pPr>
              <w:keepNext w:val="0"/>
              <w:keepLines w:val="0"/>
              <w:pageBreakBefore w:val="0"/>
              <w:kinsoku/>
              <w:wordWrap/>
              <w:overflowPunct/>
              <w:topLinePunct w:val="0"/>
              <w:bidi w:val="0"/>
              <w:snapToGrid/>
              <w:spacing w:line="360" w:lineRule="auto"/>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8、钢梁挠度检测</w:t>
            </w:r>
          </w:p>
          <w:p w14:paraId="47F08F9C">
            <w:pPr>
              <w:pStyle w:val="35"/>
              <w:keepNext w:val="0"/>
              <w:keepLines w:val="0"/>
              <w:pageBreakBefore w:val="0"/>
              <w:kinsoku/>
              <w:wordWrap/>
              <w:overflowPunct/>
              <w:topLinePunct w:val="0"/>
              <w:bidi w:val="0"/>
              <w:snapToGrid/>
              <w:spacing w:line="360" w:lineRule="auto"/>
              <w:textAlignment w:val="auto"/>
              <w:rPr>
                <w:rFonts w:hint="default"/>
                <w:color w:val="auto"/>
                <w:lang w:val="en-US" w:eastAsia="zh-CN"/>
              </w:rPr>
            </w:pPr>
            <w:r>
              <w:rPr>
                <w:rFonts w:hint="default" w:ascii="Times New Roman" w:hAnsi="Times New Roman" w:eastAsia="宋体" w:cs="Times New Roman"/>
                <w:color w:val="auto"/>
                <w:sz w:val="21"/>
                <w:szCs w:val="21"/>
                <w:lang w:val="en-US" w:eastAsia="zh-CN" w:bidi="ar-SA"/>
              </w:rPr>
              <w:t>检测结果表明：</w:t>
            </w:r>
            <w:r>
              <w:rPr>
                <w:rFonts w:hint="default" w:ascii="Times New Roman" w:hAnsi="Times New Roman" w:eastAsia="宋体" w:cs="Times New Roman"/>
                <w:color w:val="auto"/>
                <w:kern w:val="2"/>
                <w:sz w:val="21"/>
                <w:szCs w:val="21"/>
                <w:lang w:val="en-US" w:eastAsia="zh-CN" w:bidi="ar-SA"/>
              </w:rPr>
              <w:t>所抽检屋面钢梁挠度均满足规范限制（L/400)的要求。</w:t>
            </w:r>
          </w:p>
        </w:tc>
      </w:tr>
      <w:tr w14:paraId="3EF1FF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66" w:hRule="atLeast"/>
          <w:jc w:val="center"/>
        </w:trPr>
        <w:tc>
          <w:tcPr>
            <w:tcW w:w="1528" w:type="dxa"/>
            <w:vAlign w:val="center"/>
          </w:tcPr>
          <w:p w14:paraId="5A37604F">
            <w:pPr>
              <w:keepNext w:val="0"/>
              <w:keepLines w:val="0"/>
              <w:pageBreakBefore w:val="0"/>
              <w:kinsoku/>
              <w:wordWrap/>
              <w:overflowPunct/>
              <w:topLinePunct w:val="0"/>
              <w:bidi w:val="0"/>
              <w:snapToGrid/>
              <w:spacing w:line="36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可靠性鉴定结论</w:t>
            </w:r>
          </w:p>
        </w:tc>
        <w:tc>
          <w:tcPr>
            <w:tcW w:w="8078" w:type="dxa"/>
            <w:vAlign w:val="center"/>
          </w:tcPr>
          <w:p w14:paraId="6EED81BC">
            <w:pPr>
              <w:keepNext w:val="0"/>
              <w:keepLines w:val="0"/>
              <w:pageBreakBefore w:val="0"/>
              <w:kinsoku/>
              <w:wordWrap/>
              <w:overflowPunct/>
              <w:topLinePunct w:val="0"/>
              <w:bidi w:val="0"/>
              <w:snapToGrid/>
              <w:spacing w:line="360" w:lineRule="auto"/>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二、可靠性鉴定结论</w:t>
            </w:r>
          </w:p>
          <w:p w14:paraId="1180948C">
            <w:pPr>
              <w:keepNext w:val="0"/>
              <w:keepLines w:val="0"/>
              <w:pageBreakBefore w:val="0"/>
              <w:kinsoku/>
              <w:wordWrap/>
              <w:overflowPunct/>
              <w:topLinePunct w:val="0"/>
              <w:bidi w:val="0"/>
              <w:snapToGrid/>
              <w:spacing w:line="360" w:lineRule="auto"/>
              <w:ind w:firstLine="420" w:firstLineChars="200"/>
              <w:textAlignment w:val="auto"/>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sz w:val="21"/>
                <w:szCs w:val="21"/>
                <w:lang w:val="en-US" w:eastAsia="zh-CN"/>
              </w:rPr>
              <w:t>XX</w:t>
            </w:r>
            <w:r>
              <w:rPr>
                <w:rFonts w:hint="default" w:ascii="Times New Roman" w:hAnsi="Times New Roman" w:eastAsia="宋体" w:cs="Times New Roman"/>
                <w:color w:val="auto"/>
                <w:sz w:val="21"/>
                <w:szCs w:val="21"/>
              </w:rPr>
              <w:t>车间</w:t>
            </w:r>
            <w:r>
              <w:rPr>
                <w:rFonts w:hint="default" w:ascii="Times New Roman" w:hAnsi="Times New Roman" w:eastAsia="宋体" w:cs="Times New Roman"/>
                <w:color w:val="auto"/>
                <w:kern w:val="0"/>
                <w:sz w:val="21"/>
                <w:szCs w:val="21"/>
              </w:rPr>
              <w:t>按《工业建筑可靠性鉴定标准》（GB 50144-2019）8.0.2节鉴定单元安全性评级原则，评定安全性等级为一级，按《工业建筑可靠性鉴定标准》（GB50144-2019）8.0.3节鉴定单元使用性评级原则，评定使用性等级为二级，</w:t>
            </w:r>
            <w:r>
              <w:rPr>
                <w:rFonts w:hint="default" w:ascii="Times New Roman" w:hAnsi="Times New Roman" w:eastAsia="宋体" w:cs="Times New Roman"/>
                <w:b/>
                <w:color w:val="auto"/>
                <w:kern w:val="0"/>
                <w:sz w:val="21"/>
                <w:szCs w:val="21"/>
              </w:rPr>
              <w:t>综合评定鉴定单元可靠性等级为一级，即符合国家现行标准的可靠性要求，不影响整体安全，可正常使用。</w:t>
            </w:r>
          </w:p>
        </w:tc>
      </w:tr>
      <w:tr w14:paraId="5C572E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66" w:hRule="atLeast"/>
          <w:jc w:val="center"/>
        </w:trPr>
        <w:tc>
          <w:tcPr>
            <w:tcW w:w="1528" w:type="dxa"/>
            <w:vAlign w:val="center"/>
          </w:tcPr>
          <w:p w14:paraId="4609B9BB">
            <w:pPr>
              <w:keepNext w:val="0"/>
              <w:keepLines w:val="0"/>
              <w:pageBreakBefore w:val="0"/>
              <w:kinsoku/>
              <w:wordWrap/>
              <w:overflowPunct/>
              <w:topLinePunct w:val="0"/>
              <w:bidi w:val="0"/>
              <w:snapToGrid/>
              <w:spacing w:line="36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抗震鉴定</w:t>
            </w:r>
          </w:p>
          <w:p w14:paraId="624E39B7">
            <w:pPr>
              <w:keepNext w:val="0"/>
              <w:keepLines w:val="0"/>
              <w:pageBreakBefore w:val="0"/>
              <w:kinsoku/>
              <w:wordWrap/>
              <w:overflowPunct/>
              <w:topLinePunct w:val="0"/>
              <w:bidi w:val="0"/>
              <w:snapToGrid/>
              <w:spacing w:line="36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结论</w:t>
            </w:r>
          </w:p>
        </w:tc>
        <w:tc>
          <w:tcPr>
            <w:tcW w:w="8078" w:type="dxa"/>
            <w:vAlign w:val="center"/>
          </w:tcPr>
          <w:p w14:paraId="327A5CC4">
            <w:pPr>
              <w:keepNext w:val="0"/>
              <w:keepLines w:val="0"/>
              <w:pageBreakBefore w:val="0"/>
              <w:kinsoku/>
              <w:wordWrap/>
              <w:overflowPunct/>
              <w:topLinePunct w:val="0"/>
              <w:bidi w:val="0"/>
              <w:snapToGrid/>
              <w:spacing w:line="360" w:lineRule="auto"/>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三、抗震鉴定结论</w:t>
            </w:r>
          </w:p>
          <w:p w14:paraId="4944764B">
            <w:pPr>
              <w:keepNext w:val="0"/>
              <w:keepLines w:val="0"/>
              <w:pageBreakBefore w:val="0"/>
              <w:kinsoku/>
              <w:wordWrap/>
              <w:overflowPunct/>
              <w:topLinePunct w:val="0"/>
              <w:bidi w:val="0"/>
              <w:snapToGrid/>
              <w:spacing w:line="360" w:lineRule="auto"/>
              <w:ind w:firstLine="420" w:firstLineChars="20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根据抗震承载力验算结果及对其</w:t>
            </w:r>
            <w:r>
              <w:rPr>
                <w:rFonts w:hint="eastAsia" w:ascii="Times New Roman" w:hAnsi="Times New Roman" w:eastAsia="宋体" w:cs="Times New Roman"/>
                <w:color w:val="auto"/>
                <w:sz w:val="21"/>
                <w:szCs w:val="21"/>
                <w:lang w:val="en-US" w:eastAsia="zh-CN"/>
              </w:rPr>
              <w:t>XX</w:t>
            </w:r>
            <w:r>
              <w:rPr>
                <w:rFonts w:hint="default" w:ascii="Times New Roman" w:hAnsi="Times New Roman" w:eastAsia="宋体" w:cs="Times New Roman"/>
                <w:color w:val="auto"/>
                <w:sz w:val="21"/>
                <w:szCs w:val="21"/>
              </w:rPr>
              <w:t>车间相关抗震措施进行调查，结果表明，</w:t>
            </w:r>
            <w:r>
              <w:rPr>
                <w:rFonts w:hint="eastAsia" w:ascii="Times New Roman" w:hAnsi="Times New Roman" w:eastAsia="宋体" w:cs="Times New Roman"/>
                <w:color w:val="auto"/>
                <w:sz w:val="21"/>
                <w:szCs w:val="21"/>
                <w:lang w:val="en-US" w:eastAsia="zh-CN"/>
              </w:rPr>
              <w:t>XX</w:t>
            </w:r>
            <w:r>
              <w:rPr>
                <w:rFonts w:hint="default" w:ascii="Times New Roman" w:hAnsi="Times New Roman" w:eastAsia="宋体" w:cs="Times New Roman"/>
                <w:color w:val="auto"/>
                <w:sz w:val="21"/>
                <w:szCs w:val="21"/>
              </w:rPr>
              <w:t>车间抗震承载力验算及相关抗震措施等满足相关抗震鉴定要求。</w:t>
            </w:r>
          </w:p>
        </w:tc>
      </w:tr>
      <w:tr w14:paraId="620A26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84" w:hRule="atLeast"/>
          <w:jc w:val="center"/>
        </w:trPr>
        <w:tc>
          <w:tcPr>
            <w:tcW w:w="1528" w:type="dxa"/>
            <w:vAlign w:val="center"/>
          </w:tcPr>
          <w:p w14:paraId="396227DF">
            <w:pPr>
              <w:keepNext w:val="0"/>
              <w:keepLines w:val="0"/>
              <w:pageBreakBefore w:val="0"/>
              <w:kinsoku/>
              <w:wordWrap/>
              <w:overflowPunct/>
              <w:topLinePunct w:val="0"/>
              <w:bidi w:val="0"/>
              <w:snapToGrid/>
              <w:spacing w:line="360" w:lineRule="auto"/>
              <w:ind w:firstLine="316" w:firstLineChars="150"/>
              <w:jc w:val="left"/>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建议</w:t>
            </w:r>
          </w:p>
        </w:tc>
        <w:tc>
          <w:tcPr>
            <w:tcW w:w="8078" w:type="dxa"/>
            <w:vAlign w:val="center"/>
          </w:tcPr>
          <w:p w14:paraId="30EFB007">
            <w:pPr>
              <w:keepNext w:val="0"/>
              <w:keepLines w:val="0"/>
              <w:pageBreakBefore w:val="0"/>
              <w:kinsoku/>
              <w:wordWrap/>
              <w:overflowPunct/>
              <w:topLinePunct w:val="0"/>
              <w:bidi w:val="0"/>
              <w:snapToGrid/>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1、对钢构件杆件表面存在的积灰现象，清除表面积灰；对钢构件杆件表面防腐涂层起皮脱落现象，建议对相关区域结构重新进行防腐处理；对其锈蚀部分及涂层脱落部分进行处理；</w:t>
            </w:r>
          </w:p>
          <w:p w14:paraId="6D79F205">
            <w:pPr>
              <w:keepNext w:val="0"/>
              <w:keepLines w:val="0"/>
              <w:pageBreakBefore w:val="0"/>
              <w:kinsoku/>
              <w:wordWrap/>
              <w:overflowPunct/>
              <w:topLinePunct w:val="0"/>
              <w:bidi w:val="0"/>
              <w:snapToGrid/>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在建筑后期使用过程中，应注意观察结构的使用情况，特别注意结构整体使用荷载的控制，并加强对生产车间承重构件，尤其是钢柱、屋面钢梁和吊车梁的监控和日常维护，如发现新的结构损伤或外观缺陷，应及时与相关单位联系，采取相应的处理措施。</w:t>
            </w:r>
          </w:p>
          <w:p w14:paraId="45186B46">
            <w:pPr>
              <w:keepNext w:val="0"/>
              <w:keepLines w:val="0"/>
              <w:pageBreakBefore w:val="0"/>
              <w:kinsoku/>
              <w:wordWrap/>
              <w:overflowPunct/>
              <w:topLinePunct w:val="0"/>
              <w:bidi w:val="0"/>
              <w:snapToGrid/>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3、在使用年限内未经技术鉴定或设计许可，业主不得自行变更使用条件和改变建筑物目前的结构受力体系。</w:t>
            </w:r>
          </w:p>
        </w:tc>
      </w:tr>
    </w:tbl>
    <w:p w14:paraId="14FF9AC6">
      <w:pPr>
        <w:pageBreakBefore w:val="0"/>
        <w:kinsoku/>
        <w:wordWrap/>
        <w:overflowPunct/>
        <w:topLinePunct w:val="0"/>
        <w:autoSpaceDE/>
        <w:autoSpaceDN/>
        <w:bidi w:val="0"/>
        <w:adjustRightInd/>
        <w:snapToGrid/>
        <w:spacing w:before="0" w:after="0" w:line="360" w:lineRule="auto"/>
        <w:textAlignment w:val="auto"/>
        <w:rPr>
          <w:rFonts w:hint="default" w:ascii="Times New Roman" w:hAnsi="Times New Roman" w:eastAsia="楷体" w:cs="Times New Roman"/>
          <w:color w:val="auto"/>
          <w:sz w:val="28"/>
          <w:szCs w:val="28"/>
        </w:rPr>
        <w:sectPr>
          <w:headerReference r:id="rId9" w:type="default"/>
          <w:footerReference r:id="rId10" w:type="default"/>
          <w:pgSz w:w="11906" w:h="16838"/>
          <w:pgMar w:top="1134" w:right="1134" w:bottom="1134" w:left="1418" w:header="737" w:footer="851" w:gutter="0"/>
          <w:pgNumType w:fmt="decimal"/>
          <w:cols w:space="720" w:num="1"/>
          <w:docGrid w:type="lines" w:linePitch="312" w:charSpace="0"/>
        </w:sectPr>
      </w:pPr>
      <w:bookmarkStart w:id="138" w:name="_Toc383941792"/>
    </w:p>
    <w:sdt>
      <w:sdtPr>
        <w:rPr>
          <w:rFonts w:hint="default" w:ascii="Times New Roman" w:hAnsi="Times New Roman" w:eastAsia="宋体" w:cs="Times New Roman"/>
          <w:color w:val="auto"/>
          <w:kern w:val="2"/>
          <w:sz w:val="24"/>
          <w:szCs w:val="24"/>
          <w:lang w:val="zh-CN" w:eastAsia="zh-CN" w:bidi="ar-SA"/>
        </w:rPr>
        <w:id w:val="147479829"/>
        <w:docPartObj>
          <w:docPartGallery w:val="Table of Contents"/>
          <w:docPartUnique/>
        </w:docPartObj>
      </w:sdtPr>
      <w:sdtEndPr>
        <w:rPr>
          <w:rFonts w:hint="default" w:ascii="Times New Roman" w:hAnsi="Times New Roman" w:eastAsia="宋体" w:cs="Times New Roman"/>
          <w:b/>
          <w:bCs/>
          <w:color w:val="auto"/>
          <w:kern w:val="2"/>
          <w:sz w:val="24"/>
          <w:szCs w:val="24"/>
          <w:lang w:val="zh-CN" w:eastAsia="zh-CN" w:bidi="ar-SA"/>
        </w:rPr>
      </w:sdtEndPr>
      <w:sdtContent>
        <w:p w14:paraId="1659D409">
          <w:pPr>
            <w:keepNext/>
            <w:keepLines/>
            <w:pageBreakBefore w:val="0"/>
            <w:widowControl/>
            <w:kinsoku/>
            <w:wordWrap/>
            <w:overflowPunct/>
            <w:topLinePunct w:val="0"/>
            <w:autoSpaceDE/>
            <w:autoSpaceDN/>
            <w:bidi w:val="0"/>
            <w:adjustRightInd/>
            <w:snapToGrid/>
            <w:spacing w:before="240" w:beforeLines="0" w:after="0" w:afterLines="0" w:line="360" w:lineRule="auto"/>
            <w:jc w:val="center"/>
            <w:textAlignment w:val="auto"/>
            <w:outlineLvl w:val="9"/>
            <w:rPr>
              <w:color w:val="auto"/>
            </w:rPr>
          </w:pPr>
          <w:r>
            <w:rPr>
              <w:rFonts w:hint="default" w:ascii="Times New Roman" w:hAnsi="Times New Roman" w:eastAsia="宋体" w:cs="Times New Roman"/>
              <w:b/>
              <w:bCs w:val="0"/>
              <w:color w:val="auto"/>
              <w:kern w:val="0"/>
              <w:sz w:val="32"/>
              <w:szCs w:val="32"/>
              <w:lang w:val="zh-CN" w:eastAsia="zh-CN" w:bidi="ar-SA"/>
            </w:rPr>
            <w:t>目  录</w:t>
          </w:r>
          <w:r>
            <w:rPr>
              <w:rFonts w:hint="default" w:ascii="Times New Roman" w:hAnsi="Times New Roman" w:eastAsia="宋体" w:cs="Times New Roman"/>
              <w:b/>
              <w:color w:val="auto"/>
              <w:kern w:val="0"/>
              <w:sz w:val="24"/>
              <w:szCs w:val="24"/>
              <w:lang w:val="en-US" w:eastAsia="zh-CN" w:bidi="ar-SA"/>
            </w:rPr>
            <w:fldChar w:fldCharType="begin"/>
          </w:r>
          <w:r>
            <w:rPr>
              <w:rFonts w:hint="default" w:ascii="Times New Roman" w:hAnsi="Times New Roman" w:eastAsia="宋体" w:cs="Times New Roman"/>
              <w:b/>
              <w:color w:val="auto"/>
              <w:kern w:val="0"/>
              <w:sz w:val="24"/>
              <w:szCs w:val="24"/>
              <w:lang w:val="en-US" w:eastAsia="zh-CN" w:bidi="ar-SA"/>
            </w:rPr>
            <w:instrText xml:space="preserve"> TOC \o "1-3" \h \z \u </w:instrText>
          </w:r>
          <w:r>
            <w:rPr>
              <w:rFonts w:hint="default" w:ascii="Times New Roman" w:hAnsi="Times New Roman" w:eastAsia="宋体" w:cs="Times New Roman"/>
              <w:b/>
              <w:color w:val="auto"/>
              <w:kern w:val="0"/>
              <w:sz w:val="24"/>
              <w:szCs w:val="24"/>
              <w:lang w:val="en-US" w:eastAsia="zh-CN" w:bidi="ar-SA"/>
            </w:rPr>
            <w:fldChar w:fldCharType="separate"/>
          </w:r>
        </w:p>
        <w:p w14:paraId="706F8CB5">
          <w:pPr>
            <w:pStyle w:val="15"/>
            <w:pageBreakBefore w:val="0"/>
            <w:tabs>
              <w:tab w:val="right" w:leader="dot" w:pos="9354"/>
            </w:tabs>
            <w:kinsoku/>
            <w:wordWrap/>
            <w:overflowPunct/>
            <w:topLinePunct w:val="0"/>
            <w:autoSpaceDE/>
            <w:autoSpaceDN/>
            <w:bidi w:val="0"/>
            <w:adjustRightInd/>
            <w:snapToGrid/>
            <w:spacing w:line="360" w:lineRule="auto"/>
            <w:textAlignment w:val="auto"/>
            <w:rPr>
              <w:color w:val="auto"/>
            </w:rPr>
          </w:pPr>
          <w:r>
            <w:rPr>
              <w:rFonts w:hint="default" w:ascii="Times New Roman" w:hAnsi="Times New Roman" w:eastAsia="宋体" w:cs="Times New Roman"/>
              <w:bCs/>
              <w:color w:val="auto"/>
              <w:szCs w:val="24"/>
              <w:lang w:val="zh-CN"/>
            </w:rPr>
            <w:fldChar w:fldCharType="begin"/>
          </w:r>
          <w:r>
            <w:rPr>
              <w:rFonts w:hint="default" w:ascii="Times New Roman" w:hAnsi="Times New Roman" w:eastAsia="宋体" w:cs="Times New Roman"/>
              <w:bCs/>
              <w:color w:val="auto"/>
              <w:szCs w:val="24"/>
              <w:lang w:val="zh-CN"/>
            </w:rPr>
            <w:instrText xml:space="preserve"> HYPERLINK \l _Toc28032 </w:instrText>
          </w:r>
          <w:r>
            <w:rPr>
              <w:rFonts w:hint="default" w:ascii="Times New Roman" w:hAnsi="Times New Roman" w:eastAsia="宋体" w:cs="Times New Roman"/>
              <w:bCs/>
              <w:color w:val="auto"/>
              <w:szCs w:val="24"/>
              <w:lang w:val="zh-CN"/>
            </w:rPr>
            <w:fldChar w:fldCharType="separate"/>
          </w:r>
          <w:r>
            <w:rPr>
              <w:rFonts w:hint="default" w:ascii="Times New Roman" w:hAnsi="Times New Roman" w:eastAsia="宋体" w:cs="Times New Roman"/>
              <w:bCs/>
              <w:color w:val="auto"/>
              <w:kern w:val="44"/>
              <w:szCs w:val="44"/>
              <w:lang w:val="en-US" w:eastAsia="zh-CN" w:bidi="ar-SA"/>
            </w:rPr>
            <w:t>一、项目概况</w:t>
          </w:r>
          <w:r>
            <w:rPr>
              <w:color w:val="auto"/>
            </w:rPr>
            <w:tab/>
          </w:r>
          <w:r>
            <w:rPr>
              <w:color w:val="auto"/>
            </w:rPr>
            <w:fldChar w:fldCharType="begin"/>
          </w:r>
          <w:r>
            <w:rPr>
              <w:color w:val="auto"/>
            </w:rPr>
            <w:instrText xml:space="preserve"> PAGEREF _Toc28032 \h </w:instrText>
          </w:r>
          <w:r>
            <w:rPr>
              <w:color w:val="auto"/>
            </w:rPr>
            <w:fldChar w:fldCharType="separate"/>
          </w:r>
          <w:r>
            <w:rPr>
              <w:color w:val="auto"/>
            </w:rPr>
            <w:t>1</w:t>
          </w:r>
          <w:r>
            <w:rPr>
              <w:color w:val="auto"/>
            </w:rPr>
            <w:fldChar w:fldCharType="end"/>
          </w:r>
          <w:r>
            <w:rPr>
              <w:rFonts w:hint="default" w:ascii="Times New Roman" w:hAnsi="Times New Roman" w:eastAsia="宋体" w:cs="Times New Roman"/>
              <w:bCs/>
              <w:color w:val="auto"/>
              <w:szCs w:val="24"/>
              <w:lang w:val="zh-CN"/>
            </w:rPr>
            <w:fldChar w:fldCharType="end"/>
          </w:r>
        </w:p>
        <w:p w14:paraId="1B6BCA85">
          <w:pPr>
            <w:pStyle w:val="15"/>
            <w:pageBreakBefore w:val="0"/>
            <w:tabs>
              <w:tab w:val="right" w:leader="dot" w:pos="9354"/>
            </w:tabs>
            <w:kinsoku/>
            <w:wordWrap/>
            <w:overflowPunct/>
            <w:topLinePunct w:val="0"/>
            <w:autoSpaceDE/>
            <w:autoSpaceDN/>
            <w:bidi w:val="0"/>
            <w:adjustRightInd/>
            <w:snapToGrid/>
            <w:spacing w:line="360" w:lineRule="auto"/>
            <w:textAlignment w:val="auto"/>
            <w:rPr>
              <w:color w:val="auto"/>
            </w:rPr>
          </w:pPr>
          <w:r>
            <w:rPr>
              <w:rFonts w:hint="default" w:ascii="Times New Roman" w:hAnsi="Times New Roman" w:eastAsia="宋体" w:cs="Times New Roman"/>
              <w:bCs/>
              <w:color w:val="auto"/>
              <w:szCs w:val="24"/>
              <w:lang w:val="zh-CN"/>
            </w:rPr>
            <w:fldChar w:fldCharType="begin"/>
          </w:r>
          <w:r>
            <w:rPr>
              <w:rFonts w:hint="default" w:ascii="Times New Roman" w:hAnsi="Times New Roman" w:eastAsia="宋体" w:cs="Times New Roman"/>
              <w:bCs/>
              <w:color w:val="auto"/>
              <w:szCs w:val="24"/>
              <w:lang w:val="zh-CN"/>
            </w:rPr>
            <w:instrText xml:space="preserve"> HYPERLINK \l _Toc26829 </w:instrText>
          </w:r>
          <w:r>
            <w:rPr>
              <w:rFonts w:hint="default" w:ascii="Times New Roman" w:hAnsi="Times New Roman" w:eastAsia="宋体" w:cs="Times New Roman"/>
              <w:bCs/>
              <w:color w:val="auto"/>
              <w:szCs w:val="24"/>
              <w:lang w:val="zh-CN"/>
            </w:rPr>
            <w:fldChar w:fldCharType="separate"/>
          </w:r>
          <w:r>
            <w:rPr>
              <w:rFonts w:hint="default" w:ascii="Times New Roman" w:hAnsi="Times New Roman" w:eastAsia="宋体" w:cs="Times New Roman"/>
              <w:bCs/>
              <w:color w:val="auto"/>
              <w:kern w:val="44"/>
              <w:szCs w:val="44"/>
              <w:lang w:val="en-US" w:eastAsia="zh-CN" w:bidi="ar-SA"/>
            </w:rPr>
            <w:t>二、检测鉴定目的、范围和内容</w:t>
          </w:r>
          <w:r>
            <w:rPr>
              <w:color w:val="auto"/>
            </w:rPr>
            <w:tab/>
          </w:r>
          <w:r>
            <w:rPr>
              <w:color w:val="auto"/>
            </w:rPr>
            <w:fldChar w:fldCharType="begin"/>
          </w:r>
          <w:r>
            <w:rPr>
              <w:color w:val="auto"/>
            </w:rPr>
            <w:instrText xml:space="preserve"> PAGEREF _Toc26829 \h </w:instrText>
          </w:r>
          <w:r>
            <w:rPr>
              <w:color w:val="auto"/>
            </w:rPr>
            <w:fldChar w:fldCharType="separate"/>
          </w:r>
          <w:r>
            <w:rPr>
              <w:color w:val="auto"/>
            </w:rPr>
            <w:t>1</w:t>
          </w:r>
          <w:r>
            <w:rPr>
              <w:color w:val="auto"/>
            </w:rPr>
            <w:fldChar w:fldCharType="end"/>
          </w:r>
          <w:r>
            <w:rPr>
              <w:rFonts w:hint="default" w:ascii="Times New Roman" w:hAnsi="Times New Roman" w:eastAsia="宋体" w:cs="Times New Roman"/>
              <w:bCs/>
              <w:color w:val="auto"/>
              <w:szCs w:val="24"/>
              <w:lang w:val="zh-CN"/>
            </w:rPr>
            <w:fldChar w:fldCharType="end"/>
          </w:r>
        </w:p>
        <w:p w14:paraId="0F831771">
          <w:pPr>
            <w:pStyle w:val="16"/>
            <w:pageBreakBefore w:val="0"/>
            <w:tabs>
              <w:tab w:val="right" w:leader="dot" w:pos="9354"/>
            </w:tabs>
            <w:kinsoku/>
            <w:wordWrap/>
            <w:overflowPunct/>
            <w:topLinePunct w:val="0"/>
            <w:autoSpaceDE/>
            <w:autoSpaceDN/>
            <w:bidi w:val="0"/>
            <w:adjustRightInd/>
            <w:snapToGrid/>
            <w:spacing w:line="360" w:lineRule="auto"/>
            <w:ind w:left="0" w:leftChars="0" w:firstLine="420" w:firstLineChars="200"/>
            <w:textAlignment w:val="auto"/>
            <w:rPr>
              <w:color w:val="auto"/>
            </w:rPr>
          </w:pPr>
          <w:r>
            <w:rPr>
              <w:rFonts w:hint="default" w:ascii="Times New Roman" w:hAnsi="Times New Roman" w:eastAsia="宋体" w:cs="Times New Roman"/>
              <w:bCs/>
              <w:color w:val="auto"/>
              <w:szCs w:val="24"/>
              <w:lang w:val="zh-CN"/>
            </w:rPr>
            <w:fldChar w:fldCharType="begin"/>
          </w:r>
          <w:r>
            <w:rPr>
              <w:rFonts w:hint="default" w:ascii="Times New Roman" w:hAnsi="Times New Roman" w:eastAsia="宋体" w:cs="Times New Roman"/>
              <w:bCs/>
              <w:color w:val="auto"/>
              <w:szCs w:val="24"/>
              <w:lang w:val="zh-CN"/>
            </w:rPr>
            <w:instrText xml:space="preserve"> HYPERLINK \l _Toc31558 </w:instrText>
          </w:r>
          <w:r>
            <w:rPr>
              <w:rFonts w:hint="default" w:ascii="Times New Roman" w:hAnsi="Times New Roman" w:eastAsia="宋体" w:cs="Times New Roman"/>
              <w:bCs/>
              <w:color w:val="auto"/>
              <w:szCs w:val="24"/>
              <w:lang w:val="zh-CN"/>
            </w:rPr>
            <w:fldChar w:fldCharType="separate"/>
          </w:r>
          <w:r>
            <w:rPr>
              <w:rFonts w:hint="default" w:ascii="Times New Roman" w:hAnsi="Times New Roman" w:eastAsia="宋体" w:cs="Times New Roman"/>
              <w:bCs/>
              <w:color w:val="auto"/>
              <w:kern w:val="2"/>
              <w:szCs w:val="32"/>
              <w:lang w:val="en-US" w:eastAsia="zh-CN" w:bidi="ar-SA"/>
            </w:rPr>
            <w:t>2.1 检测鉴定目的</w:t>
          </w:r>
          <w:r>
            <w:rPr>
              <w:color w:val="auto"/>
            </w:rPr>
            <w:tab/>
          </w:r>
          <w:r>
            <w:rPr>
              <w:color w:val="auto"/>
            </w:rPr>
            <w:fldChar w:fldCharType="begin"/>
          </w:r>
          <w:r>
            <w:rPr>
              <w:color w:val="auto"/>
            </w:rPr>
            <w:instrText xml:space="preserve"> PAGEREF _Toc31558 \h </w:instrText>
          </w:r>
          <w:r>
            <w:rPr>
              <w:color w:val="auto"/>
            </w:rPr>
            <w:fldChar w:fldCharType="separate"/>
          </w:r>
          <w:r>
            <w:rPr>
              <w:color w:val="auto"/>
            </w:rPr>
            <w:t>1</w:t>
          </w:r>
          <w:r>
            <w:rPr>
              <w:color w:val="auto"/>
            </w:rPr>
            <w:fldChar w:fldCharType="end"/>
          </w:r>
          <w:r>
            <w:rPr>
              <w:rFonts w:hint="default" w:ascii="Times New Roman" w:hAnsi="Times New Roman" w:eastAsia="宋体" w:cs="Times New Roman"/>
              <w:bCs/>
              <w:color w:val="auto"/>
              <w:szCs w:val="24"/>
              <w:lang w:val="zh-CN"/>
            </w:rPr>
            <w:fldChar w:fldCharType="end"/>
          </w:r>
        </w:p>
        <w:p w14:paraId="2BFC7E87">
          <w:pPr>
            <w:pStyle w:val="16"/>
            <w:pageBreakBefore w:val="0"/>
            <w:tabs>
              <w:tab w:val="right" w:leader="dot" w:pos="9354"/>
            </w:tabs>
            <w:kinsoku/>
            <w:wordWrap/>
            <w:overflowPunct/>
            <w:topLinePunct w:val="0"/>
            <w:autoSpaceDE/>
            <w:autoSpaceDN/>
            <w:bidi w:val="0"/>
            <w:adjustRightInd/>
            <w:snapToGrid/>
            <w:spacing w:line="360" w:lineRule="auto"/>
            <w:textAlignment w:val="auto"/>
            <w:rPr>
              <w:color w:val="auto"/>
            </w:rPr>
          </w:pPr>
          <w:r>
            <w:rPr>
              <w:rFonts w:hint="default" w:ascii="Times New Roman" w:hAnsi="Times New Roman" w:eastAsia="宋体" w:cs="Times New Roman"/>
              <w:bCs/>
              <w:color w:val="auto"/>
              <w:szCs w:val="24"/>
              <w:lang w:val="zh-CN"/>
            </w:rPr>
            <w:fldChar w:fldCharType="begin"/>
          </w:r>
          <w:r>
            <w:rPr>
              <w:rFonts w:hint="default" w:ascii="Times New Roman" w:hAnsi="Times New Roman" w:eastAsia="宋体" w:cs="Times New Roman"/>
              <w:bCs/>
              <w:color w:val="auto"/>
              <w:szCs w:val="24"/>
              <w:lang w:val="zh-CN"/>
            </w:rPr>
            <w:instrText xml:space="preserve"> HYPERLINK \l _Toc13997 </w:instrText>
          </w:r>
          <w:r>
            <w:rPr>
              <w:rFonts w:hint="default" w:ascii="Times New Roman" w:hAnsi="Times New Roman" w:eastAsia="宋体" w:cs="Times New Roman"/>
              <w:bCs/>
              <w:color w:val="auto"/>
              <w:szCs w:val="24"/>
              <w:lang w:val="zh-CN"/>
            </w:rPr>
            <w:fldChar w:fldCharType="separate"/>
          </w:r>
          <w:r>
            <w:rPr>
              <w:rFonts w:hint="default" w:ascii="Times New Roman" w:hAnsi="Times New Roman" w:eastAsia="宋体" w:cs="Times New Roman"/>
              <w:bCs/>
              <w:color w:val="auto"/>
              <w:kern w:val="2"/>
              <w:szCs w:val="32"/>
              <w:lang w:val="en-US" w:eastAsia="zh-CN" w:bidi="ar-SA"/>
            </w:rPr>
            <w:t>2.2 检测鉴定范围</w:t>
          </w:r>
          <w:r>
            <w:rPr>
              <w:color w:val="auto"/>
            </w:rPr>
            <w:tab/>
          </w:r>
          <w:r>
            <w:rPr>
              <w:color w:val="auto"/>
            </w:rPr>
            <w:fldChar w:fldCharType="begin"/>
          </w:r>
          <w:r>
            <w:rPr>
              <w:color w:val="auto"/>
            </w:rPr>
            <w:instrText xml:space="preserve"> PAGEREF _Toc13997 \h </w:instrText>
          </w:r>
          <w:r>
            <w:rPr>
              <w:color w:val="auto"/>
            </w:rPr>
            <w:fldChar w:fldCharType="separate"/>
          </w:r>
          <w:r>
            <w:rPr>
              <w:color w:val="auto"/>
            </w:rPr>
            <w:t>1</w:t>
          </w:r>
          <w:r>
            <w:rPr>
              <w:color w:val="auto"/>
            </w:rPr>
            <w:fldChar w:fldCharType="end"/>
          </w:r>
          <w:r>
            <w:rPr>
              <w:rFonts w:hint="default" w:ascii="Times New Roman" w:hAnsi="Times New Roman" w:eastAsia="宋体" w:cs="Times New Roman"/>
              <w:bCs/>
              <w:color w:val="auto"/>
              <w:szCs w:val="24"/>
              <w:lang w:val="zh-CN"/>
            </w:rPr>
            <w:fldChar w:fldCharType="end"/>
          </w:r>
        </w:p>
        <w:p w14:paraId="7DB69501">
          <w:pPr>
            <w:pStyle w:val="16"/>
            <w:pageBreakBefore w:val="0"/>
            <w:tabs>
              <w:tab w:val="right" w:leader="dot" w:pos="9354"/>
            </w:tabs>
            <w:kinsoku/>
            <w:wordWrap/>
            <w:overflowPunct/>
            <w:topLinePunct w:val="0"/>
            <w:autoSpaceDE/>
            <w:autoSpaceDN/>
            <w:bidi w:val="0"/>
            <w:adjustRightInd/>
            <w:snapToGrid/>
            <w:spacing w:line="360" w:lineRule="auto"/>
            <w:textAlignment w:val="auto"/>
            <w:rPr>
              <w:color w:val="auto"/>
            </w:rPr>
          </w:pPr>
          <w:r>
            <w:rPr>
              <w:rFonts w:hint="default" w:ascii="Times New Roman" w:hAnsi="Times New Roman" w:eastAsia="宋体" w:cs="Times New Roman"/>
              <w:bCs/>
              <w:color w:val="auto"/>
              <w:szCs w:val="24"/>
              <w:lang w:val="zh-CN"/>
            </w:rPr>
            <w:fldChar w:fldCharType="begin"/>
          </w:r>
          <w:r>
            <w:rPr>
              <w:rFonts w:hint="default" w:ascii="Times New Roman" w:hAnsi="Times New Roman" w:eastAsia="宋体" w:cs="Times New Roman"/>
              <w:bCs/>
              <w:color w:val="auto"/>
              <w:szCs w:val="24"/>
              <w:lang w:val="zh-CN"/>
            </w:rPr>
            <w:instrText xml:space="preserve"> HYPERLINK \l _Toc27697 </w:instrText>
          </w:r>
          <w:r>
            <w:rPr>
              <w:rFonts w:hint="default" w:ascii="Times New Roman" w:hAnsi="Times New Roman" w:eastAsia="宋体" w:cs="Times New Roman"/>
              <w:bCs/>
              <w:color w:val="auto"/>
              <w:szCs w:val="24"/>
              <w:lang w:val="zh-CN"/>
            </w:rPr>
            <w:fldChar w:fldCharType="separate"/>
          </w:r>
          <w:r>
            <w:rPr>
              <w:rFonts w:hint="default" w:ascii="Times New Roman" w:hAnsi="Times New Roman" w:eastAsia="宋体" w:cs="Times New Roman"/>
              <w:bCs/>
              <w:color w:val="auto"/>
              <w:kern w:val="2"/>
              <w:szCs w:val="32"/>
              <w:lang w:val="en-US" w:eastAsia="zh-CN" w:bidi="ar-SA"/>
            </w:rPr>
            <w:t>2.3 检测鉴定内容</w:t>
          </w:r>
          <w:r>
            <w:rPr>
              <w:color w:val="auto"/>
            </w:rPr>
            <w:tab/>
          </w:r>
          <w:r>
            <w:rPr>
              <w:color w:val="auto"/>
            </w:rPr>
            <w:fldChar w:fldCharType="begin"/>
          </w:r>
          <w:r>
            <w:rPr>
              <w:color w:val="auto"/>
            </w:rPr>
            <w:instrText xml:space="preserve"> PAGEREF _Toc27697 \h </w:instrText>
          </w:r>
          <w:r>
            <w:rPr>
              <w:color w:val="auto"/>
            </w:rPr>
            <w:fldChar w:fldCharType="separate"/>
          </w:r>
          <w:r>
            <w:rPr>
              <w:color w:val="auto"/>
            </w:rPr>
            <w:t>2</w:t>
          </w:r>
          <w:r>
            <w:rPr>
              <w:color w:val="auto"/>
            </w:rPr>
            <w:fldChar w:fldCharType="end"/>
          </w:r>
          <w:r>
            <w:rPr>
              <w:rFonts w:hint="default" w:ascii="Times New Roman" w:hAnsi="Times New Roman" w:eastAsia="宋体" w:cs="Times New Roman"/>
              <w:bCs/>
              <w:color w:val="auto"/>
              <w:szCs w:val="24"/>
              <w:lang w:val="zh-CN"/>
            </w:rPr>
            <w:fldChar w:fldCharType="end"/>
          </w:r>
        </w:p>
        <w:p w14:paraId="0D47F478">
          <w:pPr>
            <w:pStyle w:val="15"/>
            <w:pageBreakBefore w:val="0"/>
            <w:tabs>
              <w:tab w:val="right" w:leader="dot" w:pos="9354"/>
            </w:tabs>
            <w:kinsoku/>
            <w:wordWrap/>
            <w:overflowPunct/>
            <w:topLinePunct w:val="0"/>
            <w:autoSpaceDE/>
            <w:autoSpaceDN/>
            <w:bidi w:val="0"/>
            <w:adjustRightInd/>
            <w:snapToGrid/>
            <w:spacing w:line="360" w:lineRule="auto"/>
            <w:textAlignment w:val="auto"/>
            <w:rPr>
              <w:color w:val="auto"/>
            </w:rPr>
          </w:pPr>
          <w:r>
            <w:rPr>
              <w:rFonts w:hint="default" w:ascii="Times New Roman" w:hAnsi="Times New Roman" w:eastAsia="宋体" w:cs="Times New Roman"/>
              <w:bCs/>
              <w:color w:val="auto"/>
              <w:szCs w:val="24"/>
              <w:lang w:val="zh-CN"/>
            </w:rPr>
            <w:fldChar w:fldCharType="begin"/>
          </w:r>
          <w:r>
            <w:rPr>
              <w:rFonts w:hint="default" w:ascii="Times New Roman" w:hAnsi="Times New Roman" w:eastAsia="宋体" w:cs="Times New Roman"/>
              <w:bCs/>
              <w:color w:val="auto"/>
              <w:szCs w:val="24"/>
              <w:lang w:val="zh-CN"/>
            </w:rPr>
            <w:instrText xml:space="preserve"> HYPERLINK \l _Toc5098 </w:instrText>
          </w:r>
          <w:r>
            <w:rPr>
              <w:rFonts w:hint="default" w:ascii="Times New Roman" w:hAnsi="Times New Roman" w:eastAsia="宋体" w:cs="Times New Roman"/>
              <w:bCs/>
              <w:color w:val="auto"/>
              <w:szCs w:val="24"/>
              <w:lang w:val="zh-CN"/>
            </w:rPr>
            <w:fldChar w:fldCharType="separate"/>
          </w:r>
          <w:r>
            <w:rPr>
              <w:rFonts w:hint="default" w:ascii="Times New Roman" w:hAnsi="Times New Roman" w:eastAsia="宋体" w:cs="Times New Roman"/>
              <w:bCs/>
              <w:color w:val="auto"/>
              <w:kern w:val="44"/>
              <w:szCs w:val="44"/>
              <w:lang w:val="en-US" w:eastAsia="zh-CN" w:bidi="ar-SA"/>
            </w:rPr>
            <w:t>三、检测及鉴定依据</w:t>
          </w:r>
          <w:r>
            <w:rPr>
              <w:color w:val="auto"/>
            </w:rPr>
            <w:tab/>
          </w:r>
          <w:r>
            <w:rPr>
              <w:color w:val="auto"/>
            </w:rPr>
            <w:fldChar w:fldCharType="begin"/>
          </w:r>
          <w:r>
            <w:rPr>
              <w:color w:val="auto"/>
            </w:rPr>
            <w:instrText xml:space="preserve"> PAGEREF _Toc5098 \h </w:instrText>
          </w:r>
          <w:r>
            <w:rPr>
              <w:color w:val="auto"/>
            </w:rPr>
            <w:fldChar w:fldCharType="separate"/>
          </w:r>
          <w:r>
            <w:rPr>
              <w:color w:val="auto"/>
            </w:rPr>
            <w:t>2</w:t>
          </w:r>
          <w:r>
            <w:rPr>
              <w:color w:val="auto"/>
            </w:rPr>
            <w:fldChar w:fldCharType="end"/>
          </w:r>
          <w:r>
            <w:rPr>
              <w:rFonts w:hint="default" w:ascii="Times New Roman" w:hAnsi="Times New Roman" w:eastAsia="宋体" w:cs="Times New Roman"/>
              <w:bCs/>
              <w:color w:val="auto"/>
              <w:szCs w:val="24"/>
              <w:lang w:val="zh-CN"/>
            </w:rPr>
            <w:fldChar w:fldCharType="end"/>
          </w:r>
        </w:p>
        <w:p w14:paraId="6D75B3A1">
          <w:pPr>
            <w:pStyle w:val="16"/>
            <w:pageBreakBefore w:val="0"/>
            <w:tabs>
              <w:tab w:val="right" w:leader="dot" w:pos="9354"/>
            </w:tabs>
            <w:kinsoku/>
            <w:wordWrap/>
            <w:overflowPunct/>
            <w:topLinePunct w:val="0"/>
            <w:autoSpaceDE/>
            <w:autoSpaceDN/>
            <w:bidi w:val="0"/>
            <w:adjustRightInd/>
            <w:snapToGrid/>
            <w:spacing w:line="360" w:lineRule="auto"/>
            <w:textAlignment w:val="auto"/>
            <w:rPr>
              <w:color w:val="auto"/>
            </w:rPr>
          </w:pPr>
          <w:r>
            <w:rPr>
              <w:rFonts w:hint="default" w:ascii="Times New Roman" w:hAnsi="Times New Roman" w:eastAsia="宋体" w:cs="Times New Roman"/>
              <w:bCs/>
              <w:color w:val="auto"/>
              <w:szCs w:val="24"/>
              <w:lang w:val="zh-CN"/>
            </w:rPr>
            <w:fldChar w:fldCharType="begin"/>
          </w:r>
          <w:r>
            <w:rPr>
              <w:rFonts w:hint="default" w:ascii="Times New Roman" w:hAnsi="Times New Roman" w:eastAsia="宋体" w:cs="Times New Roman"/>
              <w:bCs/>
              <w:color w:val="auto"/>
              <w:szCs w:val="24"/>
              <w:lang w:val="zh-CN"/>
            </w:rPr>
            <w:instrText xml:space="preserve"> HYPERLINK \l _Toc1442 </w:instrText>
          </w:r>
          <w:r>
            <w:rPr>
              <w:rFonts w:hint="default" w:ascii="Times New Roman" w:hAnsi="Times New Roman" w:eastAsia="宋体" w:cs="Times New Roman"/>
              <w:bCs/>
              <w:color w:val="auto"/>
              <w:szCs w:val="24"/>
              <w:lang w:val="zh-CN"/>
            </w:rPr>
            <w:fldChar w:fldCharType="separate"/>
          </w:r>
          <w:r>
            <w:rPr>
              <w:rFonts w:hint="default" w:ascii="Times New Roman" w:hAnsi="Times New Roman" w:eastAsia="宋体" w:cs="Times New Roman"/>
              <w:bCs/>
              <w:color w:val="auto"/>
              <w:kern w:val="2"/>
              <w:szCs w:val="30"/>
              <w:lang w:val="en-US" w:eastAsia="zh-CN" w:bidi="ar-SA"/>
            </w:rPr>
            <w:t>3.1 检测依据</w:t>
          </w:r>
          <w:r>
            <w:rPr>
              <w:color w:val="auto"/>
            </w:rPr>
            <w:tab/>
          </w:r>
          <w:r>
            <w:rPr>
              <w:color w:val="auto"/>
            </w:rPr>
            <w:fldChar w:fldCharType="begin"/>
          </w:r>
          <w:r>
            <w:rPr>
              <w:color w:val="auto"/>
            </w:rPr>
            <w:instrText xml:space="preserve"> PAGEREF _Toc1442 \h </w:instrText>
          </w:r>
          <w:r>
            <w:rPr>
              <w:color w:val="auto"/>
            </w:rPr>
            <w:fldChar w:fldCharType="separate"/>
          </w:r>
          <w:r>
            <w:rPr>
              <w:color w:val="auto"/>
            </w:rPr>
            <w:t>2</w:t>
          </w:r>
          <w:r>
            <w:rPr>
              <w:color w:val="auto"/>
            </w:rPr>
            <w:fldChar w:fldCharType="end"/>
          </w:r>
          <w:r>
            <w:rPr>
              <w:rFonts w:hint="default" w:ascii="Times New Roman" w:hAnsi="Times New Roman" w:eastAsia="宋体" w:cs="Times New Roman"/>
              <w:bCs/>
              <w:color w:val="auto"/>
              <w:szCs w:val="24"/>
              <w:lang w:val="zh-CN"/>
            </w:rPr>
            <w:fldChar w:fldCharType="end"/>
          </w:r>
        </w:p>
        <w:p w14:paraId="1053F282">
          <w:pPr>
            <w:pStyle w:val="16"/>
            <w:pageBreakBefore w:val="0"/>
            <w:tabs>
              <w:tab w:val="right" w:leader="dot" w:pos="9354"/>
            </w:tabs>
            <w:kinsoku/>
            <w:wordWrap/>
            <w:overflowPunct/>
            <w:topLinePunct w:val="0"/>
            <w:autoSpaceDE/>
            <w:autoSpaceDN/>
            <w:bidi w:val="0"/>
            <w:adjustRightInd/>
            <w:snapToGrid/>
            <w:spacing w:line="360" w:lineRule="auto"/>
            <w:textAlignment w:val="auto"/>
            <w:rPr>
              <w:color w:val="auto"/>
            </w:rPr>
          </w:pPr>
          <w:r>
            <w:rPr>
              <w:rFonts w:hint="default" w:ascii="Times New Roman" w:hAnsi="Times New Roman" w:eastAsia="宋体" w:cs="Times New Roman"/>
              <w:bCs/>
              <w:color w:val="auto"/>
              <w:szCs w:val="24"/>
              <w:lang w:val="zh-CN"/>
            </w:rPr>
            <w:fldChar w:fldCharType="begin"/>
          </w:r>
          <w:r>
            <w:rPr>
              <w:rFonts w:hint="default" w:ascii="Times New Roman" w:hAnsi="Times New Roman" w:eastAsia="宋体" w:cs="Times New Roman"/>
              <w:bCs/>
              <w:color w:val="auto"/>
              <w:szCs w:val="24"/>
              <w:lang w:val="zh-CN"/>
            </w:rPr>
            <w:instrText xml:space="preserve"> HYPERLINK \l _Toc28867 </w:instrText>
          </w:r>
          <w:r>
            <w:rPr>
              <w:rFonts w:hint="default" w:ascii="Times New Roman" w:hAnsi="Times New Roman" w:eastAsia="宋体" w:cs="Times New Roman"/>
              <w:bCs/>
              <w:color w:val="auto"/>
              <w:szCs w:val="24"/>
              <w:lang w:val="zh-CN"/>
            </w:rPr>
            <w:fldChar w:fldCharType="separate"/>
          </w:r>
          <w:r>
            <w:rPr>
              <w:rFonts w:hint="default" w:ascii="Times New Roman" w:hAnsi="Times New Roman" w:eastAsia="宋体" w:cs="Times New Roman"/>
              <w:bCs/>
              <w:color w:val="auto"/>
              <w:kern w:val="2"/>
              <w:szCs w:val="30"/>
              <w:lang w:val="en-US" w:eastAsia="zh-CN" w:bidi="ar-SA"/>
            </w:rPr>
            <w:t>3.2 鉴定依据</w:t>
          </w:r>
          <w:r>
            <w:rPr>
              <w:color w:val="auto"/>
            </w:rPr>
            <w:tab/>
          </w:r>
          <w:r>
            <w:rPr>
              <w:color w:val="auto"/>
            </w:rPr>
            <w:fldChar w:fldCharType="begin"/>
          </w:r>
          <w:r>
            <w:rPr>
              <w:color w:val="auto"/>
            </w:rPr>
            <w:instrText xml:space="preserve"> PAGEREF _Toc28867 \h </w:instrText>
          </w:r>
          <w:r>
            <w:rPr>
              <w:color w:val="auto"/>
            </w:rPr>
            <w:fldChar w:fldCharType="separate"/>
          </w:r>
          <w:r>
            <w:rPr>
              <w:color w:val="auto"/>
            </w:rPr>
            <w:t>2</w:t>
          </w:r>
          <w:r>
            <w:rPr>
              <w:color w:val="auto"/>
            </w:rPr>
            <w:fldChar w:fldCharType="end"/>
          </w:r>
          <w:r>
            <w:rPr>
              <w:rFonts w:hint="default" w:ascii="Times New Roman" w:hAnsi="Times New Roman" w:eastAsia="宋体" w:cs="Times New Roman"/>
              <w:bCs/>
              <w:color w:val="auto"/>
              <w:szCs w:val="24"/>
              <w:lang w:val="zh-CN"/>
            </w:rPr>
            <w:fldChar w:fldCharType="end"/>
          </w:r>
        </w:p>
        <w:p w14:paraId="42DD8FC4">
          <w:pPr>
            <w:pStyle w:val="16"/>
            <w:pageBreakBefore w:val="0"/>
            <w:tabs>
              <w:tab w:val="right" w:leader="dot" w:pos="9354"/>
            </w:tabs>
            <w:kinsoku/>
            <w:wordWrap/>
            <w:overflowPunct/>
            <w:topLinePunct w:val="0"/>
            <w:autoSpaceDE/>
            <w:autoSpaceDN/>
            <w:bidi w:val="0"/>
            <w:adjustRightInd/>
            <w:snapToGrid/>
            <w:spacing w:line="360" w:lineRule="auto"/>
            <w:textAlignment w:val="auto"/>
            <w:rPr>
              <w:color w:val="auto"/>
            </w:rPr>
          </w:pPr>
          <w:r>
            <w:rPr>
              <w:rFonts w:hint="default" w:ascii="Times New Roman" w:hAnsi="Times New Roman" w:eastAsia="宋体" w:cs="Times New Roman"/>
              <w:bCs/>
              <w:color w:val="auto"/>
              <w:szCs w:val="24"/>
              <w:lang w:val="zh-CN"/>
            </w:rPr>
            <w:fldChar w:fldCharType="begin"/>
          </w:r>
          <w:r>
            <w:rPr>
              <w:rFonts w:hint="default" w:ascii="Times New Roman" w:hAnsi="Times New Roman" w:eastAsia="宋体" w:cs="Times New Roman"/>
              <w:bCs/>
              <w:color w:val="auto"/>
              <w:szCs w:val="24"/>
              <w:lang w:val="zh-CN"/>
            </w:rPr>
            <w:instrText xml:space="preserve"> HYPERLINK \l _Toc15795 </w:instrText>
          </w:r>
          <w:r>
            <w:rPr>
              <w:rFonts w:hint="default" w:ascii="Times New Roman" w:hAnsi="Times New Roman" w:eastAsia="宋体" w:cs="Times New Roman"/>
              <w:bCs/>
              <w:color w:val="auto"/>
              <w:szCs w:val="24"/>
              <w:lang w:val="zh-CN"/>
            </w:rPr>
            <w:fldChar w:fldCharType="separate"/>
          </w:r>
          <w:r>
            <w:rPr>
              <w:rFonts w:hint="default" w:ascii="Times New Roman" w:hAnsi="Times New Roman" w:eastAsia="宋体" w:cs="Times New Roman"/>
              <w:bCs/>
              <w:color w:val="auto"/>
              <w:kern w:val="2"/>
              <w:szCs w:val="30"/>
              <w:lang w:val="en-US" w:eastAsia="zh-CN" w:bidi="ar-SA"/>
            </w:rPr>
            <w:t>3.3 其他相关文件</w:t>
          </w:r>
          <w:r>
            <w:rPr>
              <w:color w:val="auto"/>
            </w:rPr>
            <w:tab/>
          </w:r>
          <w:r>
            <w:rPr>
              <w:color w:val="auto"/>
            </w:rPr>
            <w:fldChar w:fldCharType="begin"/>
          </w:r>
          <w:r>
            <w:rPr>
              <w:color w:val="auto"/>
            </w:rPr>
            <w:instrText xml:space="preserve"> PAGEREF _Toc15795 \h </w:instrText>
          </w:r>
          <w:r>
            <w:rPr>
              <w:color w:val="auto"/>
            </w:rPr>
            <w:fldChar w:fldCharType="separate"/>
          </w:r>
          <w:r>
            <w:rPr>
              <w:color w:val="auto"/>
            </w:rPr>
            <w:t>3</w:t>
          </w:r>
          <w:r>
            <w:rPr>
              <w:color w:val="auto"/>
            </w:rPr>
            <w:fldChar w:fldCharType="end"/>
          </w:r>
          <w:r>
            <w:rPr>
              <w:rFonts w:hint="default" w:ascii="Times New Roman" w:hAnsi="Times New Roman" w:eastAsia="宋体" w:cs="Times New Roman"/>
              <w:bCs/>
              <w:color w:val="auto"/>
              <w:szCs w:val="24"/>
              <w:lang w:val="zh-CN"/>
            </w:rPr>
            <w:fldChar w:fldCharType="end"/>
          </w:r>
        </w:p>
        <w:p w14:paraId="1130A93C">
          <w:pPr>
            <w:pStyle w:val="15"/>
            <w:pageBreakBefore w:val="0"/>
            <w:tabs>
              <w:tab w:val="right" w:leader="dot" w:pos="9354"/>
            </w:tabs>
            <w:kinsoku/>
            <w:wordWrap/>
            <w:overflowPunct/>
            <w:topLinePunct w:val="0"/>
            <w:autoSpaceDE/>
            <w:autoSpaceDN/>
            <w:bidi w:val="0"/>
            <w:adjustRightInd/>
            <w:snapToGrid/>
            <w:spacing w:line="360" w:lineRule="auto"/>
            <w:textAlignment w:val="auto"/>
            <w:rPr>
              <w:color w:val="auto"/>
            </w:rPr>
          </w:pPr>
          <w:r>
            <w:rPr>
              <w:rFonts w:hint="default" w:ascii="Times New Roman" w:hAnsi="Times New Roman" w:eastAsia="宋体" w:cs="Times New Roman"/>
              <w:bCs/>
              <w:color w:val="auto"/>
              <w:szCs w:val="24"/>
              <w:lang w:val="zh-CN"/>
            </w:rPr>
            <w:fldChar w:fldCharType="begin"/>
          </w:r>
          <w:r>
            <w:rPr>
              <w:rFonts w:hint="default" w:ascii="Times New Roman" w:hAnsi="Times New Roman" w:eastAsia="宋体" w:cs="Times New Roman"/>
              <w:bCs/>
              <w:color w:val="auto"/>
              <w:szCs w:val="24"/>
              <w:lang w:val="zh-CN"/>
            </w:rPr>
            <w:instrText xml:space="preserve"> HYPERLINK \l _Toc32347 </w:instrText>
          </w:r>
          <w:r>
            <w:rPr>
              <w:rFonts w:hint="default" w:ascii="Times New Roman" w:hAnsi="Times New Roman" w:eastAsia="宋体" w:cs="Times New Roman"/>
              <w:bCs/>
              <w:color w:val="auto"/>
              <w:szCs w:val="24"/>
              <w:lang w:val="zh-CN"/>
            </w:rPr>
            <w:fldChar w:fldCharType="separate"/>
          </w:r>
          <w:r>
            <w:rPr>
              <w:rFonts w:hint="default" w:ascii="Times New Roman" w:hAnsi="Times New Roman" w:eastAsia="宋体" w:cs="Times New Roman"/>
              <w:bCs/>
              <w:color w:val="auto"/>
              <w:kern w:val="44"/>
              <w:szCs w:val="44"/>
              <w:lang w:val="en-US" w:eastAsia="zh-CN" w:bidi="ar-SA"/>
            </w:rPr>
            <w:t>四、检测设备</w:t>
          </w:r>
          <w:r>
            <w:rPr>
              <w:color w:val="auto"/>
            </w:rPr>
            <w:tab/>
          </w:r>
          <w:r>
            <w:rPr>
              <w:color w:val="auto"/>
            </w:rPr>
            <w:fldChar w:fldCharType="begin"/>
          </w:r>
          <w:r>
            <w:rPr>
              <w:color w:val="auto"/>
            </w:rPr>
            <w:instrText xml:space="preserve"> PAGEREF _Toc32347 \h </w:instrText>
          </w:r>
          <w:r>
            <w:rPr>
              <w:color w:val="auto"/>
            </w:rPr>
            <w:fldChar w:fldCharType="separate"/>
          </w:r>
          <w:r>
            <w:rPr>
              <w:color w:val="auto"/>
            </w:rPr>
            <w:t>3</w:t>
          </w:r>
          <w:r>
            <w:rPr>
              <w:color w:val="auto"/>
            </w:rPr>
            <w:fldChar w:fldCharType="end"/>
          </w:r>
          <w:r>
            <w:rPr>
              <w:rFonts w:hint="default" w:ascii="Times New Roman" w:hAnsi="Times New Roman" w:eastAsia="宋体" w:cs="Times New Roman"/>
              <w:bCs/>
              <w:color w:val="auto"/>
              <w:szCs w:val="24"/>
              <w:lang w:val="zh-CN"/>
            </w:rPr>
            <w:fldChar w:fldCharType="end"/>
          </w:r>
        </w:p>
        <w:p w14:paraId="1C2421DD">
          <w:pPr>
            <w:pStyle w:val="15"/>
            <w:pageBreakBefore w:val="0"/>
            <w:tabs>
              <w:tab w:val="right" w:leader="dot" w:pos="9354"/>
            </w:tabs>
            <w:kinsoku/>
            <w:wordWrap/>
            <w:overflowPunct/>
            <w:topLinePunct w:val="0"/>
            <w:autoSpaceDE/>
            <w:autoSpaceDN/>
            <w:bidi w:val="0"/>
            <w:adjustRightInd/>
            <w:snapToGrid/>
            <w:spacing w:line="360" w:lineRule="auto"/>
            <w:textAlignment w:val="auto"/>
            <w:rPr>
              <w:color w:val="auto"/>
            </w:rPr>
          </w:pPr>
          <w:r>
            <w:rPr>
              <w:rFonts w:hint="default" w:ascii="Times New Roman" w:hAnsi="Times New Roman" w:eastAsia="宋体" w:cs="Times New Roman"/>
              <w:bCs/>
              <w:color w:val="auto"/>
              <w:szCs w:val="24"/>
              <w:lang w:val="zh-CN"/>
            </w:rPr>
            <w:fldChar w:fldCharType="begin"/>
          </w:r>
          <w:r>
            <w:rPr>
              <w:rFonts w:hint="default" w:ascii="Times New Roman" w:hAnsi="Times New Roman" w:eastAsia="宋体" w:cs="Times New Roman"/>
              <w:bCs/>
              <w:color w:val="auto"/>
              <w:szCs w:val="24"/>
              <w:lang w:val="zh-CN"/>
            </w:rPr>
            <w:instrText xml:space="preserve"> HYPERLINK \l _Toc3749 </w:instrText>
          </w:r>
          <w:r>
            <w:rPr>
              <w:rFonts w:hint="default" w:ascii="Times New Roman" w:hAnsi="Times New Roman" w:eastAsia="宋体" w:cs="Times New Roman"/>
              <w:bCs/>
              <w:color w:val="auto"/>
              <w:szCs w:val="24"/>
              <w:lang w:val="zh-CN"/>
            </w:rPr>
            <w:fldChar w:fldCharType="separate"/>
          </w:r>
          <w:r>
            <w:rPr>
              <w:rFonts w:hint="default" w:ascii="Times New Roman" w:hAnsi="Times New Roman" w:eastAsia="宋体" w:cs="Times New Roman"/>
              <w:bCs/>
              <w:color w:val="auto"/>
              <w:kern w:val="44"/>
              <w:szCs w:val="44"/>
              <w:lang w:val="en-US" w:eastAsia="zh-CN" w:bidi="ar-SA"/>
            </w:rPr>
            <w:t>五、现场检测结果</w:t>
          </w:r>
          <w:r>
            <w:rPr>
              <w:color w:val="auto"/>
            </w:rPr>
            <w:tab/>
          </w:r>
          <w:r>
            <w:rPr>
              <w:color w:val="auto"/>
            </w:rPr>
            <w:fldChar w:fldCharType="begin"/>
          </w:r>
          <w:r>
            <w:rPr>
              <w:color w:val="auto"/>
            </w:rPr>
            <w:instrText xml:space="preserve"> PAGEREF _Toc3749 \h </w:instrText>
          </w:r>
          <w:r>
            <w:rPr>
              <w:color w:val="auto"/>
            </w:rPr>
            <w:fldChar w:fldCharType="separate"/>
          </w:r>
          <w:r>
            <w:rPr>
              <w:color w:val="auto"/>
            </w:rPr>
            <w:t>3</w:t>
          </w:r>
          <w:r>
            <w:rPr>
              <w:color w:val="auto"/>
            </w:rPr>
            <w:fldChar w:fldCharType="end"/>
          </w:r>
          <w:r>
            <w:rPr>
              <w:rFonts w:hint="default" w:ascii="Times New Roman" w:hAnsi="Times New Roman" w:eastAsia="宋体" w:cs="Times New Roman"/>
              <w:bCs/>
              <w:color w:val="auto"/>
              <w:szCs w:val="24"/>
              <w:lang w:val="zh-CN"/>
            </w:rPr>
            <w:fldChar w:fldCharType="end"/>
          </w:r>
        </w:p>
        <w:p w14:paraId="3819CB12">
          <w:pPr>
            <w:pStyle w:val="16"/>
            <w:pageBreakBefore w:val="0"/>
            <w:tabs>
              <w:tab w:val="right" w:leader="dot" w:pos="9354"/>
            </w:tabs>
            <w:kinsoku/>
            <w:wordWrap/>
            <w:overflowPunct/>
            <w:topLinePunct w:val="0"/>
            <w:autoSpaceDE/>
            <w:autoSpaceDN/>
            <w:bidi w:val="0"/>
            <w:adjustRightInd/>
            <w:snapToGrid/>
            <w:spacing w:line="360" w:lineRule="auto"/>
            <w:textAlignment w:val="auto"/>
            <w:rPr>
              <w:color w:val="auto"/>
            </w:rPr>
          </w:pPr>
          <w:r>
            <w:rPr>
              <w:rFonts w:hint="default" w:ascii="Times New Roman" w:hAnsi="Times New Roman" w:eastAsia="宋体" w:cs="Times New Roman"/>
              <w:bCs/>
              <w:color w:val="auto"/>
              <w:szCs w:val="24"/>
              <w:lang w:val="zh-CN"/>
            </w:rPr>
            <w:fldChar w:fldCharType="begin"/>
          </w:r>
          <w:r>
            <w:rPr>
              <w:rFonts w:hint="default" w:ascii="Times New Roman" w:hAnsi="Times New Roman" w:eastAsia="宋体" w:cs="Times New Roman"/>
              <w:bCs/>
              <w:color w:val="auto"/>
              <w:szCs w:val="24"/>
              <w:lang w:val="zh-CN"/>
            </w:rPr>
            <w:instrText xml:space="preserve"> HYPERLINK \l _Toc19702 </w:instrText>
          </w:r>
          <w:r>
            <w:rPr>
              <w:rFonts w:hint="default" w:ascii="Times New Roman" w:hAnsi="Times New Roman" w:eastAsia="宋体" w:cs="Times New Roman"/>
              <w:bCs/>
              <w:color w:val="auto"/>
              <w:szCs w:val="24"/>
              <w:lang w:val="zh-CN"/>
            </w:rPr>
            <w:fldChar w:fldCharType="separate"/>
          </w:r>
          <w:r>
            <w:rPr>
              <w:rFonts w:hint="default" w:ascii="Times New Roman" w:hAnsi="Times New Roman" w:eastAsia="宋体" w:cs="Times New Roman"/>
              <w:bCs/>
              <w:color w:val="auto"/>
              <w:kern w:val="2"/>
              <w:szCs w:val="32"/>
              <w:lang w:val="en-US" w:eastAsia="zh-CN" w:bidi="ar-SA"/>
            </w:rPr>
            <w:t>5.1 建筑结构布置调查</w:t>
          </w:r>
          <w:r>
            <w:rPr>
              <w:color w:val="auto"/>
            </w:rPr>
            <w:tab/>
          </w:r>
          <w:r>
            <w:rPr>
              <w:color w:val="auto"/>
            </w:rPr>
            <w:fldChar w:fldCharType="begin"/>
          </w:r>
          <w:r>
            <w:rPr>
              <w:color w:val="auto"/>
            </w:rPr>
            <w:instrText xml:space="preserve"> PAGEREF _Toc19702 \h </w:instrText>
          </w:r>
          <w:r>
            <w:rPr>
              <w:color w:val="auto"/>
            </w:rPr>
            <w:fldChar w:fldCharType="separate"/>
          </w:r>
          <w:r>
            <w:rPr>
              <w:color w:val="auto"/>
            </w:rPr>
            <w:t>3</w:t>
          </w:r>
          <w:r>
            <w:rPr>
              <w:color w:val="auto"/>
            </w:rPr>
            <w:fldChar w:fldCharType="end"/>
          </w:r>
          <w:r>
            <w:rPr>
              <w:rFonts w:hint="default" w:ascii="Times New Roman" w:hAnsi="Times New Roman" w:eastAsia="宋体" w:cs="Times New Roman"/>
              <w:bCs/>
              <w:color w:val="auto"/>
              <w:szCs w:val="24"/>
              <w:lang w:val="zh-CN"/>
            </w:rPr>
            <w:fldChar w:fldCharType="end"/>
          </w:r>
        </w:p>
        <w:p w14:paraId="51F9DD5B">
          <w:pPr>
            <w:pStyle w:val="16"/>
            <w:pageBreakBefore w:val="0"/>
            <w:tabs>
              <w:tab w:val="right" w:leader="dot" w:pos="9354"/>
            </w:tabs>
            <w:kinsoku/>
            <w:wordWrap/>
            <w:overflowPunct/>
            <w:topLinePunct w:val="0"/>
            <w:autoSpaceDE/>
            <w:autoSpaceDN/>
            <w:bidi w:val="0"/>
            <w:adjustRightInd/>
            <w:snapToGrid/>
            <w:spacing w:line="360" w:lineRule="auto"/>
            <w:textAlignment w:val="auto"/>
            <w:rPr>
              <w:color w:val="auto"/>
            </w:rPr>
          </w:pPr>
          <w:r>
            <w:rPr>
              <w:rFonts w:hint="default" w:ascii="Times New Roman" w:hAnsi="Times New Roman" w:eastAsia="宋体" w:cs="Times New Roman"/>
              <w:bCs/>
              <w:color w:val="auto"/>
              <w:szCs w:val="24"/>
              <w:lang w:val="zh-CN"/>
            </w:rPr>
            <w:fldChar w:fldCharType="begin"/>
          </w:r>
          <w:r>
            <w:rPr>
              <w:rFonts w:hint="default" w:ascii="Times New Roman" w:hAnsi="Times New Roman" w:eastAsia="宋体" w:cs="Times New Roman"/>
              <w:bCs/>
              <w:color w:val="auto"/>
              <w:szCs w:val="24"/>
              <w:lang w:val="zh-CN"/>
            </w:rPr>
            <w:instrText xml:space="preserve"> HYPERLINK \l _Toc21161 </w:instrText>
          </w:r>
          <w:r>
            <w:rPr>
              <w:rFonts w:hint="default" w:ascii="Times New Roman" w:hAnsi="Times New Roman" w:eastAsia="宋体" w:cs="Times New Roman"/>
              <w:bCs/>
              <w:color w:val="auto"/>
              <w:szCs w:val="24"/>
              <w:lang w:val="zh-CN"/>
            </w:rPr>
            <w:fldChar w:fldCharType="separate"/>
          </w:r>
          <w:r>
            <w:rPr>
              <w:rFonts w:hint="default" w:ascii="Times New Roman" w:hAnsi="Times New Roman" w:eastAsia="宋体" w:cs="Times New Roman"/>
              <w:bCs/>
              <w:color w:val="auto"/>
              <w:kern w:val="2"/>
              <w:szCs w:val="30"/>
              <w:lang w:val="en-US" w:eastAsia="zh-CN" w:bidi="ar-SA"/>
            </w:rPr>
            <w:t>5.2</w:t>
          </w:r>
          <w:r>
            <w:rPr>
              <w:rFonts w:hint="default" w:ascii="Times New Roman" w:hAnsi="Times New Roman" w:eastAsia="宋体" w:cs="Times New Roman"/>
              <w:bCs/>
              <w:color w:val="auto"/>
              <w:kern w:val="2"/>
              <w:szCs w:val="32"/>
              <w:lang w:val="en-US" w:eastAsia="zh-CN" w:bidi="ar-SA"/>
            </w:rPr>
            <w:t xml:space="preserve"> 建筑轴网及主要钢构件尺寸复核</w:t>
          </w:r>
          <w:r>
            <w:rPr>
              <w:color w:val="auto"/>
            </w:rPr>
            <w:tab/>
          </w:r>
          <w:r>
            <w:rPr>
              <w:color w:val="auto"/>
            </w:rPr>
            <w:fldChar w:fldCharType="begin"/>
          </w:r>
          <w:r>
            <w:rPr>
              <w:color w:val="auto"/>
            </w:rPr>
            <w:instrText xml:space="preserve"> PAGEREF _Toc21161 \h </w:instrText>
          </w:r>
          <w:r>
            <w:rPr>
              <w:color w:val="auto"/>
            </w:rPr>
            <w:fldChar w:fldCharType="separate"/>
          </w:r>
          <w:r>
            <w:rPr>
              <w:color w:val="auto"/>
            </w:rPr>
            <w:t>4</w:t>
          </w:r>
          <w:r>
            <w:rPr>
              <w:color w:val="auto"/>
            </w:rPr>
            <w:fldChar w:fldCharType="end"/>
          </w:r>
          <w:r>
            <w:rPr>
              <w:rFonts w:hint="default" w:ascii="Times New Roman" w:hAnsi="Times New Roman" w:eastAsia="宋体" w:cs="Times New Roman"/>
              <w:bCs/>
              <w:color w:val="auto"/>
              <w:szCs w:val="24"/>
              <w:lang w:val="zh-CN"/>
            </w:rPr>
            <w:fldChar w:fldCharType="end"/>
          </w:r>
        </w:p>
        <w:p w14:paraId="34530126">
          <w:pPr>
            <w:pStyle w:val="16"/>
            <w:pageBreakBefore w:val="0"/>
            <w:tabs>
              <w:tab w:val="right" w:leader="dot" w:pos="9354"/>
            </w:tabs>
            <w:kinsoku/>
            <w:wordWrap/>
            <w:overflowPunct/>
            <w:topLinePunct w:val="0"/>
            <w:autoSpaceDE/>
            <w:autoSpaceDN/>
            <w:bidi w:val="0"/>
            <w:adjustRightInd/>
            <w:snapToGrid/>
            <w:spacing w:line="360" w:lineRule="auto"/>
            <w:textAlignment w:val="auto"/>
            <w:rPr>
              <w:color w:val="auto"/>
            </w:rPr>
          </w:pPr>
          <w:r>
            <w:rPr>
              <w:rFonts w:hint="default" w:ascii="Times New Roman" w:hAnsi="Times New Roman" w:eastAsia="宋体" w:cs="Times New Roman"/>
              <w:bCs/>
              <w:color w:val="auto"/>
              <w:szCs w:val="24"/>
              <w:lang w:val="zh-CN"/>
            </w:rPr>
            <w:fldChar w:fldCharType="begin"/>
          </w:r>
          <w:r>
            <w:rPr>
              <w:rFonts w:hint="default" w:ascii="Times New Roman" w:hAnsi="Times New Roman" w:eastAsia="宋体" w:cs="Times New Roman"/>
              <w:bCs/>
              <w:color w:val="auto"/>
              <w:szCs w:val="24"/>
              <w:lang w:val="zh-CN"/>
            </w:rPr>
            <w:instrText xml:space="preserve"> HYPERLINK \l _Toc5389 </w:instrText>
          </w:r>
          <w:r>
            <w:rPr>
              <w:rFonts w:hint="default" w:ascii="Times New Roman" w:hAnsi="Times New Roman" w:eastAsia="宋体" w:cs="Times New Roman"/>
              <w:bCs/>
              <w:color w:val="auto"/>
              <w:szCs w:val="24"/>
              <w:lang w:val="zh-CN"/>
            </w:rPr>
            <w:fldChar w:fldCharType="separate"/>
          </w:r>
          <w:r>
            <w:rPr>
              <w:rFonts w:hint="default" w:ascii="Times New Roman" w:hAnsi="Times New Roman" w:eastAsia="宋体" w:cs="Times New Roman"/>
              <w:bCs/>
              <w:color w:val="auto"/>
              <w:kern w:val="2"/>
              <w:szCs w:val="32"/>
              <w:lang w:val="en-US" w:eastAsia="zh-CN" w:bidi="ar-SA"/>
            </w:rPr>
            <w:t>5.3 建筑结构损伤及外观缺陷普查</w:t>
          </w:r>
          <w:r>
            <w:rPr>
              <w:color w:val="auto"/>
            </w:rPr>
            <w:tab/>
          </w:r>
          <w:r>
            <w:rPr>
              <w:color w:val="auto"/>
            </w:rPr>
            <w:fldChar w:fldCharType="begin"/>
          </w:r>
          <w:r>
            <w:rPr>
              <w:color w:val="auto"/>
            </w:rPr>
            <w:instrText xml:space="preserve"> PAGEREF _Toc5389 \h </w:instrText>
          </w:r>
          <w:r>
            <w:rPr>
              <w:color w:val="auto"/>
            </w:rPr>
            <w:fldChar w:fldCharType="separate"/>
          </w:r>
          <w:r>
            <w:rPr>
              <w:color w:val="auto"/>
            </w:rPr>
            <w:t>6</w:t>
          </w:r>
          <w:r>
            <w:rPr>
              <w:color w:val="auto"/>
            </w:rPr>
            <w:fldChar w:fldCharType="end"/>
          </w:r>
          <w:r>
            <w:rPr>
              <w:rFonts w:hint="default" w:ascii="Times New Roman" w:hAnsi="Times New Roman" w:eastAsia="宋体" w:cs="Times New Roman"/>
              <w:bCs/>
              <w:color w:val="auto"/>
              <w:szCs w:val="24"/>
              <w:lang w:val="zh-CN"/>
            </w:rPr>
            <w:fldChar w:fldCharType="end"/>
          </w:r>
        </w:p>
        <w:p w14:paraId="66ADB368">
          <w:pPr>
            <w:pStyle w:val="16"/>
            <w:pageBreakBefore w:val="0"/>
            <w:tabs>
              <w:tab w:val="right" w:leader="dot" w:pos="9354"/>
            </w:tabs>
            <w:kinsoku/>
            <w:wordWrap/>
            <w:overflowPunct/>
            <w:topLinePunct w:val="0"/>
            <w:autoSpaceDE/>
            <w:autoSpaceDN/>
            <w:bidi w:val="0"/>
            <w:adjustRightInd/>
            <w:snapToGrid/>
            <w:spacing w:line="360" w:lineRule="auto"/>
            <w:textAlignment w:val="auto"/>
            <w:rPr>
              <w:color w:val="auto"/>
            </w:rPr>
          </w:pPr>
          <w:r>
            <w:rPr>
              <w:rFonts w:hint="default" w:ascii="Times New Roman" w:hAnsi="Times New Roman" w:eastAsia="宋体" w:cs="Times New Roman"/>
              <w:bCs/>
              <w:color w:val="auto"/>
              <w:szCs w:val="24"/>
              <w:lang w:val="zh-CN"/>
            </w:rPr>
            <w:fldChar w:fldCharType="begin"/>
          </w:r>
          <w:r>
            <w:rPr>
              <w:rFonts w:hint="default" w:ascii="Times New Roman" w:hAnsi="Times New Roman" w:eastAsia="宋体" w:cs="Times New Roman"/>
              <w:bCs/>
              <w:color w:val="auto"/>
              <w:szCs w:val="24"/>
              <w:lang w:val="zh-CN"/>
            </w:rPr>
            <w:instrText xml:space="preserve"> HYPERLINK \l _Toc21275 </w:instrText>
          </w:r>
          <w:r>
            <w:rPr>
              <w:rFonts w:hint="default" w:ascii="Times New Roman" w:hAnsi="Times New Roman" w:eastAsia="宋体" w:cs="Times New Roman"/>
              <w:bCs/>
              <w:color w:val="auto"/>
              <w:szCs w:val="24"/>
              <w:lang w:val="zh-CN"/>
            </w:rPr>
            <w:fldChar w:fldCharType="separate"/>
          </w:r>
          <w:r>
            <w:rPr>
              <w:rFonts w:hint="default" w:ascii="Times New Roman" w:hAnsi="Times New Roman" w:eastAsia="宋体" w:cs="Times New Roman"/>
              <w:bCs/>
              <w:color w:val="auto"/>
              <w:kern w:val="2"/>
              <w:szCs w:val="32"/>
              <w:lang w:val="en-US" w:eastAsia="zh-CN" w:bidi="ar-SA"/>
            </w:rPr>
            <w:t>5.4 防腐涂层厚度检测</w:t>
          </w:r>
          <w:r>
            <w:rPr>
              <w:color w:val="auto"/>
            </w:rPr>
            <w:tab/>
          </w:r>
          <w:r>
            <w:rPr>
              <w:color w:val="auto"/>
            </w:rPr>
            <w:fldChar w:fldCharType="begin"/>
          </w:r>
          <w:r>
            <w:rPr>
              <w:color w:val="auto"/>
            </w:rPr>
            <w:instrText xml:space="preserve"> PAGEREF _Toc21275 \h </w:instrText>
          </w:r>
          <w:r>
            <w:rPr>
              <w:color w:val="auto"/>
            </w:rPr>
            <w:fldChar w:fldCharType="separate"/>
          </w:r>
          <w:r>
            <w:rPr>
              <w:color w:val="auto"/>
            </w:rPr>
            <w:t>7</w:t>
          </w:r>
          <w:r>
            <w:rPr>
              <w:color w:val="auto"/>
            </w:rPr>
            <w:fldChar w:fldCharType="end"/>
          </w:r>
          <w:r>
            <w:rPr>
              <w:rFonts w:hint="default" w:ascii="Times New Roman" w:hAnsi="Times New Roman" w:eastAsia="宋体" w:cs="Times New Roman"/>
              <w:bCs/>
              <w:color w:val="auto"/>
              <w:szCs w:val="24"/>
              <w:lang w:val="zh-CN"/>
            </w:rPr>
            <w:fldChar w:fldCharType="end"/>
          </w:r>
        </w:p>
        <w:p w14:paraId="685FBC8A">
          <w:pPr>
            <w:pStyle w:val="16"/>
            <w:pageBreakBefore w:val="0"/>
            <w:tabs>
              <w:tab w:val="right" w:leader="dot" w:pos="9354"/>
            </w:tabs>
            <w:kinsoku/>
            <w:wordWrap/>
            <w:overflowPunct/>
            <w:topLinePunct w:val="0"/>
            <w:autoSpaceDE/>
            <w:autoSpaceDN/>
            <w:bidi w:val="0"/>
            <w:adjustRightInd/>
            <w:snapToGrid/>
            <w:spacing w:line="360" w:lineRule="auto"/>
            <w:textAlignment w:val="auto"/>
            <w:rPr>
              <w:color w:val="auto"/>
            </w:rPr>
          </w:pPr>
          <w:r>
            <w:rPr>
              <w:rFonts w:hint="default" w:ascii="Times New Roman" w:hAnsi="Times New Roman" w:eastAsia="宋体" w:cs="Times New Roman"/>
              <w:bCs/>
              <w:color w:val="auto"/>
              <w:szCs w:val="24"/>
              <w:lang w:val="zh-CN"/>
            </w:rPr>
            <w:fldChar w:fldCharType="begin"/>
          </w:r>
          <w:r>
            <w:rPr>
              <w:rFonts w:hint="default" w:ascii="Times New Roman" w:hAnsi="Times New Roman" w:eastAsia="宋体" w:cs="Times New Roman"/>
              <w:bCs/>
              <w:color w:val="auto"/>
              <w:szCs w:val="24"/>
              <w:lang w:val="zh-CN"/>
            </w:rPr>
            <w:instrText xml:space="preserve"> HYPERLINK \l _Toc18992 </w:instrText>
          </w:r>
          <w:r>
            <w:rPr>
              <w:rFonts w:hint="default" w:ascii="Times New Roman" w:hAnsi="Times New Roman" w:eastAsia="宋体" w:cs="Times New Roman"/>
              <w:bCs/>
              <w:color w:val="auto"/>
              <w:szCs w:val="24"/>
              <w:lang w:val="zh-CN"/>
            </w:rPr>
            <w:fldChar w:fldCharType="separate"/>
          </w:r>
          <w:r>
            <w:rPr>
              <w:rFonts w:hint="default" w:ascii="Times New Roman" w:hAnsi="Times New Roman" w:eastAsia="宋体" w:cs="Times New Roman"/>
              <w:bCs/>
              <w:color w:val="auto"/>
              <w:kern w:val="2"/>
              <w:szCs w:val="32"/>
              <w:lang w:val="en-US" w:eastAsia="zh-CN" w:bidi="ar-SA"/>
            </w:rPr>
            <w:t>5.5 钢材里氏硬度检测</w:t>
          </w:r>
          <w:r>
            <w:rPr>
              <w:color w:val="auto"/>
            </w:rPr>
            <w:tab/>
          </w:r>
          <w:r>
            <w:rPr>
              <w:color w:val="auto"/>
            </w:rPr>
            <w:fldChar w:fldCharType="begin"/>
          </w:r>
          <w:r>
            <w:rPr>
              <w:color w:val="auto"/>
            </w:rPr>
            <w:instrText xml:space="preserve"> PAGEREF _Toc18992 \h </w:instrText>
          </w:r>
          <w:r>
            <w:rPr>
              <w:color w:val="auto"/>
            </w:rPr>
            <w:fldChar w:fldCharType="separate"/>
          </w:r>
          <w:r>
            <w:rPr>
              <w:color w:val="auto"/>
            </w:rPr>
            <w:t>8</w:t>
          </w:r>
          <w:r>
            <w:rPr>
              <w:color w:val="auto"/>
            </w:rPr>
            <w:fldChar w:fldCharType="end"/>
          </w:r>
          <w:r>
            <w:rPr>
              <w:rFonts w:hint="default" w:ascii="Times New Roman" w:hAnsi="Times New Roman" w:eastAsia="宋体" w:cs="Times New Roman"/>
              <w:bCs/>
              <w:color w:val="auto"/>
              <w:szCs w:val="24"/>
              <w:lang w:val="zh-CN"/>
            </w:rPr>
            <w:fldChar w:fldCharType="end"/>
          </w:r>
        </w:p>
        <w:p w14:paraId="59E3014E">
          <w:pPr>
            <w:pStyle w:val="16"/>
            <w:pageBreakBefore w:val="0"/>
            <w:tabs>
              <w:tab w:val="right" w:leader="dot" w:pos="9354"/>
            </w:tabs>
            <w:kinsoku/>
            <w:wordWrap/>
            <w:overflowPunct/>
            <w:topLinePunct w:val="0"/>
            <w:autoSpaceDE/>
            <w:autoSpaceDN/>
            <w:bidi w:val="0"/>
            <w:adjustRightInd/>
            <w:snapToGrid/>
            <w:spacing w:line="360" w:lineRule="auto"/>
            <w:textAlignment w:val="auto"/>
            <w:rPr>
              <w:color w:val="auto"/>
            </w:rPr>
          </w:pPr>
          <w:r>
            <w:rPr>
              <w:rFonts w:hint="default" w:ascii="Times New Roman" w:hAnsi="Times New Roman" w:eastAsia="宋体" w:cs="Times New Roman"/>
              <w:bCs/>
              <w:color w:val="auto"/>
              <w:szCs w:val="24"/>
              <w:lang w:val="zh-CN"/>
            </w:rPr>
            <w:fldChar w:fldCharType="begin"/>
          </w:r>
          <w:r>
            <w:rPr>
              <w:rFonts w:hint="default" w:ascii="Times New Roman" w:hAnsi="Times New Roman" w:eastAsia="宋体" w:cs="Times New Roman"/>
              <w:bCs/>
              <w:color w:val="auto"/>
              <w:szCs w:val="24"/>
              <w:lang w:val="zh-CN"/>
            </w:rPr>
            <w:instrText xml:space="preserve"> HYPERLINK \l _Toc20070 </w:instrText>
          </w:r>
          <w:r>
            <w:rPr>
              <w:rFonts w:hint="default" w:ascii="Times New Roman" w:hAnsi="Times New Roman" w:eastAsia="宋体" w:cs="Times New Roman"/>
              <w:bCs/>
              <w:color w:val="auto"/>
              <w:szCs w:val="24"/>
              <w:lang w:val="zh-CN"/>
            </w:rPr>
            <w:fldChar w:fldCharType="separate"/>
          </w:r>
          <w:r>
            <w:rPr>
              <w:rFonts w:hint="default" w:ascii="Times New Roman" w:hAnsi="Times New Roman" w:eastAsia="宋体" w:cs="Times New Roman"/>
              <w:bCs/>
              <w:color w:val="auto"/>
              <w:kern w:val="2"/>
              <w:szCs w:val="32"/>
              <w:lang w:val="en-US" w:eastAsia="zh-CN" w:bidi="ar-SA"/>
            </w:rPr>
            <w:t>5.6 钢柱垂直度检测</w:t>
          </w:r>
          <w:r>
            <w:rPr>
              <w:color w:val="auto"/>
            </w:rPr>
            <w:tab/>
          </w:r>
          <w:r>
            <w:rPr>
              <w:color w:val="auto"/>
            </w:rPr>
            <w:fldChar w:fldCharType="begin"/>
          </w:r>
          <w:r>
            <w:rPr>
              <w:color w:val="auto"/>
            </w:rPr>
            <w:instrText xml:space="preserve"> PAGEREF _Toc20070 \h </w:instrText>
          </w:r>
          <w:r>
            <w:rPr>
              <w:color w:val="auto"/>
            </w:rPr>
            <w:fldChar w:fldCharType="separate"/>
          </w:r>
          <w:r>
            <w:rPr>
              <w:color w:val="auto"/>
            </w:rPr>
            <w:t>11</w:t>
          </w:r>
          <w:r>
            <w:rPr>
              <w:color w:val="auto"/>
            </w:rPr>
            <w:fldChar w:fldCharType="end"/>
          </w:r>
          <w:r>
            <w:rPr>
              <w:rFonts w:hint="default" w:ascii="Times New Roman" w:hAnsi="Times New Roman" w:eastAsia="宋体" w:cs="Times New Roman"/>
              <w:bCs/>
              <w:color w:val="auto"/>
              <w:szCs w:val="24"/>
              <w:lang w:val="zh-CN"/>
            </w:rPr>
            <w:fldChar w:fldCharType="end"/>
          </w:r>
        </w:p>
        <w:p w14:paraId="09E67736">
          <w:pPr>
            <w:pStyle w:val="16"/>
            <w:pageBreakBefore w:val="0"/>
            <w:tabs>
              <w:tab w:val="right" w:leader="dot" w:pos="9354"/>
            </w:tabs>
            <w:kinsoku/>
            <w:wordWrap/>
            <w:overflowPunct/>
            <w:topLinePunct w:val="0"/>
            <w:autoSpaceDE/>
            <w:autoSpaceDN/>
            <w:bidi w:val="0"/>
            <w:adjustRightInd/>
            <w:snapToGrid/>
            <w:spacing w:line="360" w:lineRule="auto"/>
            <w:textAlignment w:val="auto"/>
            <w:rPr>
              <w:color w:val="auto"/>
            </w:rPr>
          </w:pPr>
          <w:r>
            <w:rPr>
              <w:rFonts w:hint="default" w:ascii="Times New Roman" w:hAnsi="Times New Roman" w:eastAsia="宋体" w:cs="Times New Roman"/>
              <w:bCs/>
              <w:color w:val="auto"/>
              <w:szCs w:val="24"/>
              <w:lang w:val="zh-CN"/>
            </w:rPr>
            <w:fldChar w:fldCharType="begin"/>
          </w:r>
          <w:r>
            <w:rPr>
              <w:rFonts w:hint="default" w:ascii="Times New Roman" w:hAnsi="Times New Roman" w:eastAsia="宋体" w:cs="Times New Roman"/>
              <w:bCs/>
              <w:color w:val="auto"/>
              <w:szCs w:val="24"/>
              <w:lang w:val="zh-CN"/>
            </w:rPr>
            <w:instrText xml:space="preserve"> HYPERLINK \l _Toc19919 </w:instrText>
          </w:r>
          <w:r>
            <w:rPr>
              <w:rFonts w:hint="default" w:ascii="Times New Roman" w:hAnsi="Times New Roman" w:eastAsia="宋体" w:cs="Times New Roman"/>
              <w:bCs/>
              <w:color w:val="auto"/>
              <w:szCs w:val="24"/>
              <w:lang w:val="zh-CN"/>
            </w:rPr>
            <w:fldChar w:fldCharType="separate"/>
          </w:r>
          <w:r>
            <w:rPr>
              <w:rFonts w:hint="default" w:ascii="Times New Roman" w:hAnsi="Times New Roman" w:eastAsia="宋体" w:cs="Times New Roman"/>
              <w:bCs/>
              <w:color w:val="auto"/>
              <w:kern w:val="2"/>
              <w:szCs w:val="32"/>
              <w:lang w:val="en-US" w:eastAsia="zh-CN" w:bidi="ar-SA"/>
            </w:rPr>
            <w:t>5.7 钢梁挠度测量</w:t>
          </w:r>
          <w:r>
            <w:rPr>
              <w:color w:val="auto"/>
            </w:rPr>
            <w:tab/>
          </w:r>
          <w:r>
            <w:rPr>
              <w:color w:val="auto"/>
            </w:rPr>
            <w:fldChar w:fldCharType="begin"/>
          </w:r>
          <w:r>
            <w:rPr>
              <w:color w:val="auto"/>
            </w:rPr>
            <w:instrText xml:space="preserve"> PAGEREF _Toc19919 \h </w:instrText>
          </w:r>
          <w:r>
            <w:rPr>
              <w:color w:val="auto"/>
            </w:rPr>
            <w:fldChar w:fldCharType="separate"/>
          </w:r>
          <w:r>
            <w:rPr>
              <w:color w:val="auto"/>
            </w:rPr>
            <w:t>11</w:t>
          </w:r>
          <w:r>
            <w:rPr>
              <w:color w:val="auto"/>
            </w:rPr>
            <w:fldChar w:fldCharType="end"/>
          </w:r>
          <w:r>
            <w:rPr>
              <w:rFonts w:hint="default" w:ascii="Times New Roman" w:hAnsi="Times New Roman" w:eastAsia="宋体" w:cs="Times New Roman"/>
              <w:bCs/>
              <w:color w:val="auto"/>
              <w:szCs w:val="24"/>
              <w:lang w:val="zh-CN"/>
            </w:rPr>
            <w:fldChar w:fldCharType="end"/>
          </w:r>
        </w:p>
        <w:p w14:paraId="7C3CC582">
          <w:pPr>
            <w:pStyle w:val="16"/>
            <w:pageBreakBefore w:val="0"/>
            <w:tabs>
              <w:tab w:val="right" w:leader="dot" w:pos="9354"/>
            </w:tabs>
            <w:kinsoku/>
            <w:wordWrap/>
            <w:overflowPunct/>
            <w:topLinePunct w:val="0"/>
            <w:autoSpaceDE/>
            <w:autoSpaceDN/>
            <w:bidi w:val="0"/>
            <w:adjustRightInd/>
            <w:snapToGrid/>
            <w:spacing w:line="360" w:lineRule="auto"/>
            <w:textAlignment w:val="auto"/>
            <w:rPr>
              <w:color w:val="auto"/>
            </w:rPr>
          </w:pPr>
          <w:r>
            <w:rPr>
              <w:rFonts w:hint="default" w:ascii="Times New Roman" w:hAnsi="Times New Roman" w:eastAsia="宋体" w:cs="Times New Roman"/>
              <w:bCs/>
              <w:color w:val="auto"/>
              <w:szCs w:val="24"/>
              <w:lang w:val="zh-CN"/>
            </w:rPr>
            <w:fldChar w:fldCharType="begin"/>
          </w:r>
          <w:r>
            <w:rPr>
              <w:rFonts w:hint="default" w:ascii="Times New Roman" w:hAnsi="Times New Roman" w:eastAsia="宋体" w:cs="Times New Roman"/>
              <w:bCs/>
              <w:color w:val="auto"/>
              <w:szCs w:val="24"/>
              <w:lang w:val="zh-CN"/>
            </w:rPr>
            <w:instrText xml:space="preserve"> HYPERLINK \l _Toc4647 </w:instrText>
          </w:r>
          <w:r>
            <w:rPr>
              <w:rFonts w:hint="default" w:ascii="Times New Roman" w:hAnsi="Times New Roman" w:eastAsia="宋体" w:cs="Times New Roman"/>
              <w:bCs/>
              <w:color w:val="auto"/>
              <w:szCs w:val="24"/>
              <w:lang w:val="zh-CN"/>
            </w:rPr>
            <w:fldChar w:fldCharType="separate"/>
          </w:r>
          <w:r>
            <w:rPr>
              <w:rFonts w:hint="default" w:ascii="Times New Roman" w:hAnsi="Times New Roman" w:eastAsia="宋体" w:cs="Times New Roman"/>
              <w:bCs/>
              <w:color w:val="auto"/>
              <w:kern w:val="2"/>
              <w:szCs w:val="32"/>
              <w:lang w:val="en-US" w:eastAsia="zh-CN" w:bidi="ar-SA"/>
            </w:rPr>
            <w:t>5.8 结构承载力验算</w:t>
          </w:r>
          <w:r>
            <w:rPr>
              <w:color w:val="auto"/>
            </w:rPr>
            <w:tab/>
          </w:r>
          <w:r>
            <w:rPr>
              <w:color w:val="auto"/>
            </w:rPr>
            <w:fldChar w:fldCharType="begin"/>
          </w:r>
          <w:r>
            <w:rPr>
              <w:color w:val="auto"/>
            </w:rPr>
            <w:instrText xml:space="preserve"> PAGEREF _Toc4647 \h </w:instrText>
          </w:r>
          <w:r>
            <w:rPr>
              <w:color w:val="auto"/>
            </w:rPr>
            <w:fldChar w:fldCharType="separate"/>
          </w:r>
          <w:r>
            <w:rPr>
              <w:color w:val="auto"/>
            </w:rPr>
            <w:t>12</w:t>
          </w:r>
          <w:r>
            <w:rPr>
              <w:color w:val="auto"/>
            </w:rPr>
            <w:fldChar w:fldCharType="end"/>
          </w:r>
          <w:r>
            <w:rPr>
              <w:rFonts w:hint="default" w:ascii="Times New Roman" w:hAnsi="Times New Roman" w:eastAsia="宋体" w:cs="Times New Roman"/>
              <w:bCs/>
              <w:color w:val="auto"/>
              <w:szCs w:val="24"/>
              <w:lang w:val="zh-CN"/>
            </w:rPr>
            <w:fldChar w:fldCharType="end"/>
          </w:r>
        </w:p>
        <w:p w14:paraId="29080012">
          <w:pPr>
            <w:pStyle w:val="15"/>
            <w:pageBreakBefore w:val="0"/>
            <w:tabs>
              <w:tab w:val="right" w:leader="dot" w:pos="9354"/>
            </w:tabs>
            <w:kinsoku/>
            <w:wordWrap/>
            <w:overflowPunct/>
            <w:topLinePunct w:val="0"/>
            <w:autoSpaceDE/>
            <w:autoSpaceDN/>
            <w:bidi w:val="0"/>
            <w:adjustRightInd/>
            <w:snapToGrid/>
            <w:spacing w:line="360" w:lineRule="auto"/>
            <w:textAlignment w:val="auto"/>
            <w:rPr>
              <w:color w:val="auto"/>
            </w:rPr>
          </w:pPr>
          <w:r>
            <w:rPr>
              <w:rFonts w:hint="default" w:ascii="Times New Roman" w:hAnsi="Times New Roman" w:eastAsia="宋体" w:cs="Times New Roman"/>
              <w:bCs/>
              <w:color w:val="auto"/>
              <w:szCs w:val="24"/>
              <w:lang w:val="zh-CN"/>
            </w:rPr>
            <w:fldChar w:fldCharType="begin"/>
          </w:r>
          <w:r>
            <w:rPr>
              <w:rFonts w:hint="default" w:ascii="Times New Roman" w:hAnsi="Times New Roman" w:eastAsia="宋体" w:cs="Times New Roman"/>
              <w:bCs/>
              <w:color w:val="auto"/>
              <w:szCs w:val="24"/>
              <w:lang w:val="zh-CN"/>
            </w:rPr>
            <w:instrText xml:space="preserve"> HYPERLINK \l _Toc2392 </w:instrText>
          </w:r>
          <w:r>
            <w:rPr>
              <w:rFonts w:hint="default" w:ascii="Times New Roman" w:hAnsi="Times New Roman" w:eastAsia="宋体" w:cs="Times New Roman"/>
              <w:bCs/>
              <w:color w:val="auto"/>
              <w:szCs w:val="24"/>
              <w:lang w:val="zh-CN"/>
            </w:rPr>
            <w:fldChar w:fldCharType="separate"/>
          </w:r>
          <w:r>
            <w:rPr>
              <w:rFonts w:hint="default" w:ascii="Times New Roman" w:hAnsi="Times New Roman" w:eastAsia="宋体" w:cs="Times New Roman"/>
              <w:bCs/>
              <w:color w:val="auto"/>
              <w:kern w:val="44"/>
              <w:szCs w:val="44"/>
              <w:lang w:val="en-US" w:eastAsia="zh-CN" w:bidi="ar-SA"/>
            </w:rPr>
            <w:t>六、结构可靠性鉴定</w:t>
          </w:r>
          <w:r>
            <w:rPr>
              <w:color w:val="auto"/>
            </w:rPr>
            <w:tab/>
          </w:r>
          <w:r>
            <w:rPr>
              <w:color w:val="auto"/>
            </w:rPr>
            <w:fldChar w:fldCharType="begin"/>
          </w:r>
          <w:r>
            <w:rPr>
              <w:color w:val="auto"/>
            </w:rPr>
            <w:instrText xml:space="preserve"> PAGEREF _Toc2392 \h </w:instrText>
          </w:r>
          <w:r>
            <w:rPr>
              <w:color w:val="auto"/>
            </w:rPr>
            <w:fldChar w:fldCharType="separate"/>
          </w:r>
          <w:r>
            <w:rPr>
              <w:color w:val="auto"/>
            </w:rPr>
            <w:t>14</w:t>
          </w:r>
          <w:r>
            <w:rPr>
              <w:color w:val="auto"/>
            </w:rPr>
            <w:fldChar w:fldCharType="end"/>
          </w:r>
          <w:r>
            <w:rPr>
              <w:rFonts w:hint="default" w:ascii="Times New Roman" w:hAnsi="Times New Roman" w:eastAsia="宋体" w:cs="Times New Roman"/>
              <w:bCs/>
              <w:color w:val="auto"/>
              <w:szCs w:val="24"/>
              <w:lang w:val="zh-CN"/>
            </w:rPr>
            <w:fldChar w:fldCharType="end"/>
          </w:r>
        </w:p>
        <w:p w14:paraId="3E6AE920">
          <w:pPr>
            <w:pStyle w:val="16"/>
            <w:pageBreakBefore w:val="0"/>
            <w:tabs>
              <w:tab w:val="right" w:leader="dot" w:pos="9354"/>
            </w:tabs>
            <w:kinsoku/>
            <w:wordWrap/>
            <w:overflowPunct/>
            <w:topLinePunct w:val="0"/>
            <w:autoSpaceDE/>
            <w:autoSpaceDN/>
            <w:bidi w:val="0"/>
            <w:adjustRightInd/>
            <w:snapToGrid/>
            <w:spacing w:line="360" w:lineRule="auto"/>
            <w:textAlignment w:val="auto"/>
            <w:rPr>
              <w:color w:val="auto"/>
            </w:rPr>
          </w:pPr>
          <w:r>
            <w:rPr>
              <w:rFonts w:hint="default" w:ascii="Times New Roman" w:hAnsi="Times New Roman" w:eastAsia="宋体" w:cs="Times New Roman"/>
              <w:bCs/>
              <w:color w:val="auto"/>
              <w:szCs w:val="24"/>
              <w:lang w:val="zh-CN"/>
            </w:rPr>
            <w:fldChar w:fldCharType="begin"/>
          </w:r>
          <w:r>
            <w:rPr>
              <w:rFonts w:hint="default" w:ascii="Times New Roman" w:hAnsi="Times New Roman" w:eastAsia="宋体" w:cs="Times New Roman"/>
              <w:bCs/>
              <w:color w:val="auto"/>
              <w:szCs w:val="24"/>
              <w:lang w:val="zh-CN"/>
            </w:rPr>
            <w:instrText xml:space="preserve"> HYPERLINK \l _Toc29514 </w:instrText>
          </w:r>
          <w:r>
            <w:rPr>
              <w:rFonts w:hint="default" w:ascii="Times New Roman" w:hAnsi="Times New Roman" w:eastAsia="宋体" w:cs="Times New Roman"/>
              <w:bCs/>
              <w:color w:val="auto"/>
              <w:szCs w:val="24"/>
              <w:lang w:val="zh-CN"/>
            </w:rPr>
            <w:fldChar w:fldCharType="separate"/>
          </w:r>
          <w:r>
            <w:rPr>
              <w:rFonts w:hint="default" w:ascii="Times New Roman" w:hAnsi="Times New Roman" w:eastAsia="宋体" w:cs="Times New Roman"/>
              <w:bCs/>
              <w:color w:val="auto"/>
              <w:kern w:val="2"/>
              <w:szCs w:val="32"/>
              <w:lang w:val="en-US" w:eastAsia="zh-CN" w:bidi="ar-SA"/>
            </w:rPr>
            <w:t>6.1安全性评级</w:t>
          </w:r>
          <w:r>
            <w:rPr>
              <w:color w:val="auto"/>
            </w:rPr>
            <w:tab/>
          </w:r>
          <w:r>
            <w:rPr>
              <w:color w:val="auto"/>
            </w:rPr>
            <w:fldChar w:fldCharType="begin"/>
          </w:r>
          <w:r>
            <w:rPr>
              <w:color w:val="auto"/>
            </w:rPr>
            <w:instrText xml:space="preserve"> PAGEREF _Toc29514 \h </w:instrText>
          </w:r>
          <w:r>
            <w:rPr>
              <w:color w:val="auto"/>
            </w:rPr>
            <w:fldChar w:fldCharType="separate"/>
          </w:r>
          <w:r>
            <w:rPr>
              <w:color w:val="auto"/>
            </w:rPr>
            <w:t>15</w:t>
          </w:r>
          <w:r>
            <w:rPr>
              <w:color w:val="auto"/>
            </w:rPr>
            <w:fldChar w:fldCharType="end"/>
          </w:r>
          <w:r>
            <w:rPr>
              <w:rFonts w:hint="default" w:ascii="Times New Roman" w:hAnsi="Times New Roman" w:eastAsia="宋体" w:cs="Times New Roman"/>
              <w:bCs/>
              <w:color w:val="auto"/>
              <w:szCs w:val="24"/>
              <w:lang w:val="zh-CN"/>
            </w:rPr>
            <w:fldChar w:fldCharType="end"/>
          </w:r>
        </w:p>
        <w:p w14:paraId="11111DD1">
          <w:pPr>
            <w:pStyle w:val="16"/>
            <w:pageBreakBefore w:val="0"/>
            <w:tabs>
              <w:tab w:val="right" w:leader="dot" w:pos="9354"/>
            </w:tabs>
            <w:kinsoku/>
            <w:wordWrap/>
            <w:overflowPunct/>
            <w:topLinePunct w:val="0"/>
            <w:autoSpaceDE/>
            <w:autoSpaceDN/>
            <w:bidi w:val="0"/>
            <w:adjustRightInd/>
            <w:snapToGrid/>
            <w:spacing w:line="360" w:lineRule="auto"/>
            <w:textAlignment w:val="auto"/>
            <w:rPr>
              <w:color w:val="auto"/>
            </w:rPr>
          </w:pPr>
          <w:r>
            <w:rPr>
              <w:rFonts w:hint="default" w:ascii="Times New Roman" w:hAnsi="Times New Roman" w:eastAsia="宋体" w:cs="Times New Roman"/>
              <w:bCs/>
              <w:color w:val="auto"/>
              <w:szCs w:val="24"/>
              <w:lang w:val="zh-CN"/>
            </w:rPr>
            <w:fldChar w:fldCharType="begin"/>
          </w:r>
          <w:r>
            <w:rPr>
              <w:rFonts w:hint="default" w:ascii="Times New Roman" w:hAnsi="Times New Roman" w:eastAsia="宋体" w:cs="Times New Roman"/>
              <w:bCs/>
              <w:color w:val="auto"/>
              <w:szCs w:val="24"/>
              <w:lang w:val="zh-CN"/>
            </w:rPr>
            <w:instrText xml:space="preserve"> HYPERLINK \l _Toc10575 </w:instrText>
          </w:r>
          <w:r>
            <w:rPr>
              <w:rFonts w:hint="default" w:ascii="Times New Roman" w:hAnsi="Times New Roman" w:eastAsia="宋体" w:cs="Times New Roman"/>
              <w:bCs/>
              <w:color w:val="auto"/>
              <w:szCs w:val="24"/>
              <w:lang w:val="zh-CN"/>
            </w:rPr>
            <w:fldChar w:fldCharType="separate"/>
          </w:r>
          <w:r>
            <w:rPr>
              <w:rFonts w:hint="default" w:ascii="Times New Roman" w:hAnsi="Times New Roman" w:eastAsia="宋体" w:cs="Times New Roman"/>
              <w:bCs/>
              <w:color w:val="auto"/>
              <w:kern w:val="2"/>
              <w:szCs w:val="32"/>
              <w:lang w:val="en-US" w:eastAsia="zh-CN" w:bidi="ar-SA"/>
            </w:rPr>
            <w:t>6.2使用性评级</w:t>
          </w:r>
          <w:r>
            <w:rPr>
              <w:color w:val="auto"/>
            </w:rPr>
            <w:tab/>
          </w:r>
          <w:r>
            <w:rPr>
              <w:color w:val="auto"/>
            </w:rPr>
            <w:fldChar w:fldCharType="begin"/>
          </w:r>
          <w:r>
            <w:rPr>
              <w:color w:val="auto"/>
            </w:rPr>
            <w:instrText xml:space="preserve"> PAGEREF _Toc10575 \h </w:instrText>
          </w:r>
          <w:r>
            <w:rPr>
              <w:color w:val="auto"/>
            </w:rPr>
            <w:fldChar w:fldCharType="separate"/>
          </w:r>
          <w:r>
            <w:rPr>
              <w:color w:val="auto"/>
            </w:rPr>
            <w:t>17</w:t>
          </w:r>
          <w:r>
            <w:rPr>
              <w:color w:val="auto"/>
            </w:rPr>
            <w:fldChar w:fldCharType="end"/>
          </w:r>
          <w:r>
            <w:rPr>
              <w:rFonts w:hint="default" w:ascii="Times New Roman" w:hAnsi="Times New Roman" w:eastAsia="宋体" w:cs="Times New Roman"/>
              <w:bCs/>
              <w:color w:val="auto"/>
              <w:szCs w:val="24"/>
              <w:lang w:val="zh-CN"/>
            </w:rPr>
            <w:fldChar w:fldCharType="end"/>
          </w:r>
        </w:p>
        <w:p w14:paraId="30E84667">
          <w:pPr>
            <w:pStyle w:val="16"/>
            <w:pageBreakBefore w:val="0"/>
            <w:tabs>
              <w:tab w:val="right" w:leader="dot" w:pos="9354"/>
            </w:tabs>
            <w:kinsoku/>
            <w:wordWrap/>
            <w:overflowPunct/>
            <w:topLinePunct w:val="0"/>
            <w:autoSpaceDE/>
            <w:autoSpaceDN/>
            <w:bidi w:val="0"/>
            <w:adjustRightInd/>
            <w:snapToGrid/>
            <w:spacing w:line="360" w:lineRule="auto"/>
            <w:textAlignment w:val="auto"/>
            <w:rPr>
              <w:color w:val="auto"/>
            </w:rPr>
          </w:pPr>
          <w:r>
            <w:rPr>
              <w:rFonts w:hint="default" w:ascii="Times New Roman" w:hAnsi="Times New Roman" w:eastAsia="宋体" w:cs="Times New Roman"/>
              <w:bCs/>
              <w:color w:val="auto"/>
              <w:szCs w:val="24"/>
              <w:lang w:val="zh-CN"/>
            </w:rPr>
            <w:fldChar w:fldCharType="begin"/>
          </w:r>
          <w:r>
            <w:rPr>
              <w:rFonts w:hint="default" w:ascii="Times New Roman" w:hAnsi="Times New Roman" w:eastAsia="宋体" w:cs="Times New Roman"/>
              <w:bCs/>
              <w:color w:val="auto"/>
              <w:szCs w:val="24"/>
              <w:lang w:val="zh-CN"/>
            </w:rPr>
            <w:instrText xml:space="preserve"> HYPERLINK \l _Toc21215 </w:instrText>
          </w:r>
          <w:r>
            <w:rPr>
              <w:rFonts w:hint="default" w:ascii="Times New Roman" w:hAnsi="Times New Roman" w:eastAsia="宋体" w:cs="Times New Roman"/>
              <w:bCs/>
              <w:color w:val="auto"/>
              <w:szCs w:val="24"/>
              <w:lang w:val="zh-CN"/>
            </w:rPr>
            <w:fldChar w:fldCharType="separate"/>
          </w:r>
          <w:r>
            <w:rPr>
              <w:rFonts w:hint="default" w:ascii="Times New Roman" w:hAnsi="Times New Roman" w:eastAsia="宋体" w:cs="Times New Roman"/>
              <w:bCs/>
              <w:color w:val="auto"/>
              <w:kern w:val="2"/>
              <w:szCs w:val="32"/>
              <w:lang w:val="en-US" w:eastAsia="zh-CN" w:bidi="ar-SA"/>
            </w:rPr>
            <w:t>6.3可靠性评级</w:t>
          </w:r>
          <w:r>
            <w:rPr>
              <w:color w:val="auto"/>
            </w:rPr>
            <w:tab/>
          </w:r>
          <w:r>
            <w:rPr>
              <w:color w:val="auto"/>
            </w:rPr>
            <w:fldChar w:fldCharType="begin"/>
          </w:r>
          <w:r>
            <w:rPr>
              <w:color w:val="auto"/>
            </w:rPr>
            <w:instrText xml:space="preserve"> PAGEREF _Toc21215 \h </w:instrText>
          </w:r>
          <w:r>
            <w:rPr>
              <w:color w:val="auto"/>
            </w:rPr>
            <w:fldChar w:fldCharType="separate"/>
          </w:r>
          <w:r>
            <w:rPr>
              <w:color w:val="auto"/>
            </w:rPr>
            <w:t>19</w:t>
          </w:r>
          <w:r>
            <w:rPr>
              <w:color w:val="auto"/>
            </w:rPr>
            <w:fldChar w:fldCharType="end"/>
          </w:r>
          <w:r>
            <w:rPr>
              <w:rFonts w:hint="default" w:ascii="Times New Roman" w:hAnsi="Times New Roman" w:eastAsia="宋体" w:cs="Times New Roman"/>
              <w:bCs/>
              <w:color w:val="auto"/>
              <w:szCs w:val="24"/>
              <w:lang w:val="zh-CN"/>
            </w:rPr>
            <w:fldChar w:fldCharType="end"/>
          </w:r>
        </w:p>
        <w:p w14:paraId="44AD3EEB">
          <w:pPr>
            <w:pStyle w:val="15"/>
            <w:pageBreakBefore w:val="0"/>
            <w:tabs>
              <w:tab w:val="right" w:leader="dot" w:pos="9354"/>
            </w:tabs>
            <w:kinsoku/>
            <w:wordWrap/>
            <w:overflowPunct/>
            <w:topLinePunct w:val="0"/>
            <w:autoSpaceDE/>
            <w:autoSpaceDN/>
            <w:bidi w:val="0"/>
            <w:adjustRightInd/>
            <w:snapToGrid/>
            <w:spacing w:line="360" w:lineRule="auto"/>
            <w:textAlignment w:val="auto"/>
            <w:rPr>
              <w:color w:val="auto"/>
            </w:rPr>
          </w:pPr>
          <w:r>
            <w:rPr>
              <w:rFonts w:hint="default" w:ascii="Times New Roman" w:hAnsi="Times New Roman" w:eastAsia="宋体" w:cs="Times New Roman"/>
              <w:bCs/>
              <w:color w:val="auto"/>
              <w:szCs w:val="24"/>
              <w:lang w:val="zh-CN"/>
            </w:rPr>
            <w:fldChar w:fldCharType="begin"/>
          </w:r>
          <w:r>
            <w:rPr>
              <w:rFonts w:hint="default" w:ascii="Times New Roman" w:hAnsi="Times New Roman" w:eastAsia="宋体" w:cs="Times New Roman"/>
              <w:bCs/>
              <w:color w:val="auto"/>
              <w:szCs w:val="24"/>
              <w:lang w:val="zh-CN"/>
            </w:rPr>
            <w:instrText xml:space="preserve"> HYPERLINK \l _Toc11528 </w:instrText>
          </w:r>
          <w:r>
            <w:rPr>
              <w:rFonts w:hint="default" w:ascii="Times New Roman" w:hAnsi="Times New Roman" w:eastAsia="宋体" w:cs="Times New Roman"/>
              <w:bCs/>
              <w:color w:val="auto"/>
              <w:szCs w:val="24"/>
              <w:lang w:val="zh-CN"/>
            </w:rPr>
            <w:fldChar w:fldCharType="separate"/>
          </w:r>
          <w:r>
            <w:rPr>
              <w:rFonts w:hint="default" w:ascii="Times New Roman" w:hAnsi="Times New Roman" w:eastAsia="宋体" w:cs="Times New Roman"/>
              <w:bCs/>
              <w:color w:val="auto"/>
              <w:kern w:val="44"/>
              <w:szCs w:val="44"/>
              <w:lang w:val="en-US" w:eastAsia="zh-CN" w:bidi="ar-SA"/>
            </w:rPr>
            <w:t>七、结构抗震鉴定</w:t>
          </w:r>
          <w:r>
            <w:rPr>
              <w:color w:val="auto"/>
            </w:rPr>
            <w:tab/>
          </w:r>
          <w:r>
            <w:rPr>
              <w:color w:val="auto"/>
            </w:rPr>
            <w:fldChar w:fldCharType="begin"/>
          </w:r>
          <w:r>
            <w:rPr>
              <w:color w:val="auto"/>
            </w:rPr>
            <w:instrText xml:space="preserve"> PAGEREF _Toc11528 \h </w:instrText>
          </w:r>
          <w:r>
            <w:rPr>
              <w:color w:val="auto"/>
            </w:rPr>
            <w:fldChar w:fldCharType="separate"/>
          </w:r>
          <w:r>
            <w:rPr>
              <w:color w:val="auto"/>
            </w:rPr>
            <w:t>19</w:t>
          </w:r>
          <w:r>
            <w:rPr>
              <w:color w:val="auto"/>
            </w:rPr>
            <w:fldChar w:fldCharType="end"/>
          </w:r>
          <w:r>
            <w:rPr>
              <w:rFonts w:hint="default" w:ascii="Times New Roman" w:hAnsi="Times New Roman" w:eastAsia="宋体" w:cs="Times New Roman"/>
              <w:bCs/>
              <w:color w:val="auto"/>
              <w:szCs w:val="24"/>
              <w:lang w:val="zh-CN"/>
            </w:rPr>
            <w:fldChar w:fldCharType="end"/>
          </w:r>
        </w:p>
        <w:p w14:paraId="7C2EE014">
          <w:pPr>
            <w:pStyle w:val="16"/>
            <w:pageBreakBefore w:val="0"/>
            <w:tabs>
              <w:tab w:val="right" w:leader="dot" w:pos="9354"/>
            </w:tabs>
            <w:kinsoku/>
            <w:wordWrap/>
            <w:overflowPunct/>
            <w:topLinePunct w:val="0"/>
            <w:autoSpaceDE/>
            <w:autoSpaceDN/>
            <w:bidi w:val="0"/>
            <w:adjustRightInd/>
            <w:snapToGrid/>
            <w:spacing w:line="360" w:lineRule="auto"/>
            <w:textAlignment w:val="auto"/>
            <w:rPr>
              <w:color w:val="auto"/>
            </w:rPr>
          </w:pPr>
          <w:r>
            <w:rPr>
              <w:rFonts w:hint="default" w:ascii="Times New Roman" w:hAnsi="Times New Roman" w:eastAsia="宋体" w:cs="Times New Roman"/>
              <w:bCs/>
              <w:color w:val="auto"/>
              <w:szCs w:val="24"/>
              <w:lang w:val="zh-CN"/>
            </w:rPr>
            <w:fldChar w:fldCharType="begin"/>
          </w:r>
          <w:r>
            <w:rPr>
              <w:rFonts w:hint="default" w:ascii="Times New Roman" w:hAnsi="Times New Roman" w:eastAsia="宋体" w:cs="Times New Roman"/>
              <w:bCs/>
              <w:color w:val="auto"/>
              <w:szCs w:val="24"/>
              <w:lang w:val="zh-CN"/>
            </w:rPr>
            <w:instrText xml:space="preserve"> HYPERLINK \l _Toc32225 </w:instrText>
          </w:r>
          <w:r>
            <w:rPr>
              <w:rFonts w:hint="default" w:ascii="Times New Roman" w:hAnsi="Times New Roman" w:eastAsia="宋体" w:cs="Times New Roman"/>
              <w:bCs/>
              <w:color w:val="auto"/>
              <w:szCs w:val="24"/>
              <w:lang w:val="zh-CN"/>
            </w:rPr>
            <w:fldChar w:fldCharType="separate"/>
          </w:r>
          <w:r>
            <w:rPr>
              <w:rFonts w:hint="default" w:ascii="Times New Roman" w:hAnsi="Times New Roman" w:eastAsia="宋体" w:cs="Times New Roman"/>
              <w:bCs/>
              <w:color w:val="auto"/>
              <w:kern w:val="2"/>
              <w:szCs w:val="32"/>
              <w:lang w:val="en-US" w:eastAsia="zh-CN" w:bidi="ar-SA"/>
            </w:rPr>
            <w:t>7.1 抗震承载力验算</w:t>
          </w:r>
          <w:r>
            <w:rPr>
              <w:color w:val="auto"/>
            </w:rPr>
            <w:tab/>
          </w:r>
          <w:r>
            <w:rPr>
              <w:color w:val="auto"/>
            </w:rPr>
            <w:fldChar w:fldCharType="begin"/>
          </w:r>
          <w:r>
            <w:rPr>
              <w:color w:val="auto"/>
            </w:rPr>
            <w:instrText xml:space="preserve"> PAGEREF _Toc32225 \h </w:instrText>
          </w:r>
          <w:r>
            <w:rPr>
              <w:color w:val="auto"/>
            </w:rPr>
            <w:fldChar w:fldCharType="separate"/>
          </w:r>
          <w:r>
            <w:rPr>
              <w:color w:val="auto"/>
            </w:rPr>
            <w:t>20</w:t>
          </w:r>
          <w:r>
            <w:rPr>
              <w:color w:val="auto"/>
            </w:rPr>
            <w:fldChar w:fldCharType="end"/>
          </w:r>
          <w:r>
            <w:rPr>
              <w:rFonts w:hint="default" w:ascii="Times New Roman" w:hAnsi="Times New Roman" w:eastAsia="宋体" w:cs="Times New Roman"/>
              <w:bCs/>
              <w:color w:val="auto"/>
              <w:szCs w:val="24"/>
              <w:lang w:val="zh-CN"/>
            </w:rPr>
            <w:fldChar w:fldCharType="end"/>
          </w:r>
        </w:p>
        <w:p w14:paraId="624E3D90">
          <w:pPr>
            <w:pStyle w:val="16"/>
            <w:pageBreakBefore w:val="0"/>
            <w:tabs>
              <w:tab w:val="right" w:leader="dot" w:pos="9354"/>
            </w:tabs>
            <w:kinsoku/>
            <w:wordWrap/>
            <w:overflowPunct/>
            <w:topLinePunct w:val="0"/>
            <w:autoSpaceDE/>
            <w:autoSpaceDN/>
            <w:bidi w:val="0"/>
            <w:adjustRightInd/>
            <w:snapToGrid/>
            <w:spacing w:line="360" w:lineRule="auto"/>
            <w:textAlignment w:val="auto"/>
            <w:rPr>
              <w:color w:val="auto"/>
            </w:rPr>
          </w:pPr>
          <w:r>
            <w:rPr>
              <w:rFonts w:hint="default" w:ascii="Times New Roman" w:hAnsi="Times New Roman" w:eastAsia="宋体" w:cs="Times New Roman"/>
              <w:bCs/>
              <w:color w:val="auto"/>
              <w:szCs w:val="24"/>
              <w:lang w:val="zh-CN"/>
            </w:rPr>
            <w:fldChar w:fldCharType="begin"/>
          </w:r>
          <w:r>
            <w:rPr>
              <w:rFonts w:hint="default" w:ascii="Times New Roman" w:hAnsi="Times New Roman" w:eastAsia="宋体" w:cs="Times New Roman"/>
              <w:bCs/>
              <w:color w:val="auto"/>
              <w:szCs w:val="24"/>
              <w:lang w:val="zh-CN"/>
            </w:rPr>
            <w:instrText xml:space="preserve"> HYPERLINK \l _Toc25577 </w:instrText>
          </w:r>
          <w:r>
            <w:rPr>
              <w:rFonts w:hint="default" w:ascii="Times New Roman" w:hAnsi="Times New Roman" w:eastAsia="宋体" w:cs="Times New Roman"/>
              <w:bCs/>
              <w:color w:val="auto"/>
              <w:szCs w:val="24"/>
              <w:lang w:val="zh-CN"/>
            </w:rPr>
            <w:fldChar w:fldCharType="separate"/>
          </w:r>
          <w:r>
            <w:rPr>
              <w:rFonts w:hint="default" w:ascii="Times New Roman" w:hAnsi="Times New Roman" w:eastAsia="宋体" w:cs="Times New Roman"/>
              <w:bCs/>
              <w:color w:val="auto"/>
              <w:kern w:val="2"/>
              <w:szCs w:val="32"/>
              <w:lang w:val="en-US" w:eastAsia="zh-CN" w:bidi="ar-SA"/>
            </w:rPr>
            <w:t>7.2 抗震措施</w:t>
          </w:r>
          <w:r>
            <w:rPr>
              <w:color w:val="auto"/>
            </w:rPr>
            <w:tab/>
          </w:r>
          <w:r>
            <w:rPr>
              <w:color w:val="auto"/>
            </w:rPr>
            <w:fldChar w:fldCharType="begin"/>
          </w:r>
          <w:r>
            <w:rPr>
              <w:color w:val="auto"/>
            </w:rPr>
            <w:instrText xml:space="preserve"> PAGEREF _Toc25577 \h </w:instrText>
          </w:r>
          <w:r>
            <w:rPr>
              <w:color w:val="auto"/>
            </w:rPr>
            <w:fldChar w:fldCharType="separate"/>
          </w:r>
          <w:r>
            <w:rPr>
              <w:color w:val="auto"/>
            </w:rPr>
            <w:t>20</w:t>
          </w:r>
          <w:r>
            <w:rPr>
              <w:color w:val="auto"/>
            </w:rPr>
            <w:fldChar w:fldCharType="end"/>
          </w:r>
          <w:r>
            <w:rPr>
              <w:rFonts w:hint="default" w:ascii="Times New Roman" w:hAnsi="Times New Roman" w:eastAsia="宋体" w:cs="Times New Roman"/>
              <w:bCs/>
              <w:color w:val="auto"/>
              <w:szCs w:val="24"/>
              <w:lang w:val="zh-CN"/>
            </w:rPr>
            <w:fldChar w:fldCharType="end"/>
          </w:r>
        </w:p>
        <w:p w14:paraId="362FDE7D">
          <w:pPr>
            <w:pStyle w:val="16"/>
            <w:pageBreakBefore w:val="0"/>
            <w:tabs>
              <w:tab w:val="right" w:leader="dot" w:pos="9354"/>
            </w:tabs>
            <w:kinsoku/>
            <w:wordWrap/>
            <w:overflowPunct/>
            <w:topLinePunct w:val="0"/>
            <w:autoSpaceDE/>
            <w:autoSpaceDN/>
            <w:bidi w:val="0"/>
            <w:adjustRightInd/>
            <w:snapToGrid/>
            <w:spacing w:line="360" w:lineRule="auto"/>
            <w:textAlignment w:val="auto"/>
            <w:rPr>
              <w:color w:val="auto"/>
            </w:rPr>
          </w:pPr>
          <w:r>
            <w:rPr>
              <w:rFonts w:hint="default" w:ascii="Times New Roman" w:hAnsi="Times New Roman" w:eastAsia="宋体" w:cs="Times New Roman"/>
              <w:bCs/>
              <w:color w:val="auto"/>
              <w:szCs w:val="24"/>
              <w:lang w:val="zh-CN"/>
            </w:rPr>
            <w:fldChar w:fldCharType="begin"/>
          </w:r>
          <w:r>
            <w:rPr>
              <w:rFonts w:hint="default" w:ascii="Times New Roman" w:hAnsi="Times New Roman" w:eastAsia="宋体" w:cs="Times New Roman"/>
              <w:bCs/>
              <w:color w:val="auto"/>
              <w:szCs w:val="24"/>
              <w:lang w:val="zh-CN"/>
            </w:rPr>
            <w:instrText xml:space="preserve"> HYPERLINK \l _Toc5418 </w:instrText>
          </w:r>
          <w:r>
            <w:rPr>
              <w:rFonts w:hint="default" w:ascii="Times New Roman" w:hAnsi="Times New Roman" w:eastAsia="宋体" w:cs="Times New Roman"/>
              <w:bCs/>
              <w:color w:val="auto"/>
              <w:szCs w:val="24"/>
              <w:lang w:val="zh-CN"/>
            </w:rPr>
            <w:fldChar w:fldCharType="separate"/>
          </w:r>
          <w:r>
            <w:rPr>
              <w:rFonts w:hint="default" w:ascii="Times New Roman" w:hAnsi="Times New Roman" w:eastAsia="宋体" w:cs="Times New Roman"/>
              <w:bCs/>
              <w:color w:val="auto"/>
              <w:kern w:val="2"/>
              <w:szCs w:val="32"/>
              <w:lang w:val="en-US" w:eastAsia="zh-CN" w:bidi="ar-SA"/>
            </w:rPr>
            <w:t>7.3 抗震鉴定结论</w:t>
          </w:r>
          <w:r>
            <w:rPr>
              <w:color w:val="auto"/>
            </w:rPr>
            <w:tab/>
          </w:r>
          <w:r>
            <w:rPr>
              <w:color w:val="auto"/>
            </w:rPr>
            <w:fldChar w:fldCharType="begin"/>
          </w:r>
          <w:r>
            <w:rPr>
              <w:color w:val="auto"/>
            </w:rPr>
            <w:instrText xml:space="preserve"> PAGEREF _Toc5418 \h </w:instrText>
          </w:r>
          <w:r>
            <w:rPr>
              <w:color w:val="auto"/>
            </w:rPr>
            <w:fldChar w:fldCharType="separate"/>
          </w:r>
          <w:r>
            <w:rPr>
              <w:color w:val="auto"/>
            </w:rPr>
            <w:t>20</w:t>
          </w:r>
          <w:r>
            <w:rPr>
              <w:color w:val="auto"/>
            </w:rPr>
            <w:fldChar w:fldCharType="end"/>
          </w:r>
          <w:r>
            <w:rPr>
              <w:rFonts w:hint="default" w:ascii="Times New Roman" w:hAnsi="Times New Roman" w:eastAsia="宋体" w:cs="Times New Roman"/>
              <w:bCs/>
              <w:color w:val="auto"/>
              <w:szCs w:val="24"/>
              <w:lang w:val="zh-CN"/>
            </w:rPr>
            <w:fldChar w:fldCharType="end"/>
          </w:r>
        </w:p>
        <w:p w14:paraId="5864C131">
          <w:pPr>
            <w:pStyle w:val="15"/>
            <w:pageBreakBefore w:val="0"/>
            <w:tabs>
              <w:tab w:val="right" w:leader="dot" w:pos="9354"/>
            </w:tabs>
            <w:kinsoku/>
            <w:wordWrap/>
            <w:overflowPunct/>
            <w:topLinePunct w:val="0"/>
            <w:autoSpaceDE/>
            <w:autoSpaceDN/>
            <w:bidi w:val="0"/>
            <w:adjustRightInd/>
            <w:snapToGrid/>
            <w:spacing w:line="360" w:lineRule="auto"/>
            <w:textAlignment w:val="auto"/>
            <w:rPr>
              <w:color w:val="auto"/>
            </w:rPr>
          </w:pPr>
          <w:r>
            <w:rPr>
              <w:rFonts w:hint="default" w:ascii="Times New Roman" w:hAnsi="Times New Roman" w:eastAsia="宋体" w:cs="Times New Roman"/>
              <w:bCs/>
              <w:color w:val="auto"/>
              <w:szCs w:val="24"/>
              <w:lang w:val="zh-CN"/>
            </w:rPr>
            <w:fldChar w:fldCharType="begin"/>
          </w:r>
          <w:r>
            <w:rPr>
              <w:rFonts w:hint="default" w:ascii="Times New Roman" w:hAnsi="Times New Roman" w:eastAsia="宋体" w:cs="Times New Roman"/>
              <w:bCs/>
              <w:color w:val="auto"/>
              <w:szCs w:val="24"/>
              <w:lang w:val="zh-CN"/>
            </w:rPr>
            <w:instrText xml:space="preserve"> HYPERLINK \l _Toc23469 </w:instrText>
          </w:r>
          <w:r>
            <w:rPr>
              <w:rFonts w:hint="default" w:ascii="Times New Roman" w:hAnsi="Times New Roman" w:eastAsia="宋体" w:cs="Times New Roman"/>
              <w:bCs/>
              <w:color w:val="auto"/>
              <w:szCs w:val="24"/>
              <w:lang w:val="zh-CN"/>
            </w:rPr>
            <w:fldChar w:fldCharType="separate"/>
          </w:r>
          <w:r>
            <w:rPr>
              <w:rFonts w:hint="default" w:ascii="Times New Roman" w:hAnsi="Times New Roman" w:eastAsia="宋体" w:cs="Times New Roman"/>
              <w:bCs/>
              <w:color w:val="auto"/>
              <w:kern w:val="44"/>
              <w:szCs w:val="44"/>
              <w:lang w:val="en-US" w:eastAsia="zh-CN" w:bidi="ar-SA"/>
            </w:rPr>
            <w:t>八、结论及建议</w:t>
          </w:r>
          <w:r>
            <w:rPr>
              <w:color w:val="auto"/>
            </w:rPr>
            <w:tab/>
          </w:r>
          <w:r>
            <w:rPr>
              <w:color w:val="auto"/>
            </w:rPr>
            <w:fldChar w:fldCharType="begin"/>
          </w:r>
          <w:r>
            <w:rPr>
              <w:color w:val="auto"/>
            </w:rPr>
            <w:instrText xml:space="preserve"> PAGEREF _Toc23469 \h </w:instrText>
          </w:r>
          <w:r>
            <w:rPr>
              <w:color w:val="auto"/>
            </w:rPr>
            <w:fldChar w:fldCharType="separate"/>
          </w:r>
          <w:r>
            <w:rPr>
              <w:color w:val="auto"/>
            </w:rPr>
            <w:t>20</w:t>
          </w:r>
          <w:r>
            <w:rPr>
              <w:color w:val="auto"/>
            </w:rPr>
            <w:fldChar w:fldCharType="end"/>
          </w:r>
          <w:r>
            <w:rPr>
              <w:rFonts w:hint="default" w:ascii="Times New Roman" w:hAnsi="Times New Roman" w:eastAsia="宋体" w:cs="Times New Roman"/>
              <w:bCs/>
              <w:color w:val="auto"/>
              <w:szCs w:val="24"/>
              <w:lang w:val="zh-CN"/>
            </w:rPr>
            <w:fldChar w:fldCharType="end"/>
          </w:r>
        </w:p>
        <w:p w14:paraId="0098A04F">
          <w:pPr>
            <w:pStyle w:val="16"/>
            <w:pageBreakBefore w:val="0"/>
            <w:tabs>
              <w:tab w:val="right" w:leader="dot" w:pos="9354"/>
            </w:tabs>
            <w:kinsoku/>
            <w:wordWrap/>
            <w:overflowPunct/>
            <w:topLinePunct w:val="0"/>
            <w:autoSpaceDE/>
            <w:autoSpaceDN/>
            <w:bidi w:val="0"/>
            <w:adjustRightInd/>
            <w:snapToGrid/>
            <w:spacing w:line="360" w:lineRule="auto"/>
            <w:textAlignment w:val="auto"/>
            <w:rPr>
              <w:color w:val="auto"/>
            </w:rPr>
          </w:pPr>
          <w:r>
            <w:rPr>
              <w:rFonts w:hint="default" w:ascii="Times New Roman" w:hAnsi="Times New Roman" w:eastAsia="宋体" w:cs="Times New Roman"/>
              <w:bCs/>
              <w:color w:val="auto"/>
              <w:szCs w:val="24"/>
              <w:lang w:val="zh-CN"/>
            </w:rPr>
            <w:fldChar w:fldCharType="begin"/>
          </w:r>
          <w:r>
            <w:rPr>
              <w:rFonts w:hint="default" w:ascii="Times New Roman" w:hAnsi="Times New Roman" w:eastAsia="宋体" w:cs="Times New Roman"/>
              <w:bCs/>
              <w:color w:val="auto"/>
              <w:szCs w:val="24"/>
              <w:lang w:val="zh-CN"/>
            </w:rPr>
            <w:instrText xml:space="preserve"> HYPERLINK \l _Toc28467 </w:instrText>
          </w:r>
          <w:r>
            <w:rPr>
              <w:rFonts w:hint="default" w:ascii="Times New Roman" w:hAnsi="Times New Roman" w:eastAsia="宋体" w:cs="Times New Roman"/>
              <w:bCs/>
              <w:color w:val="auto"/>
              <w:szCs w:val="24"/>
              <w:lang w:val="zh-CN"/>
            </w:rPr>
            <w:fldChar w:fldCharType="separate"/>
          </w:r>
          <w:r>
            <w:rPr>
              <w:rFonts w:hint="default" w:ascii="Times New Roman" w:hAnsi="Times New Roman" w:eastAsia="宋体" w:cs="Times New Roman"/>
              <w:bCs/>
              <w:color w:val="auto"/>
              <w:kern w:val="2"/>
              <w:szCs w:val="32"/>
              <w:lang w:val="en-US" w:eastAsia="zh-CN" w:bidi="ar-SA"/>
            </w:rPr>
            <w:t>8.1 现场检测结论</w:t>
          </w:r>
          <w:r>
            <w:rPr>
              <w:color w:val="auto"/>
            </w:rPr>
            <w:tab/>
          </w:r>
          <w:r>
            <w:rPr>
              <w:color w:val="auto"/>
            </w:rPr>
            <w:fldChar w:fldCharType="begin"/>
          </w:r>
          <w:r>
            <w:rPr>
              <w:color w:val="auto"/>
            </w:rPr>
            <w:instrText xml:space="preserve"> PAGEREF _Toc28467 \h </w:instrText>
          </w:r>
          <w:r>
            <w:rPr>
              <w:color w:val="auto"/>
            </w:rPr>
            <w:fldChar w:fldCharType="separate"/>
          </w:r>
          <w:r>
            <w:rPr>
              <w:color w:val="auto"/>
            </w:rPr>
            <w:t>21</w:t>
          </w:r>
          <w:r>
            <w:rPr>
              <w:color w:val="auto"/>
            </w:rPr>
            <w:fldChar w:fldCharType="end"/>
          </w:r>
          <w:r>
            <w:rPr>
              <w:rFonts w:hint="default" w:ascii="Times New Roman" w:hAnsi="Times New Roman" w:eastAsia="宋体" w:cs="Times New Roman"/>
              <w:bCs/>
              <w:color w:val="auto"/>
              <w:szCs w:val="24"/>
              <w:lang w:val="zh-CN"/>
            </w:rPr>
            <w:fldChar w:fldCharType="end"/>
          </w:r>
        </w:p>
        <w:p w14:paraId="2C48B84B">
          <w:pPr>
            <w:pStyle w:val="16"/>
            <w:pageBreakBefore w:val="0"/>
            <w:tabs>
              <w:tab w:val="right" w:leader="dot" w:pos="9354"/>
            </w:tabs>
            <w:kinsoku/>
            <w:wordWrap/>
            <w:overflowPunct/>
            <w:topLinePunct w:val="0"/>
            <w:autoSpaceDE/>
            <w:autoSpaceDN/>
            <w:bidi w:val="0"/>
            <w:adjustRightInd/>
            <w:snapToGrid/>
            <w:spacing w:line="360" w:lineRule="auto"/>
            <w:textAlignment w:val="auto"/>
            <w:rPr>
              <w:color w:val="auto"/>
            </w:rPr>
          </w:pPr>
          <w:r>
            <w:rPr>
              <w:rFonts w:hint="default" w:ascii="Times New Roman" w:hAnsi="Times New Roman" w:eastAsia="宋体" w:cs="Times New Roman"/>
              <w:bCs/>
              <w:color w:val="auto"/>
              <w:szCs w:val="24"/>
              <w:lang w:val="zh-CN"/>
            </w:rPr>
            <w:fldChar w:fldCharType="begin"/>
          </w:r>
          <w:r>
            <w:rPr>
              <w:rFonts w:hint="default" w:ascii="Times New Roman" w:hAnsi="Times New Roman" w:eastAsia="宋体" w:cs="Times New Roman"/>
              <w:bCs/>
              <w:color w:val="auto"/>
              <w:szCs w:val="24"/>
              <w:lang w:val="zh-CN"/>
            </w:rPr>
            <w:instrText xml:space="preserve"> HYPERLINK \l _Toc22242 </w:instrText>
          </w:r>
          <w:r>
            <w:rPr>
              <w:rFonts w:hint="default" w:ascii="Times New Roman" w:hAnsi="Times New Roman" w:eastAsia="宋体" w:cs="Times New Roman"/>
              <w:bCs/>
              <w:color w:val="auto"/>
              <w:szCs w:val="24"/>
              <w:lang w:val="zh-CN"/>
            </w:rPr>
            <w:fldChar w:fldCharType="separate"/>
          </w:r>
          <w:r>
            <w:rPr>
              <w:rFonts w:hint="default" w:ascii="Times New Roman" w:hAnsi="Times New Roman" w:eastAsia="宋体" w:cs="Times New Roman"/>
              <w:bCs/>
              <w:color w:val="auto"/>
              <w:kern w:val="2"/>
              <w:szCs w:val="32"/>
              <w:lang w:val="en-US" w:eastAsia="zh-CN" w:bidi="ar-SA"/>
            </w:rPr>
            <w:t>8.2 可靠性鉴定结论</w:t>
          </w:r>
          <w:r>
            <w:rPr>
              <w:color w:val="auto"/>
            </w:rPr>
            <w:tab/>
          </w:r>
          <w:r>
            <w:rPr>
              <w:color w:val="auto"/>
            </w:rPr>
            <w:fldChar w:fldCharType="begin"/>
          </w:r>
          <w:r>
            <w:rPr>
              <w:color w:val="auto"/>
            </w:rPr>
            <w:instrText xml:space="preserve"> PAGEREF _Toc22242 \h </w:instrText>
          </w:r>
          <w:r>
            <w:rPr>
              <w:color w:val="auto"/>
            </w:rPr>
            <w:fldChar w:fldCharType="separate"/>
          </w:r>
          <w:r>
            <w:rPr>
              <w:color w:val="auto"/>
            </w:rPr>
            <w:t>21</w:t>
          </w:r>
          <w:r>
            <w:rPr>
              <w:color w:val="auto"/>
            </w:rPr>
            <w:fldChar w:fldCharType="end"/>
          </w:r>
          <w:r>
            <w:rPr>
              <w:rFonts w:hint="default" w:ascii="Times New Roman" w:hAnsi="Times New Roman" w:eastAsia="宋体" w:cs="Times New Roman"/>
              <w:bCs/>
              <w:color w:val="auto"/>
              <w:szCs w:val="24"/>
              <w:lang w:val="zh-CN"/>
            </w:rPr>
            <w:fldChar w:fldCharType="end"/>
          </w:r>
        </w:p>
        <w:p w14:paraId="2D5A3667">
          <w:pPr>
            <w:pStyle w:val="16"/>
            <w:pageBreakBefore w:val="0"/>
            <w:tabs>
              <w:tab w:val="right" w:leader="dot" w:pos="9354"/>
            </w:tabs>
            <w:kinsoku/>
            <w:wordWrap/>
            <w:overflowPunct/>
            <w:topLinePunct w:val="0"/>
            <w:autoSpaceDE/>
            <w:autoSpaceDN/>
            <w:bidi w:val="0"/>
            <w:adjustRightInd/>
            <w:snapToGrid/>
            <w:spacing w:line="360" w:lineRule="auto"/>
            <w:textAlignment w:val="auto"/>
            <w:rPr>
              <w:color w:val="auto"/>
            </w:rPr>
          </w:pPr>
          <w:r>
            <w:rPr>
              <w:rFonts w:hint="default" w:ascii="Times New Roman" w:hAnsi="Times New Roman" w:eastAsia="宋体" w:cs="Times New Roman"/>
              <w:bCs/>
              <w:color w:val="auto"/>
              <w:szCs w:val="24"/>
              <w:lang w:val="zh-CN"/>
            </w:rPr>
            <w:fldChar w:fldCharType="begin"/>
          </w:r>
          <w:r>
            <w:rPr>
              <w:rFonts w:hint="default" w:ascii="Times New Roman" w:hAnsi="Times New Roman" w:eastAsia="宋体" w:cs="Times New Roman"/>
              <w:bCs/>
              <w:color w:val="auto"/>
              <w:szCs w:val="24"/>
              <w:lang w:val="zh-CN"/>
            </w:rPr>
            <w:instrText xml:space="preserve"> HYPERLINK \l _Toc29373 </w:instrText>
          </w:r>
          <w:r>
            <w:rPr>
              <w:rFonts w:hint="default" w:ascii="Times New Roman" w:hAnsi="Times New Roman" w:eastAsia="宋体" w:cs="Times New Roman"/>
              <w:bCs/>
              <w:color w:val="auto"/>
              <w:szCs w:val="24"/>
              <w:lang w:val="zh-CN"/>
            </w:rPr>
            <w:fldChar w:fldCharType="separate"/>
          </w:r>
          <w:r>
            <w:rPr>
              <w:rFonts w:hint="default" w:ascii="Times New Roman" w:hAnsi="Times New Roman" w:eastAsia="宋体" w:cs="Times New Roman"/>
              <w:bCs/>
              <w:color w:val="auto"/>
              <w:kern w:val="2"/>
              <w:szCs w:val="32"/>
              <w:lang w:val="en-US" w:eastAsia="zh-CN" w:bidi="ar-SA"/>
            </w:rPr>
            <w:t>8.3 抗震鉴定结论</w:t>
          </w:r>
          <w:r>
            <w:rPr>
              <w:color w:val="auto"/>
            </w:rPr>
            <w:tab/>
          </w:r>
          <w:r>
            <w:rPr>
              <w:color w:val="auto"/>
            </w:rPr>
            <w:fldChar w:fldCharType="begin"/>
          </w:r>
          <w:r>
            <w:rPr>
              <w:color w:val="auto"/>
            </w:rPr>
            <w:instrText xml:space="preserve"> PAGEREF _Toc29373 \h </w:instrText>
          </w:r>
          <w:r>
            <w:rPr>
              <w:color w:val="auto"/>
            </w:rPr>
            <w:fldChar w:fldCharType="separate"/>
          </w:r>
          <w:r>
            <w:rPr>
              <w:color w:val="auto"/>
            </w:rPr>
            <w:t>21</w:t>
          </w:r>
          <w:r>
            <w:rPr>
              <w:color w:val="auto"/>
            </w:rPr>
            <w:fldChar w:fldCharType="end"/>
          </w:r>
          <w:r>
            <w:rPr>
              <w:rFonts w:hint="default" w:ascii="Times New Roman" w:hAnsi="Times New Roman" w:eastAsia="宋体" w:cs="Times New Roman"/>
              <w:bCs/>
              <w:color w:val="auto"/>
              <w:szCs w:val="24"/>
              <w:lang w:val="zh-CN"/>
            </w:rPr>
            <w:fldChar w:fldCharType="end"/>
          </w:r>
        </w:p>
        <w:p w14:paraId="1172A1AF">
          <w:pPr>
            <w:pStyle w:val="16"/>
            <w:pageBreakBefore w:val="0"/>
            <w:tabs>
              <w:tab w:val="right" w:leader="dot" w:pos="9354"/>
            </w:tabs>
            <w:kinsoku/>
            <w:wordWrap/>
            <w:overflowPunct/>
            <w:topLinePunct w:val="0"/>
            <w:autoSpaceDE/>
            <w:autoSpaceDN/>
            <w:bidi w:val="0"/>
            <w:adjustRightInd/>
            <w:snapToGrid/>
            <w:spacing w:line="360" w:lineRule="auto"/>
            <w:textAlignment w:val="auto"/>
            <w:rPr>
              <w:color w:val="auto"/>
            </w:rPr>
          </w:pPr>
          <w:r>
            <w:rPr>
              <w:rFonts w:hint="default" w:ascii="Times New Roman" w:hAnsi="Times New Roman" w:eastAsia="宋体" w:cs="Times New Roman"/>
              <w:bCs/>
              <w:color w:val="auto"/>
              <w:szCs w:val="24"/>
              <w:lang w:val="zh-CN"/>
            </w:rPr>
            <w:fldChar w:fldCharType="begin"/>
          </w:r>
          <w:r>
            <w:rPr>
              <w:rFonts w:hint="default" w:ascii="Times New Roman" w:hAnsi="Times New Roman" w:eastAsia="宋体" w:cs="Times New Roman"/>
              <w:bCs/>
              <w:color w:val="auto"/>
              <w:szCs w:val="24"/>
              <w:lang w:val="zh-CN"/>
            </w:rPr>
            <w:instrText xml:space="preserve"> HYPERLINK \l _Toc14694 </w:instrText>
          </w:r>
          <w:r>
            <w:rPr>
              <w:rFonts w:hint="default" w:ascii="Times New Roman" w:hAnsi="Times New Roman" w:eastAsia="宋体" w:cs="Times New Roman"/>
              <w:bCs/>
              <w:color w:val="auto"/>
              <w:szCs w:val="24"/>
              <w:lang w:val="zh-CN"/>
            </w:rPr>
            <w:fldChar w:fldCharType="separate"/>
          </w:r>
          <w:r>
            <w:rPr>
              <w:rFonts w:hint="default" w:ascii="Times New Roman" w:hAnsi="Times New Roman" w:eastAsia="宋体" w:cs="Times New Roman"/>
              <w:bCs/>
              <w:color w:val="auto"/>
              <w:kern w:val="2"/>
              <w:szCs w:val="32"/>
              <w:lang w:val="en-US" w:eastAsia="zh-CN" w:bidi="ar-SA"/>
            </w:rPr>
            <w:t>8.4 建议</w:t>
          </w:r>
          <w:r>
            <w:rPr>
              <w:color w:val="auto"/>
            </w:rPr>
            <w:tab/>
          </w:r>
          <w:r>
            <w:rPr>
              <w:color w:val="auto"/>
            </w:rPr>
            <w:fldChar w:fldCharType="begin"/>
          </w:r>
          <w:r>
            <w:rPr>
              <w:color w:val="auto"/>
            </w:rPr>
            <w:instrText xml:space="preserve"> PAGEREF _Toc14694 \h </w:instrText>
          </w:r>
          <w:r>
            <w:rPr>
              <w:color w:val="auto"/>
            </w:rPr>
            <w:fldChar w:fldCharType="separate"/>
          </w:r>
          <w:r>
            <w:rPr>
              <w:color w:val="auto"/>
            </w:rPr>
            <w:t>21</w:t>
          </w:r>
          <w:r>
            <w:rPr>
              <w:color w:val="auto"/>
            </w:rPr>
            <w:fldChar w:fldCharType="end"/>
          </w:r>
          <w:r>
            <w:rPr>
              <w:rFonts w:hint="default" w:ascii="Times New Roman" w:hAnsi="Times New Roman" w:eastAsia="宋体" w:cs="Times New Roman"/>
              <w:bCs/>
              <w:color w:val="auto"/>
              <w:szCs w:val="24"/>
              <w:lang w:val="zh-CN"/>
            </w:rPr>
            <w:fldChar w:fldCharType="end"/>
          </w:r>
        </w:p>
        <w:p w14:paraId="7BF4050D">
          <w:pPr>
            <w:pStyle w:val="15"/>
            <w:pageBreakBefore w:val="0"/>
            <w:tabs>
              <w:tab w:val="right" w:leader="dot" w:pos="9354"/>
            </w:tabs>
            <w:kinsoku/>
            <w:wordWrap/>
            <w:overflowPunct/>
            <w:topLinePunct w:val="0"/>
            <w:autoSpaceDE/>
            <w:autoSpaceDN/>
            <w:bidi w:val="0"/>
            <w:adjustRightInd/>
            <w:snapToGrid/>
            <w:spacing w:line="360" w:lineRule="auto"/>
            <w:textAlignment w:val="auto"/>
            <w:rPr>
              <w:color w:val="auto"/>
            </w:rPr>
          </w:pPr>
          <w:r>
            <w:rPr>
              <w:rFonts w:hint="default" w:ascii="Times New Roman" w:hAnsi="Times New Roman" w:eastAsia="宋体" w:cs="Times New Roman"/>
              <w:bCs/>
              <w:color w:val="auto"/>
              <w:szCs w:val="24"/>
              <w:lang w:val="zh-CN"/>
            </w:rPr>
            <w:fldChar w:fldCharType="begin"/>
          </w:r>
          <w:r>
            <w:rPr>
              <w:rFonts w:hint="default" w:ascii="Times New Roman" w:hAnsi="Times New Roman" w:eastAsia="宋体" w:cs="Times New Roman"/>
              <w:bCs/>
              <w:color w:val="auto"/>
              <w:szCs w:val="24"/>
              <w:lang w:val="zh-CN"/>
            </w:rPr>
            <w:instrText xml:space="preserve"> HYPERLINK \l _Toc7666 </w:instrText>
          </w:r>
          <w:r>
            <w:rPr>
              <w:rFonts w:hint="default" w:ascii="Times New Roman" w:hAnsi="Times New Roman" w:eastAsia="宋体" w:cs="Times New Roman"/>
              <w:bCs/>
              <w:color w:val="auto"/>
              <w:szCs w:val="24"/>
              <w:lang w:val="zh-CN"/>
            </w:rPr>
            <w:fldChar w:fldCharType="separate"/>
          </w:r>
          <w:r>
            <w:rPr>
              <w:rFonts w:hint="default" w:ascii="Times New Roman" w:hAnsi="Times New Roman" w:eastAsia="宋体" w:cs="Times New Roman"/>
              <w:bCs/>
              <w:color w:val="auto"/>
              <w:kern w:val="44"/>
              <w:szCs w:val="44"/>
              <w:lang w:val="en-US" w:eastAsia="zh-CN" w:bidi="ar-SA"/>
            </w:rPr>
            <w:t>九、</w:t>
          </w:r>
          <w:r>
            <w:rPr>
              <w:rFonts w:hint="eastAsia" w:ascii="Times New Roman" w:hAnsi="Times New Roman" w:eastAsia="宋体" w:cs="Times New Roman"/>
              <w:bCs/>
              <w:color w:val="auto"/>
              <w:kern w:val="44"/>
              <w:szCs w:val="44"/>
              <w:lang w:val="en-US" w:eastAsia="zh-CN" w:bidi="ar-SA"/>
            </w:rPr>
            <w:t>附件</w:t>
          </w:r>
          <w:r>
            <w:rPr>
              <w:color w:val="auto"/>
            </w:rPr>
            <w:tab/>
          </w:r>
          <w:r>
            <w:rPr>
              <w:color w:val="auto"/>
            </w:rPr>
            <w:fldChar w:fldCharType="begin"/>
          </w:r>
          <w:r>
            <w:rPr>
              <w:color w:val="auto"/>
            </w:rPr>
            <w:instrText xml:space="preserve"> PAGEREF _Toc7666 \h </w:instrText>
          </w:r>
          <w:r>
            <w:rPr>
              <w:color w:val="auto"/>
            </w:rPr>
            <w:fldChar w:fldCharType="separate"/>
          </w:r>
          <w:r>
            <w:rPr>
              <w:color w:val="auto"/>
            </w:rPr>
            <w:t>21</w:t>
          </w:r>
          <w:r>
            <w:rPr>
              <w:color w:val="auto"/>
            </w:rPr>
            <w:fldChar w:fldCharType="end"/>
          </w:r>
          <w:r>
            <w:rPr>
              <w:rFonts w:hint="default" w:ascii="Times New Roman" w:hAnsi="Times New Roman" w:eastAsia="宋体" w:cs="Times New Roman"/>
              <w:bCs/>
              <w:color w:val="auto"/>
              <w:szCs w:val="24"/>
              <w:lang w:val="zh-CN"/>
            </w:rPr>
            <w:fldChar w:fldCharType="end"/>
          </w:r>
        </w:p>
        <w:p w14:paraId="403DFB4C">
          <w:pPr>
            <w:pStyle w:val="16"/>
            <w:pageBreakBefore w:val="0"/>
            <w:tabs>
              <w:tab w:val="right" w:leader="dot" w:pos="9354"/>
            </w:tabs>
            <w:kinsoku/>
            <w:wordWrap/>
            <w:overflowPunct/>
            <w:topLinePunct w:val="0"/>
            <w:autoSpaceDE/>
            <w:autoSpaceDN/>
            <w:bidi w:val="0"/>
            <w:adjustRightInd/>
            <w:snapToGrid/>
            <w:spacing w:line="360" w:lineRule="auto"/>
            <w:textAlignment w:val="auto"/>
            <w:rPr>
              <w:color w:val="auto"/>
            </w:rPr>
          </w:pPr>
          <w:r>
            <w:rPr>
              <w:rFonts w:hint="default" w:ascii="Times New Roman" w:hAnsi="Times New Roman" w:eastAsia="宋体" w:cs="Times New Roman"/>
              <w:bCs/>
              <w:color w:val="auto"/>
              <w:szCs w:val="24"/>
              <w:lang w:val="zh-CN"/>
            </w:rPr>
            <w:fldChar w:fldCharType="begin"/>
          </w:r>
          <w:r>
            <w:rPr>
              <w:rFonts w:hint="default" w:ascii="Times New Roman" w:hAnsi="Times New Roman" w:eastAsia="宋体" w:cs="Times New Roman"/>
              <w:bCs/>
              <w:color w:val="auto"/>
              <w:szCs w:val="24"/>
              <w:lang w:val="zh-CN"/>
            </w:rPr>
            <w:instrText xml:space="preserve"> HYPERLINK \l _Toc28967 </w:instrText>
          </w:r>
          <w:r>
            <w:rPr>
              <w:rFonts w:hint="default" w:ascii="Times New Roman" w:hAnsi="Times New Roman" w:eastAsia="宋体" w:cs="Times New Roman"/>
              <w:bCs/>
              <w:color w:val="auto"/>
              <w:szCs w:val="24"/>
              <w:lang w:val="zh-CN"/>
            </w:rPr>
            <w:fldChar w:fldCharType="separate"/>
          </w:r>
          <w:r>
            <w:rPr>
              <w:rFonts w:hint="eastAsia" w:ascii="Times New Roman" w:hAnsi="Times New Roman" w:eastAsia="宋体" w:cs="Times New Roman"/>
              <w:bCs/>
              <w:color w:val="auto"/>
              <w:kern w:val="2"/>
              <w:szCs w:val="32"/>
              <w:lang w:val="en-US" w:eastAsia="zh-CN" w:bidi="ar-SA"/>
            </w:rPr>
            <w:t>9.1 现场建筑及结构平面布置图</w:t>
          </w:r>
          <w:r>
            <w:rPr>
              <w:color w:val="auto"/>
            </w:rPr>
            <w:tab/>
          </w:r>
          <w:r>
            <w:rPr>
              <w:color w:val="auto"/>
            </w:rPr>
            <w:fldChar w:fldCharType="begin"/>
          </w:r>
          <w:r>
            <w:rPr>
              <w:color w:val="auto"/>
            </w:rPr>
            <w:instrText xml:space="preserve"> PAGEREF _Toc28967 \h </w:instrText>
          </w:r>
          <w:r>
            <w:rPr>
              <w:color w:val="auto"/>
            </w:rPr>
            <w:fldChar w:fldCharType="separate"/>
          </w:r>
          <w:r>
            <w:rPr>
              <w:color w:val="auto"/>
            </w:rPr>
            <w:t>21</w:t>
          </w:r>
          <w:r>
            <w:rPr>
              <w:color w:val="auto"/>
            </w:rPr>
            <w:fldChar w:fldCharType="end"/>
          </w:r>
          <w:r>
            <w:rPr>
              <w:rFonts w:hint="default" w:ascii="Times New Roman" w:hAnsi="Times New Roman" w:eastAsia="宋体" w:cs="Times New Roman"/>
              <w:bCs/>
              <w:color w:val="auto"/>
              <w:szCs w:val="24"/>
              <w:lang w:val="zh-CN"/>
            </w:rPr>
            <w:fldChar w:fldCharType="end"/>
          </w:r>
        </w:p>
        <w:p w14:paraId="15033164">
          <w:pPr>
            <w:pStyle w:val="16"/>
            <w:pageBreakBefore w:val="0"/>
            <w:tabs>
              <w:tab w:val="right" w:leader="dot" w:pos="9354"/>
            </w:tabs>
            <w:kinsoku/>
            <w:wordWrap/>
            <w:overflowPunct/>
            <w:topLinePunct w:val="0"/>
            <w:autoSpaceDE/>
            <w:autoSpaceDN/>
            <w:bidi w:val="0"/>
            <w:adjustRightInd/>
            <w:snapToGrid/>
            <w:spacing w:line="360" w:lineRule="auto"/>
            <w:textAlignment w:val="auto"/>
            <w:rPr>
              <w:color w:val="auto"/>
            </w:rPr>
          </w:pPr>
          <w:r>
            <w:rPr>
              <w:rFonts w:hint="default" w:ascii="Times New Roman" w:hAnsi="Times New Roman" w:eastAsia="宋体" w:cs="Times New Roman"/>
              <w:bCs/>
              <w:color w:val="auto"/>
              <w:szCs w:val="24"/>
              <w:lang w:val="zh-CN"/>
            </w:rPr>
            <w:fldChar w:fldCharType="begin"/>
          </w:r>
          <w:r>
            <w:rPr>
              <w:rFonts w:hint="default" w:ascii="Times New Roman" w:hAnsi="Times New Roman" w:eastAsia="宋体" w:cs="Times New Roman"/>
              <w:bCs/>
              <w:color w:val="auto"/>
              <w:szCs w:val="24"/>
              <w:lang w:val="zh-CN"/>
            </w:rPr>
            <w:instrText xml:space="preserve"> HYPERLINK \l _Toc13741 </w:instrText>
          </w:r>
          <w:r>
            <w:rPr>
              <w:rFonts w:hint="default" w:ascii="Times New Roman" w:hAnsi="Times New Roman" w:eastAsia="宋体" w:cs="Times New Roman"/>
              <w:bCs/>
              <w:color w:val="auto"/>
              <w:szCs w:val="24"/>
              <w:lang w:val="zh-CN"/>
            </w:rPr>
            <w:fldChar w:fldCharType="separate"/>
          </w:r>
          <w:r>
            <w:rPr>
              <w:rFonts w:hint="eastAsia" w:ascii="Times New Roman" w:hAnsi="Times New Roman" w:eastAsia="宋体" w:cs="Times New Roman"/>
              <w:bCs/>
              <w:color w:val="auto"/>
              <w:kern w:val="2"/>
              <w:szCs w:val="32"/>
              <w:lang w:val="en-US" w:eastAsia="zh-CN" w:bidi="ar-SA"/>
            </w:rPr>
            <w:t>9.2 计算结果附图</w:t>
          </w:r>
          <w:r>
            <w:rPr>
              <w:color w:val="auto"/>
            </w:rPr>
            <w:tab/>
          </w:r>
          <w:r>
            <w:rPr>
              <w:color w:val="auto"/>
            </w:rPr>
            <w:fldChar w:fldCharType="begin"/>
          </w:r>
          <w:r>
            <w:rPr>
              <w:color w:val="auto"/>
            </w:rPr>
            <w:instrText xml:space="preserve"> PAGEREF _Toc13741 \h </w:instrText>
          </w:r>
          <w:r>
            <w:rPr>
              <w:color w:val="auto"/>
            </w:rPr>
            <w:fldChar w:fldCharType="separate"/>
          </w:r>
          <w:r>
            <w:rPr>
              <w:color w:val="auto"/>
            </w:rPr>
            <w:t>21</w:t>
          </w:r>
          <w:r>
            <w:rPr>
              <w:color w:val="auto"/>
            </w:rPr>
            <w:fldChar w:fldCharType="end"/>
          </w:r>
          <w:r>
            <w:rPr>
              <w:rFonts w:hint="default" w:ascii="Times New Roman" w:hAnsi="Times New Roman" w:eastAsia="宋体" w:cs="Times New Roman"/>
              <w:bCs/>
              <w:color w:val="auto"/>
              <w:szCs w:val="24"/>
              <w:lang w:val="zh-CN"/>
            </w:rPr>
            <w:fldChar w:fldCharType="end"/>
          </w:r>
        </w:p>
        <w:p w14:paraId="1A4B9680">
          <w:pPr>
            <w:pStyle w:val="16"/>
            <w:pageBreakBefore w:val="0"/>
            <w:tabs>
              <w:tab w:val="right" w:leader="dot" w:pos="9354"/>
            </w:tabs>
            <w:kinsoku/>
            <w:wordWrap/>
            <w:overflowPunct/>
            <w:topLinePunct w:val="0"/>
            <w:autoSpaceDE/>
            <w:autoSpaceDN/>
            <w:bidi w:val="0"/>
            <w:adjustRightInd/>
            <w:snapToGrid/>
            <w:spacing w:line="360" w:lineRule="auto"/>
            <w:textAlignment w:val="auto"/>
            <w:rPr>
              <w:color w:val="auto"/>
            </w:rPr>
          </w:pPr>
          <w:r>
            <w:rPr>
              <w:rFonts w:hint="default" w:ascii="Times New Roman" w:hAnsi="Times New Roman" w:eastAsia="宋体" w:cs="Times New Roman"/>
              <w:bCs/>
              <w:color w:val="auto"/>
              <w:szCs w:val="24"/>
              <w:lang w:val="zh-CN"/>
            </w:rPr>
            <w:fldChar w:fldCharType="begin"/>
          </w:r>
          <w:r>
            <w:rPr>
              <w:rFonts w:hint="default" w:ascii="Times New Roman" w:hAnsi="Times New Roman" w:eastAsia="宋体" w:cs="Times New Roman"/>
              <w:bCs/>
              <w:color w:val="auto"/>
              <w:szCs w:val="24"/>
              <w:lang w:val="zh-CN"/>
            </w:rPr>
            <w:instrText xml:space="preserve"> HYPERLINK \l _Toc11159 </w:instrText>
          </w:r>
          <w:r>
            <w:rPr>
              <w:rFonts w:hint="default" w:ascii="Times New Roman" w:hAnsi="Times New Roman" w:eastAsia="宋体" w:cs="Times New Roman"/>
              <w:bCs/>
              <w:color w:val="auto"/>
              <w:szCs w:val="24"/>
              <w:lang w:val="zh-CN"/>
            </w:rPr>
            <w:fldChar w:fldCharType="separate"/>
          </w:r>
          <w:r>
            <w:rPr>
              <w:rFonts w:hint="eastAsia" w:ascii="Times New Roman" w:hAnsi="Times New Roman" w:eastAsia="宋体" w:cs="Times New Roman"/>
              <w:bCs/>
              <w:color w:val="auto"/>
              <w:kern w:val="2"/>
              <w:szCs w:val="32"/>
              <w:lang w:val="en-US" w:eastAsia="zh-CN" w:bidi="ar-SA"/>
            </w:rPr>
            <w:t>9.3 现场检测照片</w:t>
          </w:r>
          <w:r>
            <w:rPr>
              <w:color w:val="auto"/>
            </w:rPr>
            <w:tab/>
          </w:r>
          <w:r>
            <w:rPr>
              <w:color w:val="auto"/>
            </w:rPr>
            <w:fldChar w:fldCharType="begin"/>
          </w:r>
          <w:r>
            <w:rPr>
              <w:color w:val="auto"/>
            </w:rPr>
            <w:instrText xml:space="preserve"> PAGEREF _Toc11159 \h </w:instrText>
          </w:r>
          <w:r>
            <w:rPr>
              <w:color w:val="auto"/>
            </w:rPr>
            <w:fldChar w:fldCharType="separate"/>
          </w:r>
          <w:r>
            <w:rPr>
              <w:color w:val="auto"/>
            </w:rPr>
            <w:t>21</w:t>
          </w:r>
          <w:r>
            <w:rPr>
              <w:color w:val="auto"/>
            </w:rPr>
            <w:fldChar w:fldCharType="end"/>
          </w:r>
          <w:r>
            <w:rPr>
              <w:rFonts w:hint="default" w:ascii="Times New Roman" w:hAnsi="Times New Roman" w:eastAsia="宋体" w:cs="Times New Roman"/>
              <w:bCs/>
              <w:color w:val="auto"/>
              <w:szCs w:val="24"/>
              <w:lang w:val="zh-CN"/>
            </w:rPr>
            <w:fldChar w:fldCharType="end"/>
          </w:r>
        </w:p>
        <w:p w14:paraId="1BC9A652">
          <w:pPr>
            <w:pStyle w:val="35"/>
            <w:ind w:left="0" w:leftChars="0" w:firstLine="0" w:firstLineChars="0"/>
            <w:rPr>
              <w:rFonts w:hint="default" w:ascii="Times New Roman" w:hAnsi="Times New Roman" w:eastAsia="宋体" w:cs="Times New Roman"/>
              <w:b/>
              <w:bCs/>
              <w:color w:val="auto"/>
              <w:kern w:val="2"/>
              <w:sz w:val="24"/>
              <w:szCs w:val="24"/>
              <w:lang w:val="zh-CN" w:eastAsia="zh-CN" w:bidi="ar-SA"/>
            </w:rPr>
          </w:pPr>
          <w:r>
            <w:rPr>
              <w:rFonts w:hint="default" w:ascii="Times New Roman" w:hAnsi="Times New Roman" w:eastAsia="宋体" w:cs="Times New Roman"/>
              <w:bCs/>
              <w:color w:val="auto"/>
              <w:szCs w:val="24"/>
              <w:lang w:val="zh-CN"/>
            </w:rPr>
            <w:fldChar w:fldCharType="end"/>
          </w:r>
        </w:p>
      </w:sdtContent>
    </w:sdt>
    <w:bookmarkEnd w:id="138"/>
    <w:p w14:paraId="1277073A">
      <w:pPr>
        <w:rPr>
          <w:rFonts w:hint="default"/>
          <w:b/>
          <w:bCs/>
          <w:color w:val="auto"/>
          <w:sz w:val="32"/>
          <w:szCs w:val="32"/>
          <w:lang w:val="en-US" w:eastAsia="zh-CN"/>
        </w:rPr>
      </w:pPr>
      <w:bookmarkStart w:id="139" w:name="_Toc28032"/>
      <w:bookmarkStart w:id="140" w:name="_Toc17082"/>
      <w:bookmarkStart w:id="141" w:name="_Toc105078946"/>
      <w:bookmarkStart w:id="142" w:name="_Toc14916"/>
      <w:bookmarkStart w:id="143" w:name="_Toc29396"/>
      <w:bookmarkStart w:id="144" w:name="_Toc240688465"/>
      <w:bookmarkStart w:id="145" w:name="_Toc249541716"/>
      <w:bookmarkStart w:id="146" w:name="_Toc280780762"/>
      <w:bookmarkStart w:id="147" w:name="_Toc383941793"/>
      <w:bookmarkStart w:id="148" w:name="_Toc22662"/>
      <w:r>
        <w:rPr>
          <w:rFonts w:hint="default"/>
          <w:b/>
          <w:bCs/>
          <w:color w:val="auto"/>
          <w:sz w:val="32"/>
          <w:szCs w:val="32"/>
          <w:lang w:val="en-US" w:eastAsia="zh-CN"/>
        </w:rPr>
        <w:br w:type="page"/>
      </w:r>
    </w:p>
    <w:p w14:paraId="1A50D24C">
      <w:pPr>
        <w:keepNext w:val="0"/>
        <w:keepLines w:val="0"/>
        <w:pageBreakBefore w:val="0"/>
        <w:widowControl w:val="0"/>
        <w:kinsoku/>
        <w:wordWrap/>
        <w:overflowPunct/>
        <w:topLinePunct w:val="0"/>
        <w:autoSpaceDE/>
        <w:autoSpaceDN/>
        <w:bidi w:val="0"/>
        <w:adjustRightInd/>
        <w:snapToGrid/>
        <w:spacing w:before="313" w:beforeLines="100" w:after="313" w:afterLines="100" w:line="360" w:lineRule="auto"/>
        <w:jc w:val="center"/>
        <w:textAlignment w:val="auto"/>
        <w:rPr>
          <w:rFonts w:hint="default"/>
          <w:b/>
          <w:bCs/>
          <w:color w:val="auto"/>
          <w:sz w:val="32"/>
          <w:szCs w:val="32"/>
          <w:lang w:val="en-US" w:eastAsia="zh-CN"/>
        </w:rPr>
      </w:pPr>
      <w:r>
        <w:rPr>
          <w:rFonts w:hint="default"/>
          <w:b/>
          <w:bCs/>
          <w:color w:val="auto"/>
          <w:sz w:val="32"/>
          <w:szCs w:val="32"/>
          <w:lang w:val="en-US" w:eastAsia="zh-CN"/>
        </w:rPr>
        <w:t>一、项目概况</w:t>
      </w:r>
      <w:bookmarkEnd w:id="139"/>
      <w:bookmarkEnd w:id="140"/>
      <w:bookmarkEnd w:id="141"/>
      <w:bookmarkEnd w:id="142"/>
      <w:bookmarkEnd w:id="143"/>
    </w:p>
    <w:bookmarkEnd w:id="144"/>
    <w:bookmarkEnd w:id="145"/>
    <w:bookmarkEnd w:id="146"/>
    <w:bookmarkEnd w:id="147"/>
    <w:bookmarkEnd w:id="148"/>
    <w:p w14:paraId="1F630EE5">
      <w:pPr>
        <w:spacing w:before="120" w:after="120" w:line="360" w:lineRule="auto"/>
        <w:ind w:firstLine="480" w:firstLineChars="200"/>
        <w:jc w:val="left"/>
        <w:rPr>
          <w:rFonts w:hint="default" w:ascii="Times New Roman" w:hAnsi="Times New Roman" w:eastAsia="宋体" w:cs="Times New Roman"/>
          <w:color w:val="auto"/>
          <w:sz w:val="24"/>
          <w:szCs w:val="24"/>
        </w:rPr>
      </w:pPr>
      <w:bookmarkStart w:id="149" w:name="_Toc6483"/>
      <w:r>
        <w:rPr>
          <w:rFonts w:hint="eastAsia" w:ascii="Times New Roman" w:hAnsi="Times New Roman" w:eastAsia="宋体" w:cs="Times New Roman"/>
          <w:color w:val="auto"/>
          <w:sz w:val="24"/>
          <w:szCs w:val="24"/>
          <w:lang w:val="en-US" w:eastAsia="zh-CN"/>
        </w:rPr>
        <w:t>XX</w:t>
      </w:r>
      <w:r>
        <w:rPr>
          <w:rFonts w:hint="default" w:ascii="Times New Roman" w:hAnsi="Times New Roman" w:eastAsia="宋体" w:cs="Times New Roman"/>
          <w:color w:val="auto"/>
          <w:sz w:val="24"/>
          <w:szCs w:val="24"/>
        </w:rPr>
        <w:t>车间建成于</w:t>
      </w:r>
      <w:r>
        <w:rPr>
          <w:rFonts w:hint="eastAsia" w:ascii="Times New Roman" w:hAnsi="Times New Roman" w:eastAsia="宋体" w:cs="Times New Roman"/>
          <w:color w:val="auto"/>
          <w:sz w:val="24"/>
          <w:szCs w:val="24"/>
          <w:lang w:val="en-US" w:eastAsia="zh-CN"/>
        </w:rPr>
        <w:t>XX</w:t>
      </w:r>
      <w:r>
        <w:rPr>
          <w:rFonts w:hint="default" w:ascii="Times New Roman" w:hAnsi="Times New Roman" w:eastAsia="宋体" w:cs="Times New Roman"/>
          <w:color w:val="auto"/>
          <w:sz w:val="24"/>
          <w:szCs w:val="24"/>
        </w:rPr>
        <w:t>年，该车间厂房位于湖北省</w:t>
      </w:r>
      <w:r>
        <w:rPr>
          <w:rFonts w:hint="eastAsia" w:ascii="Times New Roman" w:hAnsi="Times New Roman" w:eastAsia="宋体" w:cs="Times New Roman"/>
          <w:color w:val="auto"/>
          <w:sz w:val="24"/>
          <w:szCs w:val="24"/>
          <w:lang w:val="en-US" w:eastAsia="zh-CN"/>
        </w:rPr>
        <w:t>XX</w:t>
      </w:r>
      <w:r>
        <w:rPr>
          <w:rFonts w:hint="default" w:ascii="Times New Roman" w:hAnsi="Times New Roman" w:eastAsia="宋体" w:cs="Times New Roman"/>
          <w:color w:val="auto"/>
          <w:sz w:val="24"/>
          <w:szCs w:val="24"/>
        </w:rPr>
        <w:t>市</w:t>
      </w:r>
      <w:r>
        <w:rPr>
          <w:rFonts w:hint="eastAsia" w:ascii="Times New Roman" w:hAnsi="Times New Roman" w:eastAsia="宋体" w:cs="Times New Roman"/>
          <w:color w:val="auto"/>
          <w:sz w:val="24"/>
          <w:szCs w:val="24"/>
          <w:lang w:val="en-US" w:eastAsia="zh-CN"/>
        </w:rPr>
        <w:t>XX</w:t>
      </w:r>
      <w:r>
        <w:rPr>
          <w:rFonts w:hint="default" w:ascii="Times New Roman" w:hAnsi="Times New Roman" w:eastAsia="宋体" w:cs="Times New Roman"/>
          <w:color w:val="auto"/>
          <w:sz w:val="24"/>
          <w:szCs w:val="24"/>
        </w:rPr>
        <w:t>市中伙大道，</w:t>
      </w:r>
      <w:r>
        <w:rPr>
          <w:rFonts w:hint="eastAsia" w:ascii="Times New Roman" w:hAnsi="Times New Roman" w:eastAsia="宋体" w:cs="Times New Roman"/>
          <w:color w:val="auto"/>
          <w:sz w:val="24"/>
          <w:szCs w:val="24"/>
          <w:lang w:val="en-US" w:eastAsia="zh-CN"/>
        </w:rPr>
        <w:t>XX</w:t>
      </w:r>
      <w:r>
        <w:rPr>
          <w:rFonts w:hint="default" w:ascii="Times New Roman" w:hAnsi="Times New Roman" w:eastAsia="宋体" w:cs="Times New Roman"/>
          <w:color w:val="auto"/>
          <w:sz w:val="24"/>
          <w:szCs w:val="24"/>
        </w:rPr>
        <w:t>车间上部主体结构为单层双跨门式刚架结构，基础型式为柱下承台桩基础，受检区域总长约为</w:t>
      </w:r>
      <w:r>
        <w:rPr>
          <w:rFonts w:hint="eastAsia" w:ascii="Times New Roman" w:hAnsi="Times New Roman" w:eastAsia="宋体" w:cs="Times New Roman"/>
          <w:color w:val="auto"/>
          <w:sz w:val="24"/>
          <w:szCs w:val="24"/>
          <w:lang w:val="en-US" w:eastAsia="zh-CN"/>
        </w:rPr>
        <w:t>XX</w:t>
      </w:r>
      <w:r>
        <w:rPr>
          <w:rFonts w:hint="default" w:ascii="Times New Roman" w:hAnsi="Times New Roman" w:eastAsia="宋体" w:cs="Times New Roman"/>
          <w:color w:val="auto"/>
          <w:sz w:val="24"/>
          <w:szCs w:val="24"/>
        </w:rPr>
        <w:t>，总宽约为</w:t>
      </w:r>
      <w:r>
        <w:rPr>
          <w:rFonts w:hint="eastAsia" w:ascii="Times New Roman" w:hAnsi="Times New Roman" w:eastAsia="宋体" w:cs="Times New Roman"/>
          <w:color w:val="auto"/>
          <w:sz w:val="24"/>
          <w:szCs w:val="24"/>
          <w:lang w:val="en-US" w:eastAsia="zh-CN"/>
        </w:rPr>
        <w:t>XX</w:t>
      </w:r>
      <w:r>
        <w:rPr>
          <w:rFonts w:hint="default" w:ascii="Times New Roman" w:hAnsi="Times New Roman" w:eastAsia="宋体" w:cs="Times New Roman"/>
          <w:color w:val="auto"/>
          <w:sz w:val="24"/>
          <w:szCs w:val="24"/>
        </w:rPr>
        <w:t>，最大柱距</w:t>
      </w:r>
      <w:r>
        <w:rPr>
          <w:rFonts w:hint="eastAsia" w:ascii="Times New Roman" w:hAnsi="Times New Roman" w:eastAsia="宋体" w:cs="Times New Roman"/>
          <w:color w:val="auto"/>
          <w:sz w:val="24"/>
          <w:szCs w:val="24"/>
          <w:lang w:val="en-US" w:eastAsia="zh-CN"/>
        </w:rPr>
        <w:t>XX</w:t>
      </w:r>
      <w:r>
        <w:rPr>
          <w:rFonts w:hint="default" w:ascii="Times New Roman" w:hAnsi="Times New Roman" w:eastAsia="宋体" w:cs="Times New Roman"/>
          <w:color w:val="auto"/>
          <w:sz w:val="24"/>
          <w:szCs w:val="24"/>
        </w:rPr>
        <w:t>，最大跨度</w:t>
      </w:r>
      <w:r>
        <w:rPr>
          <w:rFonts w:hint="eastAsia" w:ascii="Times New Roman" w:hAnsi="Times New Roman" w:eastAsia="宋体" w:cs="Times New Roman"/>
          <w:color w:val="auto"/>
          <w:sz w:val="24"/>
          <w:szCs w:val="24"/>
          <w:lang w:val="en-US" w:eastAsia="zh-CN"/>
        </w:rPr>
        <w:t>XX</w:t>
      </w:r>
      <w:r>
        <w:rPr>
          <w:rFonts w:hint="default" w:ascii="Times New Roman" w:hAnsi="Times New Roman" w:eastAsia="宋体" w:cs="Times New Roman"/>
          <w:color w:val="auto"/>
          <w:sz w:val="24"/>
          <w:szCs w:val="24"/>
        </w:rPr>
        <w:t>，建筑物檐口高度约为</w:t>
      </w:r>
      <w:r>
        <w:rPr>
          <w:rFonts w:hint="eastAsia" w:ascii="Times New Roman" w:hAnsi="Times New Roman" w:eastAsia="宋体" w:cs="Times New Roman"/>
          <w:color w:val="auto"/>
          <w:sz w:val="24"/>
          <w:szCs w:val="24"/>
          <w:lang w:val="en-US" w:eastAsia="zh-CN"/>
        </w:rPr>
        <w:t>XX</w:t>
      </w:r>
      <w:r>
        <w:rPr>
          <w:rFonts w:hint="default" w:ascii="Times New Roman" w:hAnsi="Times New Roman" w:eastAsia="宋体" w:cs="Times New Roman"/>
          <w:color w:val="auto"/>
          <w:sz w:val="24"/>
          <w:szCs w:val="24"/>
        </w:rPr>
        <w:t>，屋脊高度约为</w:t>
      </w:r>
      <w:r>
        <w:rPr>
          <w:rFonts w:hint="eastAsia" w:ascii="Times New Roman" w:hAnsi="Times New Roman" w:eastAsia="宋体" w:cs="Times New Roman"/>
          <w:color w:val="auto"/>
          <w:sz w:val="24"/>
          <w:szCs w:val="24"/>
          <w:lang w:val="en-US" w:eastAsia="zh-CN"/>
        </w:rPr>
        <w:t>XX</w:t>
      </w:r>
      <w:r>
        <w:rPr>
          <w:rFonts w:hint="default" w:ascii="Times New Roman" w:hAnsi="Times New Roman" w:eastAsia="宋体" w:cs="Times New Roman"/>
          <w:color w:val="auto"/>
          <w:sz w:val="24"/>
          <w:szCs w:val="24"/>
        </w:rPr>
        <w:t>，坡度</w:t>
      </w:r>
      <w:r>
        <w:rPr>
          <w:rFonts w:hint="eastAsia" w:ascii="Times New Roman" w:hAnsi="Times New Roman" w:eastAsia="宋体" w:cs="Times New Roman"/>
          <w:i/>
          <w:color w:val="auto"/>
          <w:sz w:val="24"/>
          <w:szCs w:val="24"/>
          <w:lang w:val="en-US" w:eastAsia="zh-CN"/>
        </w:rPr>
        <w:t>XX</w:t>
      </w:r>
      <w:r>
        <w:rPr>
          <w:rFonts w:hint="default" w:ascii="Times New Roman" w:hAnsi="Times New Roman" w:eastAsia="宋体" w:cs="Times New Roman"/>
          <w:color w:val="auto"/>
          <w:sz w:val="24"/>
          <w:szCs w:val="24"/>
        </w:rPr>
        <w:t>，门式刚架主结构钢柱采用工字型实腹式，屋面钢梁采用工字型节点均为刚接，柱脚与基础为刚接，抗风柱柱脚铰接，屋面板卷边单层压型钢板+C型钢镀锌檩条+实腹式钢梁承重，屋面为不上人屋面。</w:t>
      </w:r>
    </w:p>
    <w:p w14:paraId="79A5F4CD">
      <w:pPr>
        <w:spacing w:before="120" w:after="120"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现场踏勘调查显示结构为正常使用环境，主要作为生产车间厂房使用，目前一直处于使用中，厂房相关跨内部设置桥式起重机吊车，正常运行；周边无施工、腐蚀和振动等不利环境。</w:t>
      </w:r>
    </w:p>
    <w:p w14:paraId="432F2543">
      <w:pPr>
        <w:spacing w:before="120" w:after="120"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为了解车间的结构现状，且为项目后续决策实施和相关改造提供技术依据，受</w:t>
      </w:r>
      <w:r>
        <w:rPr>
          <w:rFonts w:hint="eastAsia" w:ascii="Times New Roman" w:hAnsi="Times New Roman" w:eastAsia="宋体" w:cs="Times New Roman"/>
          <w:color w:val="auto"/>
          <w:sz w:val="24"/>
          <w:szCs w:val="24"/>
          <w:lang w:val="en-US" w:eastAsia="zh-CN"/>
        </w:rPr>
        <w:t>XX</w:t>
      </w:r>
      <w:r>
        <w:rPr>
          <w:rFonts w:hint="default" w:ascii="Times New Roman" w:hAnsi="Times New Roman" w:eastAsia="宋体" w:cs="Times New Roman"/>
          <w:color w:val="auto"/>
          <w:sz w:val="24"/>
          <w:szCs w:val="24"/>
        </w:rPr>
        <w:t>委托，我公司根据相关规范和技术要求于</w:t>
      </w:r>
      <w:r>
        <w:rPr>
          <w:rFonts w:hint="eastAsia" w:ascii="Times New Roman" w:hAnsi="Times New Roman" w:eastAsia="宋体" w:cs="Times New Roman"/>
          <w:color w:val="auto"/>
          <w:sz w:val="24"/>
          <w:szCs w:val="24"/>
          <w:lang w:val="en-US" w:eastAsia="zh-CN"/>
        </w:rPr>
        <w:t>XX</w:t>
      </w:r>
      <w:r>
        <w:rPr>
          <w:rFonts w:hint="default" w:ascii="Times New Roman" w:hAnsi="Times New Roman" w:eastAsia="宋体" w:cs="Times New Roman"/>
          <w:color w:val="auto"/>
          <w:sz w:val="24"/>
          <w:szCs w:val="24"/>
        </w:rPr>
        <w:t>年</w:t>
      </w:r>
      <w:r>
        <w:rPr>
          <w:rFonts w:hint="eastAsia" w:ascii="Times New Roman" w:hAnsi="Times New Roman" w:eastAsia="宋体" w:cs="Times New Roman"/>
          <w:color w:val="auto"/>
          <w:sz w:val="24"/>
          <w:szCs w:val="24"/>
          <w:lang w:val="en-US" w:eastAsia="zh-CN"/>
        </w:rPr>
        <w:t>XX</w:t>
      </w:r>
      <w:r>
        <w:rPr>
          <w:rFonts w:hint="default" w:ascii="Times New Roman" w:hAnsi="Times New Roman" w:eastAsia="宋体" w:cs="Times New Roman"/>
          <w:color w:val="auto"/>
          <w:sz w:val="24"/>
          <w:szCs w:val="24"/>
        </w:rPr>
        <w:t>月</w:t>
      </w:r>
      <w:r>
        <w:rPr>
          <w:rFonts w:hint="eastAsia" w:ascii="Times New Roman" w:hAnsi="Times New Roman" w:eastAsia="宋体" w:cs="Times New Roman"/>
          <w:color w:val="auto"/>
          <w:sz w:val="24"/>
          <w:szCs w:val="24"/>
          <w:lang w:val="en-US" w:eastAsia="zh-CN"/>
        </w:rPr>
        <w:t>XX</w:t>
      </w:r>
      <w:r>
        <w:rPr>
          <w:rFonts w:hint="default" w:ascii="Times New Roman" w:hAnsi="Times New Roman" w:eastAsia="宋体" w:cs="Times New Roman"/>
          <w:color w:val="auto"/>
          <w:sz w:val="24"/>
          <w:szCs w:val="24"/>
        </w:rPr>
        <w:t>日对</w:t>
      </w:r>
      <w:r>
        <w:rPr>
          <w:rFonts w:hint="eastAsia" w:ascii="Times New Roman" w:hAnsi="Times New Roman" w:eastAsia="宋体" w:cs="Times New Roman"/>
          <w:color w:val="auto"/>
          <w:sz w:val="24"/>
          <w:szCs w:val="24"/>
          <w:lang w:val="en-US" w:eastAsia="zh-CN"/>
        </w:rPr>
        <w:t>XX</w:t>
      </w:r>
      <w:r>
        <w:rPr>
          <w:rFonts w:hint="default" w:ascii="Times New Roman" w:hAnsi="Times New Roman" w:eastAsia="宋体" w:cs="Times New Roman"/>
          <w:color w:val="auto"/>
          <w:sz w:val="24"/>
          <w:szCs w:val="24"/>
        </w:rPr>
        <w:t>车间进行结构检测，在整理现场检测数据并分析处理的基础上，提出本结构鉴定报告。</w:t>
      </w:r>
    </w:p>
    <w:p w14:paraId="14F485A1">
      <w:pPr>
        <w:spacing w:before="120" w:after="120" w:line="360" w:lineRule="auto"/>
        <w:ind w:firstLine="480" w:firstLineChars="200"/>
        <w:jc w:val="left"/>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XX</w:t>
      </w:r>
      <w:r>
        <w:rPr>
          <w:rFonts w:hint="default" w:ascii="Times New Roman" w:hAnsi="Times New Roman" w:eastAsia="宋体" w:cs="Times New Roman"/>
          <w:color w:val="auto"/>
          <w:sz w:val="24"/>
          <w:szCs w:val="24"/>
        </w:rPr>
        <w:t>车间外景见照片1-1。</w:t>
      </w:r>
    </w:p>
    <w:p w14:paraId="5A3F9490">
      <w:pPr>
        <w:spacing w:before="0" w:after="0" w:line="360" w:lineRule="auto"/>
        <w:jc w:val="center"/>
        <w:rPr>
          <w:rFonts w:hint="default" w:ascii="Times New Roman" w:hAnsi="Times New Roman" w:eastAsia="宋体" w:cs="Times New Roman"/>
          <w:color w:val="auto"/>
          <w:sz w:val="24"/>
          <w:szCs w:val="24"/>
        </w:rPr>
      </w:pPr>
    </w:p>
    <w:p w14:paraId="27485321">
      <w:pPr>
        <w:widowControl w:val="0"/>
        <w:snapToGrid w:val="0"/>
        <w:spacing w:before="0" w:after="0" w:line="240" w:lineRule="auto"/>
        <w:ind w:firstLine="0" w:firstLineChars="0"/>
        <w:jc w:val="center"/>
        <w:rPr>
          <w:rFonts w:hint="default" w:ascii="Times New Roman" w:hAnsi="Times New Roman" w:eastAsia="宋体" w:cs="Times New Roman"/>
          <w:b/>
          <w:color w:val="auto"/>
          <w:kern w:val="2"/>
          <w:sz w:val="24"/>
          <w:szCs w:val="21"/>
          <w:lang w:val="zh-CN" w:eastAsia="zh-CN" w:bidi="ar-SA"/>
        </w:rPr>
      </w:pPr>
      <w:r>
        <w:rPr>
          <w:rFonts w:hint="default" w:ascii="Times New Roman" w:hAnsi="Times New Roman" w:eastAsia="宋体" w:cs="Times New Roman"/>
          <w:b/>
          <w:color w:val="auto"/>
          <w:kern w:val="2"/>
          <w:sz w:val="21"/>
          <w:szCs w:val="21"/>
          <w:lang w:val="zh-CN" w:eastAsia="zh-CN" w:bidi="ar-SA"/>
        </w:rPr>
        <w:t xml:space="preserve">照片1-1 </w:t>
      </w:r>
      <w:r>
        <w:rPr>
          <w:rFonts w:hint="eastAsia" w:ascii="Times New Roman" w:hAnsi="Times New Roman" w:eastAsia="宋体" w:cs="Times New Roman"/>
          <w:b/>
          <w:color w:val="auto"/>
          <w:kern w:val="2"/>
          <w:sz w:val="21"/>
          <w:szCs w:val="21"/>
          <w:lang w:val="en-US" w:eastAsia="zh-CN" w:bidi="ar-SA"/>
        </w:rPr>
        <w:t>XX</w:t>
      </w:r>
      <w:r>
        <w:rPr>
          <w:rFonts w:hint="default" w:ascii="Times New Roman" w:hAnsi="Times New Roman" w:eastAsia="宋体" w:cs="Times New Roman"/>
          <w:b/>
          <w:color w:val="auto"/>
          <w:kern w:val="2"/>
          <w:sz w:val="21"/>
          <w:szCs w:val="21"/>
          <w:lang w:val="zh-CN" w:eastAsia="zh-CN" w:bidi="ar-SA"/>
        </w:rPr>
        <w:t>车间外部实景照片</w:t>
      </w:r>
    </w:p>
    <w:p w14:paraId="4880300A">
      <w:pPr>
        <w:keepNext w:val="0"/>
        <w:keepLines w:val="0"/>
        <w:pageBreakBefore w:val="0"/>
        <w:widowControl w:val="0"/>
        <w:kinsoku/>
        <w:wordWrap/>
        <w:overflowPunct/>
        <w:topLinePunct w:val="0"/>
        <w:autoSpaceDE/>
        <w:autoSpaceDN/>
        <w:bidi w:val="0"/>
        <w:adjustRightInd/>
        <w:snapToGrid/>
        <w:spacing w:before="313" w:beforeLines="100" w:after="313" w:afterLines="100" w:line="360" w:lineRule="auto"/>
        <w:jc w:val="center"/>
        <w:textAlignment w:val="auto"/>
        <w:rPr>
          <w:rFonts w:hint="default"/>
          <w:b/>
          <w:bCs/>
          <w:color w:val="auto"/>
          <w:sz w:val="32"/>
          <w:szCs w:val="32"/>
          <w:lang w:val="en-US" w:eastAsia="zh-CN"/>
        </w:rPr>
      </w:pPr>
      <w:bookmarkStart w:id="150" w:name="_Toc24355"/>
      <w:bookmarkStart w:id="151" w:name="_Toc7307"/>
      <w:bookmarkStart w:id="152" w:name="_Toc26829"/>
      <w:bookmarkStart w:id="153" w:name="_Toc105078947"/>
      <w:r>
        <w:rPr>
          <w:rFonts w:hint="default"/>
          <w:b/>
          <w:bCs/>
          <w:color w:val="auto"/>
          <w:sz w:val="32"/>
          <w:szCs w:val="32"/>
          <w:lang w:val="en-US" w:eastAsia="zh-CN"/>
        </w:rPr>
        <w:t>二、检测鉴定目的、范围和内容</w:t>
      </w:r>
      <w:bookmarkEnd w:id="149"/>
      <w:bookmarkEnd w:id="150"/>
      <w:bookmarkEnd w:id="151"/>
      <w:bookmarkEnd w:id="152"/>
      <w:bookmarkEnd w:id="153"/>
    </w:p>
    <w:p w14:paraId="3A509440">
      <w:pPr>
        <w:keepNext w:val="0"/>
        <w:keepLines w:val="0"/>
        <w:pageBreakBefore w:val="0"/>
        <w:widowControl w:val="0"/>
        <w:kinsoku/>
        <w:wordWrap/>
        <w:overflowPunct/>
        <w:topLinePunct w:val="0"/>
        <w:autoSpaceDE/>
        <w:autoSpaceDN/>
        <w:bidi w:val="0"/>
        <w:adjustRightInd/>
        <w:snapToGrid/>
        <w:spacing w:before="157" w:beforeLines="50" w:after="157" w:afterLines="50"/>
        <w:textAlignment w:val="auto"/>
        <w:rPr>
          <w:rFonts w:hint="default" w:ascii="Times New Roman" w:hAnsi="Times New Roman" w:cs="Times New Roman"/>
          <w:b/>
          <w:bCs/>
          <w:color w:val="auto"/>
          <w:sz w:val="30"/>
          <w:szCs w:val="30"/>
          <w:lang w:val="en-US" w:eastAsia="zh-CN"/>
        </w:rPr>
      </w:pPr>
      <w:bookmarkStart w:id="154" w:name="_Toc280780763"/>
      <w:bookmarkStart w:id="155" w:name="_Toc31558"/>
      <w:bookmarkStart w:id="156" w:name="_Toc141107551"/>
      <w:bookmarkStart w:id="157" w:name="_Toc203893482"/>
      <w:bookmarkStart w:id="158" w:name="_Toc141349629"/>
      <w:bookmarkStart w:id="159" w:name="_Toc29938"/>
      <w:bookmarkStart w:id="160" w:name="_Toc141257774"/>
      <w:bookmarkStart w:id="161" w:name="_Toc249541717"/>
      <w:bookmarkStart w:id="162" w:name="_Toc141107141"/>
      <w:bookmarkStart w:id="163" w:name="_Toc240688466"/>
      <w:bookmarkStart w:id="164" w:name="_Toc105078948"/>
      <w:r>
        <w:rPr>
          <w:rFonts w:hint="default" w:ascii="Times New Roman" w:hAnsi="Times New Roman" w:cs="Times New Roman"/>
          <w:b/>
          <w:bCs/>
          <w:color w:val="auto"/>
          <w:sz w:val="30"/>
          <w:szCs w:val="30"/>
          <w:lang w:val="en-US" w:eastAsia="zh-CN"/>
        </w:rPr>
        <w:t>2.1 检测鉴定目的</w:t>
      </w:r>
      <w:bookmarkEnd w:id="154"/>
      <w:bookmarkEnd w:id="155"/>
      <w:bookmarkEnd w:id="156"/>
      <w:bookmarkEnd w:id="157"/>
      <w:bookmarkEnd w:id="158"/>
      <w:bookmarkEnd w:id="159"/>
      <w:bookmarkEnd w:id="160"/>
      <w:bookmarkEnd w:id="161"/>
      <w:bookmarkEnd w:id="162"/>
      <w:bookmarkEnd w:id="163"/>
      <w:bookmarkEnd w:id="164"/>
    </w:p>
    <w:p w14:paraId="4B2BC449">
      <w:pPr>
        <w:spacing w:before="120" w:after="120" w:line="360" w:lineRule="auto"/>
        <w:ind w:firstLine="480" w:firstLineChars="200"/>
        <w:jc w:val="left"/>
        <w:rPr>
          <w:rFonts w:hint="default" w:ascii="Times New Roman" w:hAnsi="Times New Roman" w:eastAsia="宋体" w:cs="Times New Roman"/>
          <w:color w:val="auto"/>
          <w:sz w:val="24"/>
          <w:szCs w:val="24"/>
          <w:lang w:val="zh-CN"/>
        </w:rPr>
      </w:pPr>
      <w:bookmarkStart w:id="165" w:name="_Toc280780764"/>
      <w:bookmarkStart w:id="166" w:name="_Toc240688467"/>
      <w:bookmarkStart w:id="167" w:name="_Toc249541718"/>
      <w:bookmarkStart w:id="168" w:name="_Toc30938"/>
      <w:bookmarkStart w:id="169" w:name="_Toc203893483"/>
      <w:r>
        <w:rPr>
          <w:rFonts w:hint="default" w:ascii="Times New Roman" w:hAnsi="Times New Roman" w:eastAsia="宋体" w:cs="Times New Roman"/>
          <w:color w:val="auto"/>
          <w:sz w:val="24"/>
          <w:szCs w:val="24"/>
          <w:lang w:bidi="ar"/>
        </w:rPr>
        <w:t>对钢结构厂房进行检测，了解受检区域内目前建筑厂房建筑结构现状，并进行结构可靠性鉴定，为项目后续决策实施和改造提供技术依据</w:t>
      </w:r>
      <w:r>
        <w:rPr>
          <w:rFonts w:hint="default" w:ascii="Times New Roman" w:hAnsi="Times New Roman" w:eastAsia="宋体" w:cs="Times New Roman"/>
          <w:color w:val="auto"/>
          <w:sz w:val="24"/>
          <w:szCs w:val="24"/>
        </w:rPr>
        <w:t>。</w:t>
      </w:r>
    </w:p>
    <w:p w14:paraId="25105EEF">
      <w:pPr>
        <w:keepNext w:val="0"/>
        <w:keepLines w:val="0"/>
        <w:pageBreakBefore w:val="0"/>
        <w:widowControl w:val="0"/>
        <w:kinsoku/>
        <w:wordWrap/>
        <w:overflowPunct/>
        <w:topLinePunct w:val="0"/>
        <w:autoSpaceDE/>
        <w:autoSpaceDN/>
        <w:bidi w:val="0"/>
        <w:adjustRightInd/>
        <w:snapToGrid/>
        <w:spacing w:before="157" w:beforeLines="50" w:after="157" w:afterLines="50"/>
        <w:textAlignment w:val="auto"/>
        <w:rPr>
          <w:rFonts w:hint="default" w:ascii="Times New Roman" w:hAnsi="Times New Roman" w:cs="Times New Roman"/>
          <w:b/>
          <w:bCs/>
          <w:color w:val="auto"/>
          <w:sz w:val="30"/>
          <w:szCs w:val="30"/>
          <w:lang w:val="en-US" w:eastAsia="zh-CN"/>
        </w:rPr>
      </w:pPr>
      <w:bookmarkStart w:id="170" w:name="_Toc13997"/>
      <w:bookmarkStart w:id="171" w:name="_Toc141107552"/>
      <w:bookmarkStart w:id="172" w:name="_Toc141257775"/>
      <w:bookmarkStart w:id="173" w:name="_Toc105078949"/>
      <w:bookmarkStart w:id="174" w:name="_Toc141349630"/>
      <w:bookmarkStart w:id="175" w:name="_Toc141107142"/>
      <w:r>
        <w:rPr>
          <w:rFonts w:hint="default" w:ascii="Times New Roman" w:hAnsi="Times New Roman" w:cs="Times New Roman"/>
          <w:b/>
          <w:bCs/>
          <w:color w:val="auto"/>
          <w:sz w:val="30"/>
          <w:szCs w:val="30"/>
          <w:lang w:val="en-US" w:eastAsia="zh-CN"/>
        </w:rPr>
        <w:t>2.2 检测鉴定范围</w:t>
      </w:r>
      <w:bookmarkEnd w:id="165"/>
      <w:bookmarkEnd w:id="166"/>
      <w:bookmarkEnd w:id="167"/>
      <w:bookmarkEnd w:id="168"/>
      <w:bookmarkEnd w:id="169"/>
      <w:bookmarkEnd w:id="170"/>
      <w:bookmarkEnd w:id="171"/>
      <w:bookmarkEnd w:id="172"/>
      <w:bookmarkEnd w:id="173"/>
      <w:bookmarkEnd w:id="174"/>
      <w:bookmarkEnd w:id="175"/>
    </w:p>
    <w:p w14:paraId="6C20027C">
      <w:pPr>
        <w:spacing w:before="120" w:after="120" w:line="360" w:lineRule="auto"/>
        <w:ind w:firstLine="528" w:firstLineChars="220"/>
        <w:rPr>
          <w:rFonts w:hint="default" w:ascii="Times New Roman" w:hAnsi="Times New Roman" w:eastAsia="宋体" w:cs="Times New Roman"/>
          <w:color w:val="auto"/>
          <w:sz w:val="24"/>
          <w:szCs w:val="24"/>
        </w:rPr>
      </w:pPr>
      <w:bookmarkStart w:id="176" w:name="_Toc405970247"/>
      <w:bookmarkStart w:id="177" w:name="_Toc425607361"/>
      <w:r>
        <w:rPr>
          <w:rFonts w:hint="eastAsia" w:ascii="Times New Roman" w:hAnsi="Times New Roman" w:eastAsia="宋体" w:cs="Times New Roman"/>
          <w:color w:val="auto"/>
          <w:sz w:val="24"/>
          <w:szCs w:val="24"/>
          <w:lang w:val="en-US" w:eastAsia="zh-CN"/>
        </w:rPr>
        <w:t>XX</w:t>
      </w:r>
      <w:r>
        <w:rPr>
          <w:rFonts w:hint="default" w:ascii="Times New Roman" w:hAnsi="Times New Roman" w:eastAsia="宋体" w:cs="Times New Roman"/>
          <w:color w:val="auto"/>
          <w:sz w:val="24"/>
          <w:szCs w:val="24"/>
        </w:rPr>
        <w:t>车间</w:t>
      </w:r>
      <w:r>
        <w:rPr>
          <w:rFonts w:hint="default" w:ascii="Times New Roman" w:hAnsi="Times New Roman" w:eastAsia="宋体" w:cs="Times New Roman"/>
          <w:color w:val="auto"/>
          <w:kern w:val="0"/>
          <w:sz w:val="24"/>
          <w:szCs w:val="24"/>
        </w:rPr>
        <w:t>。</w:t>
      </w:r>
    </w:p>
    <w:bookmarkEnd w:id="176"/>
    <w:bookmarkEnd w:id="177"/>
    <w:p w14:paraId="1AC4DE21">
      <w:pPr>
        <w:keepNext w:val="0"/>
        <w:keepLines w:val="0"/>
        <w:pageBreakBefore w:val="0"/>
        <w:widowControl w:val="0"/>
        <w:kinsoku/>
        <w:wordWrap/>
        <w:overflowPunct/>
        <w:topLinePunct w:val="0"/>
        <w:autoSpaceDE/>
        <w:autoSpaceDN/>
        <w:bidi w:val="0"/>
        <w:adjustRightInd/>
        <w:snapToGrid/>
        <w:spacing w:before="157" w:beforeLines="50" w:after="157" w:afterLines="50"/>
        <w:textAlignment w:val="auto"/>
        <w:rPr>
          <w:rFonts w:hint="default" w:ascii="Times New Roman" w:hAnsi="Times New Roman" w:cs="Times New Roman"/>
          <w:b/>
          <w:bCs/>
          <w:color w:val="auto"/>
          <w:sz w:val="30"/>
          <w:szCs w:val="30"/>
          <w:lang w:val="en-US" w:eastAsia="zh-CN"/>
        </w:rPr>
      </w:pPr>
      <w:bookmarkStart w:id="178" w:name="_Toc141107143"/>
      <w:bookmarkStart w:id="179" w:name="_Toc240688468"/>
      <w:bookmarkStart w:id="180" w:name="_Toc425607362"/>
      <w:bookmarkStart w:id="181" w:name="_Toc27697"/>
      <w:bookmarkStart w:id="182" w:name="_Toc249541719"/>
      <w:bookmarkStart w:id="183" w:name="_Toc405970248"/>
      <w:bookmarkStart w:id="184" w:name="_Toc141257776"/>
      <w:bookmarkStart w:id="185" w:name="_Toc105078950"/>
      <w:bookmarkStart w:id="186" w:name="_Toc141107553"/>
      <w:bookmarkStart w:id="187" w:name="_Toc141349631"/>
      <w:bookmarkStart w:id="188" w:name="_Toc25925"/>
      <w:r>
        <w:rPr>
          <w:rFonts w:hint="default" w:ascii="Times New Roman" w:hAnsi="Times New Roman" w:cs="Times New Roman"/>
          <w:b/>
          <w:bCs/>
          <w:color w:val="auto"/>
          <w:sz w:val="30"/>
          <w:szCs w:val="30"/>
          <w:lang w:val="en-US" w:eastAsia="zh-CN"/>
        </w:rPr>
        <w:t>2.3 检测鉴定内容</w:t>
      </w:r>
      <w:bookmarkEnd w:id="178"/>
      <w:bookmarkEnd w:id="179"/>
      <w:bookmarkEnd w:id="180"/>
      <w:bookmarkEnd w:id="181"/>
      <w:bookmarkEnd w:id="182"/>
      <w:bookmarkEnd w:id="183"/>
      <w:bookmarkEnd w:id="184"/>
      <w:bookmarkEnd w:id="185"/>
      <w:bookmarkEnd w:id="186"/>
      <w:bookmarkEnd w:id="187"/>
      <w:bookmarkEnd w:id="188"/>
    </w:p>
    <w:p w14:paraId="5EB2C465">
      <w:pPr>
        <w:spacing w:before="120" w:after="120" w:line="360" w:lineRule="auto"/>
        <w:ind w:firstLine="528" w:firstLineChars="22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根据该建筑结构特点和本工程的实际情况，本工程检测、鉴定主要包括以下内容：</w:t>
      </w:r>
    </w:p>
    <w:p w14:paraId="031B8822">
      <w:pPr>
        <w:autoSpaceDE w:val="0"/>
        <w:autoSpaceDN w:val="0"/>
        <w:adjustRightInd w:val="0"/>
        <w:spacing w:before="120" w:after="120" w:line="360" w:lineRule="auto"/>
        <w:ind w:firstLine="480" w:firstLineChars="200"/>
        <w:jc w:val="left"/>
        <w:rPr>
          <w:rFonts w:hint="default" w:ascii="Times New Roman" w:hAnsi="Times New Roman" w:eastAsia="宋体" w:cs="Times New Roman"/>
          <w:color w:val="auto"/>
          <w:sz w:val="24"/>
          <w:szCs w:val="24"/>
        </w:rPr>
      </w:pPr>
      <w:bookmarkStart w:id="189" w:name="_Toc16971"/>
      <w:bookmarkStart w:id="190" w:name="_Toc425607363"/>
      <w:r>
        <w:rPr>
          <w:rFonts w:hint="default" w:ascii="Times New Roman" w:hAnsi="Times New Roman" w:eastAsia="宋体" w:cs="Times New Roman"/>
          <w:color w:val="auto"/>
          <w:sz w:val="24"/>
          <w:szCs w:val="24"/>
        </w:rPr>
        <w:t>1、建筑结构布置情况调查；</w:t>
      </w:r>
    </w:p>
    <w:p w14:paraId="0FE0AF3E">
      <w:pPr>
        <w:autoSpaceDE w:val="0"/>
        <w:autoSpaceDN w:val="0"/>
        <w:adjustRightInd w:val="0"/>
        <w:spacing w:before="120" w:after="120"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2、建筑轴网尺寸及构件截面尺寸复核；</w:t>
      </w:r>
    </w:p>
    <w:p w14:paraId="39AF64E8">
      <w:pPr>
        <w:autoSpaceDE w:val="0"/>
        <w:autoSpaceDN w:val="0"/>
        <w:adjustRightInd w:val="0"/>
        <w:spacing w:before="120" w:after="120"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3、建筑结构损伤及外观缺陷普查；</w:t>
      </w:r>
    </w:p>
    <w:p w14:paraId="6FA99CF1">
      <w:pPr>
        <w:autoSpaceDE w:val="0"/>
        <w:autoSpaceDN w:val="0"/>
        <w:adjustRightInd w:val="0"/>
        <w:spacing w:before="120" w:after="120"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4、钢材里氏硬度检测；</w:t>
      </w:r>
    </w:p>
    <w:p w14:paraId="18F8A9B6">
      <w:pPr>
        <w:autoSpaceDE w:val="0"/>
        <w:autoSpaceDN w:val="0"/>
        <w:adjustRightInd w:val="0"/>
        <w:spacing w:before="120" w:after="120"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5、防腐涂层厚度检测；</w:t>
      </w:r>
    </w:p>
    <w:p w14:paraId="37B5179E">
      <w:pPr>
        <w:autoSpaceDE w:val="0"/>
        <w:autoSpaceDN w:val="0"/>
        <w:adjustRightInd w:val="0"/>
        <w:spacing w:before="120" w:after="120"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6、钢柱垂直度检测；</w:t>
      </w:r>
    </w:p>
    <w:p w14:paraId="64B86DD2">
      <w:pPr>
        <w:autoSpaceDE w:val="0"/>
        <w:autoSpaceDN w:val="0"/>
        <w:adjustRightInd w:val="0"/>
        <w:spacing w:before="120" w:after="120"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7、钢梁挠度检测；</w:t>
      </w:r>
    </w:p>
    <w:p w14:paraId="3C378002">
      <w:pPr>
        <w:autoSpaceDE w:val="0"/>
        <w:autoSpaceDN w:val="0"/>
        <w:adjustRightInd w:val="0"/>
        <w:spacing w:before="120" w:after="120"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8、结构承载力验算；</w:t>
      </w:r>
    </w:p>
    <w:p w14:paraId="436790C1">
      <w:pPr>
        <w:autoSpaceDE w:val="0"/>
        <w:autoSpaceDN w:val="0"/>
        <w:adjustRightInd w:val="0"/>
        <w:spacing w:before="120" w:after="120"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9、结构可靠性鉴定。</w:t>
      </w:r>
    </w:p>
    <w:p w14:paraId="50766612">
      <w:pPr>
        <w:autoSpaceDE w:val="0"/>
        <w:autoSpaceDN w:val="0"/>
        <w:adjustRightInd w:val="0"/>
        <w:spacing w:before="120" w:after="120"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10、结构抗震鉴定。</w:t>
      </w:r>
    </w:p>
    <w:p w14:paraId="3660E0DF">
      <w:pPr>
        <w:keepNext w:val="0"/>
        <w:keepLines w:val="0"/>
        <w:pageBreakBefore w:val="0"/>
        <w:widowControl w:val="0"/>
        <w:kinsoku/>
        <w:wordWrap/>
        <w:overflowPunct/>
        <w:topLinePunct w:val="0"/>
        <w:autoSpaceDE/>
        <w:autoSpaceDN/>
        <w:bidi w:val="0"/>
        <w:adjustRightInd/>
        <w:snapToGrid/>
        <w:spacing w:before="313" w:beforeLines="100" w:after="313" w:afterLines="100" w:line="360" w:lineRule="auto"/>
        <w:jc w:val="center"/>
        <w:textAlignment w:val="auto"/>
        <w:rPr>
          <w:rFonts w:hint="default"/>
          <w:b/>
          <w:bCs/>
          <w:color w:val="auto"/>
          <w:sz w:val="32"/>
          <w:szCs w:val="32"/>
          <w:lang w:val="en-US" w:eastAsia="zh-CN"/>
        </w:rPr>
      </w:pPr>
      <w:bookmarkStart w:id="191" w:name="_Toc27910"/>
      <w:bookmarkStart w:id="192" w:name="_Toc5098"/>
      <w:bookmarkStart w:id="193" w:name="_Toc12589"/>
      <w:bookmarkStart w:id="194" w:name="_Toc105078951"/>
      <w:r>
        <w:rPr>
          <w:rFonts w:hint="default"/>
          <w:b/>
          <w:bCs/>
          <w:color w:val="auto"/>
          <w:sz w:val="32"/>
          <w:szCs w:val="32"/>
          <w:lang w:val="en-US" w:eastAsia="zh-CN"/>
        </w:rPr>
        <w:t>三、检测及鉴定依据</w:t>
      </w:r>
      <w:bookmarkEnd w:id="189"/>
      <w:bookmarkEnd w:id="190"/>
      <w:bookmarkEnd w:id="191"/>
      <w:bookmarkEnd w:id="192"/>
      <w:bookmarkEnd w:id="193"/>
      <w:bookmarkEnd w:id="194"/>
    </w:p>
    <w:p w14:paraId="70A8C24E">
      <w:pPr>
        <w:keepNext w:val="0"/>
        <w:keepLines w:val="0"/>
        <w:pageBreakBefore w:val="0"/>
        <w:widowControl w:val="0"/>
        <w:kinsoku/>
        <w:wordWrap/>
        <w:overflowPunct/>
        <w:topLinePunct w:val="0"/>
        <w:autoSpaceDE/>
        <w:autoSpaceDN/>
        <w:bidi w:val="0"/>
        <w:adjustRightInd/>
        <w:snapToGrid/>
        <w:spacing w:before="157" w:beforeLines="50" w:after="157" w:afterLines="50"/>
        <w:textAlignment w:val="auto"/>
        <w:rPr>
          <w:rFonts w:hint="default" w:ascii="Times New Roman" w:hAnsi="Times New Roman" w:cs="Times New Roman"/>
          <w:b/>
          <w:bCs/>
          <w:color w:val="auto"/>
          <w:sz w:val="30"/>
          <w:szCs w:val="30"/>
          <w:lang w:val="en-US" w:eastAsia="zh-CN"/>
        </w:rPr>
      </w:pPr>
      <w:bookmarkStart w:id="195" w:name="_Toc1442"/>
      <w:r>
        <w:rPr>
          <w:rFonts w:hint="default" w:ascii="Times New Roman" w:hAnsi="Times New Roman" w:cs="Times New Roman"/>
          <w:b/>
          <w:bCs/>
          <w:color w:val="auto"/>
          <w:sz w:val="30"/>
          <w:szCs w:val="30"/>
          <w:lang w:val="en-US" w:eastAsia="zh-CN"/>
        </w:rPr>
        <w:t>3.1 检测依据</w:t>
      </w:r>
      <w:bookmarkEnd w:id="195"/>
    </w:p>
    <w:p w14:paraId="28AEA1C7">
      <w:pPr>
        <w:widowControl w:val="0"/>
        <w:spacing w:before="0" w:after="0" w:line="360" w:lineRule="auto"/>
        <w:ind w:firstLine="480" w:firstLineChars="200"/>
        <w:jc w:val="both"/>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1、《建筑结构检测技术标准》（GB/T 50344－2019）；</w:t>
      </w:r>
    </w:p>
    <w:p w14:paraId="214B104E">
      <w:pPr>
        <w:widowControl w:val="0"/>
        <w:spacing w:before="0" w:after="0" w:line="360" w:lineRule="auto"/>
        <w:ind w:firstLine="480" w:firstLineChars="200"/>
        <w:jc w:val="both"/>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2、《钢结构现场检测技术标准》（GB/T 50621-2010）；</w:t>
      </w:r>
    </w:p>
    <w:p w14:paraId="55100B56">
      <w:pPr>
        <w:widowControl w:val="0"/>
        <w:spacing w:before="0" w:after="0" w:line="360" w:lineRule="auto"/>
        <w:ind w:firstLine="480" w:firstLineChars="200"/>
        <w:jc w:val="both"/>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3、《钢结构工程施工质量验收标准》（GB 50205-2020）；</w:t>
      </w:r>
    </w:p>
    <w:p w14:paraId="5A4E726E">
      <w:pPr>
        <w:widowControl w:val="0"/>
        <w:spacing w:before="0" w:after="0" w:line="360" w:lineRule="auto"/>
        <w:ind w:firstLine="480" w:firstLineChars="200"/>
        <w:jc w:val="both"/>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4、《建筑变形测量规范》（JGJ 8-2016）；</w:t>
      </w:r>
    </w:p>
    <w:p w14:paraId="76364691">
      <w:pPr>
        <w:autoSpaceDE w:val="0"/>
        <w:autoSpaceDN w:val="0"/>
        <w:spacing w:before="0" w:after="0" w:line="360" w:lineRule="auto"/>
        <w:ind w:left="420" w:leftChars="200"/>
        <w:jc w:val="left"/>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5、《金属材料里氏硬度试验 第1部分：试验方法》（GB/T 17394.1-2014）；</w:t>
      </w:r>
    </w:p>
    <w:p w14:paraId="48797A4D">
      <w:pPr>
        <w:autoSpaceDE w:val="0"/>
        <w:autoSpaceDN w:val="0"/>
        <w:spacing w:before="0" w:after="0" w:line="360" w:lineRule="auto"/>
        <w:ind w:left="420" w:leftChars="200"/>
        <w:jc w:val="left"/>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6、 《金属材料里氏硬度试验 第4部分：硬度值换算表》(GB/T 17394.4-2014)。</w:t>
      </w:r>
    </w:p>
    <w:p w14:paraId="1B05B6E2">
      <w:pPr>
        <w:keepNext w:val="0"/>
        <w:keepLines w:val="0"/>
        <w:pageBreakBefore w:val="0"/>
        <w:widowControl w:val="0"/>
        <w:kinsoku/>
        <w:wordWrap/>
        <w:overflowPunct/>
        <w:topLinePunct w:val="0"/>
        <w:autoSpaceDE/>
        <w:autoSpaceDN/>
        <w:bidi w:val="0"/>
        <w:adjustRightInd/>
        <w:snapToGrid/>
        <w:spacing w:before="157" w:beforeLines="50" w:after="157" w:afterLines="50"/>
        <w:textAlignment w:val="auto"/>
        <w:rPr>
          <w:rFonts w:hint="default" w:ascii="Times New Roman" w:hAnsi="Times New Roman" w:cs="Times New Roman"/>
          <w:b/>
          <w:bCs/>
          <w:color w:val="auto"/>
          <w:sz w:val="30"/>
          <w:szCs w:val="30"/>
          <w:lang w:val="en-US" w:eastAsia="zh-CN"/>
        </w:rPr>
      </w:pPr>
      <w:bookmarkStart w:id="196" w:name="_Toc28867"/>
      <w:r>
        <w:rPr>
          <w:rFonts w:hint="default" w:ascii="Times New Roman" w:hAnsi="Times New Roman" w:cs="Times New Roman"/>
          <w:b/>
          <w:bCs/>
          <w:color w:val="auto"/>
          <w:sz w:val="30"/>
          <w:szCs w:val="30"/>
          <w:lang w:val="en-US" w:eastAsia="zh-CN"/>
        </w:rPr>
        <w:t>3.2 鉴定依据</w:t>
      </w:r>
      <w:bookmarkEnd w:id="196"/>
    </w:p>
    <w:p w14:paraId="10714BC2">
      <w:pPr>
        <w:widowControl w:val="0"/>
        <w:spacing w:before="0" w:after="0" w:line="360" w:lineRule="auto"/>
        <w:ind w:firstLine="480" w:firstLineChars="200"/>
        <w:jc w:val="both"/>
        <w:rPr>
          <w:rFonts w:hint="default" w:ascii="Times New Roman" w:hAnsi="Times New Roman" w:eastAsia="宋体" w:cs="Times New Roman"/>
          <w:color w:val="auto"/>
          <w:kern w:val="2"/>
          <w:sz w:val="24"/>
          <w:szCs w:val="24"/>
          <w:lang w:val="en-US" w:eastAsia="zh-CN" w:bidi="ar-SA"/>
        </w:rPr>
      </w:pPr>
      <w:bookmarkStart w:id="197" w:name="_Toc25684"/>
      <w:r>
        <w:rPr>
          <w:rFonts w:hint="default" w:ascii="Times New Roman" w:hAnsi="Times New Roman" w:eastAsia="宋体" w:cs="Times New Roman"/>
          <w:color w:val="auto"/>
          <w:kern w:val="2"/>
          <w:sz w:val="24"/>
          <w:szCs w:val="24"/>
          <w:lang w:val="en-US" w:eastAsia="zh-CN" w:bidi="ar-SA"/>
        </w:rPr>
        <w:t>1、《工业建筑可靠性鉴定标准》（GB 50144-2019）；</w:t>
      </w:r>
    </w:p>
    <w:p w14:paraId="675ECC87">
      <w:pPr>
        <w:widowControl w:val="0"/>
        <w:spacing w:before="0" w:after="0" w:line="360" w:lineRule="auto"/>
        <w:ind w:firstLine="480" w:firstLineChars="200"/>
        <w:jc w:val="both"/>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2、《既有建筑鉴定与加固通用规范》(GB 55021-2021)；</w:t>
      </w:r>
    </w:p>
    <w:p w14:paraId="2AC8D4A8">
      <w:pPr>
        <w:widowControl w:val="0"/>
        <w:spacing w:before="0" w:after="0" w:line="360" w:lineRule="auto"/>
        <w:ind w:firstLine="480" w:firstLineChars="200"/>
        <w:jc w:val="both"/>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3、《门式刚架轻型房屋钢结构技术规范》（GB 51022-2015）；</w:t>
      </w:r>
    </w:p>
    <w:p w14:paraId="6FE1CD0D">
      <w:pPr>
        <w:widowControl w:val="0"/>
        <w:spacing w:before="0" w:after="0" w:line="360" w:lineRule="auto"/>
        <w:ind w:firstLine="480" w:firstLineChars="200"/>
        <w:jc w:val="both"/>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4、《建筑地基基础设计规范》（GB 50007-2011）；</w:t>
      </w:r>
    </w:p>
    <w:p w14:paraId="304AAA6F">
      <w:pPr>
        <w:widowControl w:val="0"/>
        <w:spacing w:before="0" w:after="0" w:line="360" w:lineRule="auto"/>
        <w:ind w:firstLine="480" w:firstLineChars="200"/>
        <w:jc w:val="both"/>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 xml:space="preserve">5、《钢结构设计标准》（GB 50017-2017）； </w:t>
      </w:r>
    </w:p>
    <w:p w14:paraId="74C8C0B8">
      <w:pPr>
        <w:spacing w:line="360" w:lineRule="auto"/>
        <w:ind w:firstLine="480" w:firstLineChars="200"/>
        <w:jc w:val="both"/>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6、《工程结构通用规范》（GB 55001-2021）；</w:t>
      </w:r>
    </w:p>
    <w:p w14:paraId="2F797348">
      <w:pPr>
        <w:autoSpaceDE w:val="0"/>
        <w:autoSpaceDN w:val="0"/>
        <w:adjustRightInd w:val="0"/>
        <w:spacing w:before="0" w:after="0"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7、《建筑抗震设计规范》</w:t>
      </w:r>
      <w:r>
        <w:rPr>
          <w:rFonts w:hint="default" w:ascii="Times New Roman" w:hAnsi="Times New Roman" w:eastAsia="宋体" w:cs="Times New Roman"/>
          <w:color w:val="auto"/>
          <w:sz w:val="24"/>
          <w:szCs w:val="24"/>
          <w:lang w:eastAsia="zh-CN"/>
        </w:rPr>
        <w:t>（GB/T50011-2010）</w:t>
      </w:r>
      <w:r>
        <w:rPr>
          <w:rFonts w:hint="default" w:ascii="Times New Roman" w:hAnsi="Times New Roman" w:eastAsia="宋体" w:cs="Times New Roman"/>
          <w:color w:val="auto"/>
          <w:sz w:val="24"/>
          <w:szCs w:val="24"/>
        </w:rPr>
        <w:t>；</w:t>
      </w:r>
    </w:p>
    <w:p w14:paraId="43728575">
      <w:pPr>
        <w:widowControl w:val="0"/>
        <w:spacing w:before="0" w:after="0" w:line="360" w:lineRule="auto"/>
        <w:ind w:firstLine="480" w:firstLineChars="200"/>
        <w:jc w:val="both"/>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8、《建筑工程抗震设防分类标准》（GB 50223-2008）；</w:t>
      </w:r>
    </w:p>
    <w:p w14:paraId="3E00FBDA">
      <w:pPr>
        <w:widowControl w:val="0"/>
        <w:spacing w:before="0" w:after="0" w:line="360" w:lineRule="auto"/>
        <w:ind w:firstLine="480" w:firstLineChars="200"/>
        <w:jc w:val="both"/>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9、低合金高强度结构钢（GBT1591-2018）；</w:t>
      </w:r>
    </w:p>
    <w:p w14:paraId="2D518D7D">
      <w:pPr>
        <w:widowControl w:val="0"/>
        <w:spacing w:before="0" w:after="0" w:line="360" w:lineRule="auto"/>
        <w:ind w:firstLine="480" w:firstLineChars="200"/>
        <w:jc w:val="both"/>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10、《建筑抗震鉴定标准》（</w:t>
      </w:r>
      <w:r>
        <w:rPr>
          <w:rFonts w:hint="eastAsia" w:ascii="Times New Roman" w:hAnsi="Times New Roman" w:eastAsia="宋体" w:cs="Times New Roman"/>
          <w:color w:val="auto"/>
          <w:kern w:val="2"/>
          <w:sz w:val="24"/>
          <w:szCs w:val="24"/>
          <w:lang w:val="en-US" w:eastAsia="zh-CN" w:bidi="ar-SA"/>
        </w:rPr>
        <w:t>GB5003-2009</w:t>
      </w:r>
      <w:r>
        <w:rPr>
          <w:rFonts w:hint="default" w:ascii="Times New Roman" w:hAnsi="Times New Roman" w:eastAsia="宋体" w:cs="Times New Roman"/>
          <w:color w:val="auto"/>
          <w:kern w:val="2"/>
          <w:sz w:val="24"/>
          <w:szCs w:val="24"/>
          <w:lang w:val="en-US" w:eastAsia="zh-CN" w:bidi="ar-SA"/>
        </w:rPr>
        <w:t>）。</w:t>
      </w:r>
    </w:p>
    <w:p w14:paraId="6C15473D">
      <w:pPr>
        <w:keepNext w:val="0"/>
        <w:keepLines w:val="0"/>
        <w:pageBreakBefore w:val="0"/>
        <w:widowControl w:val="0"/>
        <w:kinsoku/>
        <w:wordWrap/>
        <w:overflowPunct/>
        <w:topLinePunct w:val="0"/>
        <w:autoSpaceDE/>
        <w:autoSpaceDN/>
        <w:bidi w:val="0"/>
        <w:adjustRightInd/>
        <w:snapToGrid/>
        <w:spacing w:before="157" w:beforeLines="50" w:after="157" w:afterLines="50"/>
        <w:textAlignment w:val="auto"/>
        <w:rPr>
          <w:rFonts w:hint="default" w:ascii="Times New Roman" w:hAnsi="Times New Roman" w:cs="Times New Roman"/>
          <w:b/>
          <w:bCs/>
          <w:color w:val="auto"/>
          <w:sz w:val="30"/>
          <w:szCs w:val="30"/>
          <w:lang w:val="en-US" w:eastAsia="zh-CN"/>
        </w:rPr>
      </w:pPr>
      <w:bookmarkStart w:id="198" w:name="_Toc15795"/>
      <w:r>
        <w:rPr>
          <w:rFonts w:hint="default" w:ascii="Times New Roman" w:hAnsi="Times New Roman" w:cs="Times New Roman"/>
          <w:b/>
          <w:bCs/>
          <w:color w:val="auto"/>
          <w:sz w:val="30"/>
          <w:szCs w:val="30"/>
          <w:lang w:val="en-US" w:eastAsia="zh-CN"/>
        </w:rPr>
        <w:t>3.3 其他相关文件</w:t>
      </w:r>
      <w:bookmarkEnd w:id="198"/>
    </w:p>
    <w:p w14:paraId="67858678">
      <w:pPr>
        <w:widowControl w:val="0"/>
        <w:spacing w:before="0" w:after="0" w:line="360" w:lineRule="auto"/>
        <w:ind w:firstLine="480" w:firstLineChars="200"/>
        <w:jc w:val="both"/>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1、部分结构图纸；</w:t>
      </w:r>
    </w:p>
    <w:p w14:paraId="24690B52">
      <w:pPr>
        <w:widowControl w:val="0"/>
        <w:spacing w:before="0" w:after="0" w:line="360" w:lineRule="auto"/>
        <w:ind w:firstLine="480" w:firstLineChars="200"/>
        <w:jc w:val="both"/>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2、双方签订的技术服务合同。</w:t>
      </w:r>
    </w:p>
    <w:p w14:paraId="2ADFB9BB">
      <w:pPr>
        <w:keepNext w:val="0"/>
        <w:keepLines w:val="0"/>
        <w:pageBreakBefore w:val="0"/>
        <w:widowControl w:val="0"/>
        <w:kinsoku/>
        <w:wordWrap/>
        <w:overflowPunct/>
        <w:topLinePunct w:val="0"/>
        <w:autoSpaceDE/>
        <w:autoSpaceDN/>
        <w:bidi w:val="0"/>
        <w:adjustRightInd/>
        <w:snapToGrid/>
        <w:spacing w:before="313" w:beforeLines="100" w:after="313" w:afterLines="100" w:line="360" w:lineRule="auto"/>
        <w:jc w:val="center"/>
        <w:textAlignment w:val="auto"/>
        <w:rPr>
          <w:rFonts w:hint="default"/>
          <w:b/>
          <w:bCs/>
          <w:color w:val="auto"/>
          <w:sz w:val="32"/>
          <w:szCs w:val="32"/>
          <w:lang w:val="en-US" w:eastAsia="zh-CN"/>
        </w:rPr>
      </w:pPr>
      <w:bookmarkStart w:id="199" w:name="_Toc32347"/>
      <w:bookmarkStart w:id="200" w:name="_Toc6505"/>
      <w:bookmarkStart w:id="201" w:name="_Toc105078952"/>
      <w:bookmarkStart w:id="202" w:name="_Toc12834"/>
      <w:r>
        <w:rPr>
          <w:rFonts w:hint="default"/>
          <w:b/>
          <w:bCs/>
          <w:color w:val="auto"/>
          <w:sz w:val="32"/>
          <w:szCs w:val="32"/>
          <w:lang w:val="en-US" w:eastAsia="zh-CN"/>
        </w:rPr>
        <w:t>四、检测设备</w:t>
      </w:r>
      <w:bookmarkEnd w:id="197"/>
      <w:bookmarkEnd w:id="199"/>
      <w:bookmarkEnd w:id="200"/>
      <w:bookmarkEnd w:id="201"/>
      <w:bookmarkEnd w:id="202"/>
    </w:p>
    <w:p w14:paraId="31D32393">
      <w:pPr>
        <w:spacing w:before="0" w:after="120" w:line="360" w:lineRule="auto"/>
        <w:ind w:firstLine="480" w:firstLineChars="200"/>
        <w:rPr>
          <w:rFonts w:hint="default" w:ascii="Times New Roman" w:hAnsi="Times New Roman" w:eastAsia="宋体" w:cs="Times New Roman"/>
          <w:color w:val="auto"/>
          <w:sz w:val="24"/>
          <w:szCs w:val="24"/>
        </w:rPr>
      </w:pPr>
      <w:bookmarkStart w:id="203" w:name="_Toc425607365"/>
      <w:bookmarkStart w:id="204" w:name="_Toc383941799"/>
      <w:r>
        <w:rPr>
          <w:rFonts w:hint="default" w:ascii="Times New Roman" w:hAnsi="Times New Roman" w:eastAsia="宋体" w:cs="Times New Roman"/>
          <w:color w:val="auto"/>
          <w:sz w:val="24"/>
          <w:szCs w:val="24"/>
        </w:rPr>
        <w:t>根据现场实际情况和检测内容，本次检测使用的主要仪器设备见表4-1，在整个检测作业期间，设备均在校准有效期内，运行正常。</w:t>
      </w:r>
    </w:p>
    <w:p w14:paraId="4152F8B0">
      <w:pPr>
        <w:widowControl w:val="0"/>
        <w:snapToGrid w:val="0"/>
        <w:spacing w:before="0" w:after="0" w:line="240" w:lineRule="auto"/>
        <w:ind w:firstLine="0" w:firstLineChars="0"/>
        <w:jc w:val="center"/>
        <w:rPr>
          <w:rFonts w:hint="default" w:ascii="Times New Roman" w:hAnsi="Times New Roman" w:eastAsia="宋体" w:cs="Times New Roman"/>
          <w:b/>
          <w:color w:val="auto"/>
          <w:kern w:val="2"/>
          <w:sz w:val="21"/>
          <w:szCs w:val="21"/>
          <w:highlight w:val="none"/>
          <w:lang w:val="zh-CN" w:eastAsia="zh-CN" w:bidi="ar-SA"/>
        </w:rPr>
      </w:pPr>
      <w:r>
        <w:rPr>
          <w:rFonts w:hint="default" w:ascii="Times New Roman" w:hAnsi="Times New Roman" w:eastAsia="宋体" w:cs="Times New Roman"/>
          <w:b/>
          <w:color w:val="auto"/>
          <w:kern w:val="2"/>
          <w:sz w:val="21"/>
          <w:szCs w:val="21"/>
          <w:lang w:val="zh-CN" w:eastAsia="zh-CN" w:bidi="ar-SA"/>
        </w:rPr>
        <w:t>表4-1  主要检测仪器设备</w:t>
      </w:r>
      <w:r>
        <w:rPr>
          <w:rFonts w:hint="eastAsia" w:ascii="Times New Roman" w:hAnsi="Times New Roman" w:eastAsia="宋体" w:cs="Times New Roman"/>
          <w:b/>
          <w:color w:val="auto"/>
          <w:kern w:val="2"/>
          <w:sz w:val="21"/>
          <w:szCs w:val="21"/>
          <w:highlight w:val="none"/>
          <w:lang w:val="zh-CN" w:eastAsia="zh-CN" w:bidi="ar-SA"/>
        </w:rPr>
        <w:t>（</w:t>
      </w:r>
      <w:r>
        <w:rPr>
          <w:rFonts w:hint="eastAsia" w:ascii="Times New Roman" w:hAnsi="Times New Roman" w:eastAsia="宋体" w:cs="Times New Roman"/>
          <w:b/>
          <w:color w:val="auto"/>
          <w:kern w:val="2"/>
          <w:sz w:val="21"/>
          <w:szCs w:val="21"/>
          <w:highlight w:val="none"/>
          <w:lang w:val="en-US" w:eastAsia="zh-CN" w:bidi="ar-SA"/>
        </w:rPr>
        <w:t>结合项目实际，一一列出</w:t>
      </w:r>
      <w:r>
        <w:rPr>
          <w:rFonts w:hint="eastAsia" w:ascii="Times New Roman" w:hAnsi="Times New Roman" w:eastAsia="宋体" w:cs="Times New Roman"/>
          <w:b/>
          <w:color w:val="auto"/>
          <w:kern w:val="2"/>
          <w:sz w:val="21"/>
          <w:szCs w:val="21"/>
          <w:highlight w:val="none"/>
          <w:lang w:val="zh-CN" w:eastAsia="zh-CN" w:bidi="ar-SA"/>
        </w:rPr>
        <w:t>）</w:t>
      </w:r>
    </w:p>
    <w:bookmarkEnd w:id="203"/>
    <w:bookmarkEnd w:id="204"/>
    <w:tbl>
      <w:tblPr>
        <w:tblStyle w:val="22"/>
        <w:tblW w:w="902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94"/>
        <w:gridCol w:w="1603"/>
        <w:gridCol w:w="1736"/>
        <w:gridCol w:w="2036"/>
        <w:gridCol w:w="2456"/>
      </w:tblGrid>
      <w:tr w14:paraId="629544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jc w:val="center"/>
        </w:trPr>
        <w:tc>
          <w:tcPr>
            <w:tcW w:w="1194" w:type="dxa"/>
            <w:vAlign w:val="center"/>
          </w:tcPr>
          <w:p w14:paraId="64AB8DE0">
            <w:pPr>
              <w:spacing w:before="0" w:after="0" w:line="240" w:lineRule="auto"/>
              <w:jc w:val="center"/>
              <w:rPr>
                <w:b/>
                <w:bCs/>
                <w:color w:val="auto"/>
              </w:rPr>
            </w:pPr>
            <w:bookmarkStart w:id="205" w:name="_Toc3749"/>
            <w:bookmarkStart w:id="206" w:name="_Toc105078953"/>
            <w:bookmarkStart w:id="207" w:name="_Toc2328"/>
            <w:bookmarkStart w:id="208" w:name="_Toc2180"/>
            <w:bookmarkStart w:id="209" w:name="_Toc8409"/>
            <w:r>
              <w:rPr>
                <w:b/>
                <w:bCs/>
                <w:color w:val="auto"/>
              </w:rPr>
              <w:t>仪器名称</w:t>
            </w:r>
          </w:p>
        </w:tc>
        <w:tc>
          <w:tcPr>
            <w:tcW w:w="1603" w:type="dxa"/>
            <w:vAlign w:val="center"/>
          </w:tcPr>
          <w:p w14:paraId="2B1B6630">
            <w:pPr>
              <w:spacing w:before="0" w:after="0" w:line="240" w:lineRule="auto"/>
              <w:jc w:val="center"/>
              <w:rPr>
                <w:b/>
                <w:bCs/>
                <w:color w:val="auto"/>
              </w:rPr>
            </w:pPr>
            <w:r>
              <w:rPr>
                <w:b/>
                <w:bCs/>
                <w:color w:val="auto"/>
              </w:rPr>
              <w:t>规格型号</w:t>
            </w:r>
          </w:p>
        </w:tc>
        <w:tc>
          <w:tcPr>
            <w:tcW w:w="1736" w:type="dxa"/>
            <w:vAlign w:val="center"/>
          </w:tcPr>
          <w:p w14:paraId="68EF9CD4">
            <w:pPr>
              <w:spacing w:before="0" w:after="0" w:line="240" w:lineRule="auto"/>
              <w:jc w:val="center"/>
              <w:rPr>
                <w:b/>
                <w:bCs/>
                <w:color w:val="auto"/>
              </w:rPr>
            </w:pPr>
            <w:r>
              <w:rPr>
                <w:b/>
                <w:bCs/>
                <w:color w:val="auto"/>
              </w:rPr>
              <w:t>仪器编号</w:t>
            </w:r>
          </w:p>
        </w:tc>
        <w:tc>
          <w:tcPr>
            <w:tcW w:w="2036" w:type="dxa"/>
            <w:vAlign w:val="center"/>
          </w:tcPr>
          <w:p w14:paraId="50070747">
            <w:pPr>
              <w:spacing w:before="0" w:after="0" w:line="240" w:lineRule="auto"/>
              <w:jc w:val="center"/>
              <w:rPr>
                <w:b/>
                <w:bCs/>
                <w:color w:val="auto"/>
              </w:rPr>
            </w:pPr>
            <w:r>
              <w:rPr>
                <w:b/>
                <w:bCs/>
                <w:color w:val="auto"/>
              </w:rPr>
              <w:t>证书编号</w:t>
            </w:r>
          </w:p>
        </w:tc>
        <w:tc>
          <w:tcPr>
            <w:tcW w:w="2456" w:type="dxa"/>
            <w:vAlign w:val="center"/>
          </w:tcPr>
          <w:p w14:paraId="54B12E95">
            <w:pPr>
              <w:spacing w:before="0" w:after="0" w:line="240" w:lineRule="auto"/>
              <w:jc w:val="center"/>
              <w:rPr>
                <w:b/>
                <w:bCs/>
                <w:color w:val="auto"/>
              </w:rPr>
            </w:pPr>
            <w:r>
              <w:rPr>
                <w:b/>
                <w:bCs/>
                <w:color w:val="auto"/>
              </w:rPr>
              <w:t>校准有效期</w:t>
            </w:r>
          </w:p>
        </w:tc>
      </w:tr>
      <w:tr w14:paraId="5AD620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194" w:type="dxa"/>
            <w:vAlign w:val="center"/>
          </w:tcPr>
          <w:p w14:paraId="58BD31E7">
            <w:pPr>
              <w:widowControl/>
              <w:spacing w:before="0" w:after="0" w:line="240" w:lineRule="auto"/>
              <w:jc w:val="center"/>
              <w:rPr>
                <w:rFonts w:hint="eastAsia"/>
                <w:color w:val="auto"/>
                <w:sz w:val="21"/>
                <w:szCs w:val="21"/>
                <w:lang w:val="en-US" w:eastAsia="zh-CN"/>
              </w:rPr>
            </w:pPr>
          </w:p>
        </w:tc>
        <w:tc>
          <w:tcPr>
            <w:tcW w:w="1603" w:type="dxa"/>
            <w:vAlign w:val="center"/>
          </w:tcPr>
          <w:p w14:paraId="5B021150">
            <w:pPr>
              <w:widowControl/>
              <w:spacing w:before="0" w:after="0" w:line="240" w:lineRule="auto"/>
              <w:jc w:val="center"/>
              <w:rPr>
                <w:rFonts w:hint="eastAsia"/>
                <w:color w:val="auto"/>
                <w:sz w:val="21"/>
                <w:szCs w:val="21"/>
                <w:lang w:val="en-US" w:eastAsia="zh-CN"/>
              </w:rPr>
            </w:pPr>
          </w:p>
        </w:tc>
        <w:tc>
          <w:tcPr>
            <w:tcW w:w="1736" w:type="dxa"/>
            <w:vAlign w:val="center"/>
          </w:tcPr>
          <w:p w14:paraId="3D442E32">
            <w:pPr>
              <w:widowControl/>
              <w:spacing w:before="0" w:after="0" w:line="240" w:lineRule="auto"/>
              <w:jc w:val="center"/>
              <w:rPr>
                <w:rFonts w:hint="eastAsia"/>
                <w:color w:val="auto"/>
                <w:sz w:val="21"/>
                <w:szCs w:val="21"/>
                <w:lang w:val="en-US" w:eastAsia="zh-CN"/>
              </w:rPr>
            </w:pPr>
          </w:p>
        </w:tc>
        <w:tc>
          <w:tcPr>
            <w:tcW w:w="2036" w:type="dxa"/>
            <w:vAlign w:val="center"/>
          </w:tcPr>
          <w:p w14:paraId="1DE700F9">
            <w:pPr>
              <w:widowControl/>
              <w:spacing w:before="0" w:after="0" w:line="240" w:lineRule="auto"/>
              <w:jc w:val="center"/>
              <w:rPr>
                <w:rFonts w:hint="eastAsia"/>
                <w:color w:val="auto"/>
                <w:sz w:val="21"/>
                <w:szCs w:val="21"/>
                <w:lang w:val="en-US" w:eastAsia="zh-CN"/>
              </w:rPr>
            </w:pPr>
          </w:p>
        </w:tc>
        <w:tc>
          <w:tcPr>
            <w:tcW w:w="2456" w:type="dxa"/>
            <w:vAlign w:val="center"/>
          </w:tcPr>
          <w:p w14:paraId="21EF5D03">
            <w:pPr>
              <w:widowControl/>
              <w:spacing w:before="0" w:after="0" w:line="240" w:lineRule="auto"/>
              <w:jc w:val="center"/>
              <w:rPr>
                <w:rFonts w:hint="eastAsia"/>
                <w:color w:val="auto"/>
                <w:sz w:val="21"/>
                <w:szCs w:val="21"/>
                <w:lang w:val="en-US" w:eastAsia="zh-CN"/>
              </w:rPr>
            </w:pPr>
          </w:p>
        </w:tc>
      </w:tr>
      <w:tr w14:paraId="24B067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194" w:type="dxa"/>
            <w:vAlign w:val="center"/>
          </w:tcPr>
          <w:p w14:paraId="2FD25975">
            <w:pPr>
              <w:widowControl/>
              <w:spacing w:before="0" w:after="0" w:line="240" w:lineRule="auto"/>
              <w:jc w:val="center"/>
              <w:rPr>
                <w:rFonts w:hint="eastAsia"/>
                <w:color w:val="auto"/>
                <w:sz w:val="21"/>
                <w:szCs w:val="21"/>
                <w:lang w:val="en-US" w:eastAsia="zh-CN"/>
              </w:rPr>
            </w:pPr>
          </w:p>
        </w:tc>
        <w:tc>
          <w:tcPr>
            <w:tcW w:w="1603" w:type="dxa"/>
            <w:vAlign w:val="center"/>
          </w:tcPr>
          <w:p w14:paraId="71BCC2F1">
            <w:pPr>
              <w:widowControl/>
              <w:spacing w:before="0" w:after="0" w:line="240" w:lineRule="auto"/>
              <w:jc w:val="center"/>
              <w:rPr>
                <w:rFonts w:hint="eastAsia"/>
                <w:color w:val="auto"/>
                <w:sz w:val="21"/>
                <w:szCs w:val="21"/>
                <w:lang w:val="en-US" w:eastAsia="zh-CN"/>
              </w:rPr>
            </w:pPr>
          </w:p>
        </w:tc>
        <w:tc>
          <w:tcPr>
            <w:tcW w:w="1736" w:type="dxa"/>
            <w:vAlign w:val="center"/>
          </w:tcPr>
          <w:p w14:paraId="27D27709">
            <w:pPr>
              <w:widowControl/>
              <w:spacing w:before="0" w:after="0" w:line="240" w:lineRule="auto"/>
              <w:jc w:val="center"/>
              <w:rPr>
                <w:rFonts w:hint="eastAsia"/>
                <w:color w:val="auto"/>
                <w:sz w:val="21"/>
                <w:szCs w:val="21"/>
                <w:lang w:val="en-US" w:eastAsia="zh-CN"/>
              </w:rPr>
            </w:pPr>
          </w:p>
        </w:tc>
        <w:tc>
          <w:tcPr>
            <w:tcW w:w="2036" w:type="dxa"/>
            <w:vAlign w:val="center"/>
          </w:tcPr>
          <w:p w14:paraId="2FD01B04">
            <w:pPr>
              <w:widowControl/>
              <w:spacing w:before="0" w:after="0" w:line="240" w:lineRule="auto"/>
              <w:jc w:val="center"/>
              <w:rPr>
                <w:rFonts w:hint="eastAsia"/>
                <w:color w:val="auto"/>
                <w:sz w:val="21"/>
                <w:szCs w:val="21"/>
                <w:lang w:val="en-US" w:eastAsia="zh-CN"/>
              </w:rPr>
            </w:pPr>
          </w:p>
        </w:tc>
        <w:tc>
          <w:tcPr>
            <w:tcW w:w="2456" w:type="dxa"/>
            <w:vAlign w:val="center"/>
          </w:tcPr>
          <w:p w14:paraId="4278CE8C">
            <w:pPr>
              <w:widowControl/>
              <w:spacing w:before="0" w:after="0" w:line="240" w:lineRule="auto"/>
              <w:jc w:val="center"/>
              <w:rPr>
                <w:rFonts w:hint="eastAsia"/>
                <w:color w:val="auto"/>
                <w:sz w:val="21"/>
                <w:szCs w:val="21"/>
                <w:lang w:val="en-US" w:eastAsia="zh-CN"/>
              </w:rPr>
            </w:pPr>
          </w:p>
        </w:tc>
      </w:tr>
      <w:tr w14:paraId="19785F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194" w:type="dxa"/>
            <w:vAlign w:val="center"/>
          </w:tcPr>
          <w:p w14:paraId="4B1F0C2B">
            <w:pPr>
              <w:widowControl/>
              <w:spacing w:before="0" w:after="0" w:line="240" w:lineRule="auto"/>
              <w:jc w:val="center"/>
              <w:rPr>
                <w:rFonts w:hint="eastAsia"/>
                <w:color w:val="auto"/>
                <w:sz w:val="21"/>
                <w:szCs w:val="21"/>
                <w:lang w:val="en-US" w:eastAsia="zh-CN"/>
              </w:rPr>
            </w:pPr>
            <w:r>
              <w:rPr>
                <w:rFonts w:hint="eastAsia"/>
                <w:b/>
                <w:bCs/>
                <w:color w:val="auto"/>
                <w:sz w:val="21"/>
                <w:szCs w:val="21"/>
              </w:rPr>
              <w:t>计算软件</w:t>
            </w:r>
          </w:p>
        </w:tc>
        <w:tc>
          <w:tcPr>
            <w:tcW w:w="7831" w:type="dxa"/>
            <w:gridSpan w:val="4"/>
            <w:vAlign w:val="center"/>
          </w:tcPr>
          <w:p w14:paraId="0D7BBE62">
            <w:pPr>
              <w:widowControl/>
              <w:spacing w:before="0" w:after="0" w:line="240" w:lineRule="auto"/>
              <w:jc w:val="center"/>
              <w:rPr>
                <w:rFonts w:hint="eastAsia"/>
                <w:color w:val="auto"/>
                <w:sz w:val="21"/>
                <w:szCs w:val="21"/>
                <w:lang w:val="en-US" w:eastAsia="zh-CN"/>
              </w:rPr>
            </w:pPr>
          </w:p>
        </w:tc>
      </w:tr>
    </w:tbl>
    <w:p w14:paraId="70682417">
      <w:pPr>
        <w:keepNext w:val="0"/>
        <w:keepLines w:val="0"/>
        <w:pageBreakBefore w:val="0"/>
        <w:widowControl w:val="0"/>
        <w:kinsoku/>
        <w:wordWrap/>
        <w:overflowPunct/>
        <w:topLinePunct w:val="0"/>
        <w:autoSpaceDE/>
        <w:autoSpaceDN/>
        <w:bidi w:val="0"/>
        <w:adjustRightInd/>
        <w:snapToGrid/>
        <w:spacing w:before="313" w:beforeLines="100" w:after="313" w:afterLines="100" w:line="360" w:lineRule="auto"/>
        <w:jc w:val="center"/>
        <w:textAlignment w:val="auto"/>
        <w:rPr>
          <w:rFonts w:hint="default"/>
          <w:b/>
          <w:bCs/>
          <w:color w:val="auto"/>
          <w:sz w:val="32"/>
          <w:szCs w:val="32"/>
          <w:lang w:val="en-US" w:eastAsia="zh-CN"/>
        </w:rPr>
      </w:pPr>
      <w:r>
        <w:rPr>
          <w:rFonts w:hint="default"/>
          <w:b/>
          <w:bCs/>
          <w:color w:val="auto"/>
          <w:sz w:val="32"/>
          <w:szCs w:val="32"/>
          <w:lang w:val="en-US" w:eastAsia="zh-CN"/>
        </w:rPr>
        <w:t>五、现场检测结果</w:t>
      </w:r>
      <w:bookmarkEnd w:id="205"/>
      <w:bookmarkEnd w:id="206"/>
      <w:bookmarkEnd w:id="207"/>
      <w:bookmarkEnd w:id="208"/>
      <w:bookmarkEnd w:id="209"/>
    </w:p>
    <w:p w14:paraId="7CBA2E95">
      <w:pPr>
        <w:keepNext w:val="0"/>
        <w:keepLines w:val="0"/>
        <w:pageBreakBefore w:val="0"/>
        <w:widowControl w:val="0"/>
        <w:kinsoku/>
        <w:wordWrap/>
        <w:overflowPunct/>
        <w:topLinePunct w:val="0"/>
        <w:autoSpaceDE/>
        <w:autoSpaceDN/>
        <w:bidi w:val="0"/>
        <w:adjustRightInd/>
        <w:snapToGrid/>
        <w:spacing w:before="157" w:beforeLines="50" w:after="157" w:afterLines="50"/>
        <w:textAlignment w:val="auto"/>
        <w:rPr>
          <w:rFonts w:hint="default" w:ascii="Times New Roman" w:hAnsi="Times New Roman" w:cs="Times New Roman"/>
          <w:b/>
          <w:bCs/>
          <w:color w:val="auto"/>
          <w:sz w:val="30"/>
          <w:szCs w:val="30"/>
          <w:lang w:val="en-US" w:eastAsia="zh-CN"/>
        </w:rPr>
      </w:pPr>
      <w:bookmarkStart w:id="210" w:name="_Toc105078954"/>
      <w:bookmarkStart w:id="211" w:name="_Toc19702"/>
      <w:bookmarkStart w:id="212" w:name="_Toc27468"/>
      <w:r>
        <w:rPr>
          <w:rFonts w:hint="default" w:ascii="Times New Roman" w:hAnsi="Times New Roman" w:cs="Times New Roman"/>
          <w:b/>
          <w:bCs/>
          <w:color w:val="auto"/>
          <w:sz w:val="30"/>
          <w:szCs w:val="30"/>
          <w:lang w:val="en-US" w:eastAsia="zh-CN"/>
        </w:rPr>
        <w:t>5.1 建筑结构布置调查</w:t>
      </w:r>
      <w:bookmarkEnd w:id="210"/>
      <w:bookmarkEnd w:id="211"/>
      <w:bookmarkEnd w:id="212"/>
    </w:p>
    <w:p w14:paraId="09913D49">
      <w:pPr>
        <w:spacing w:before="120" w:after="120" w:line="360" w:lineRule="auto"/>
        <w:ind w:firstLine="480" w:firstLineChars="200"/>
        <w:jc w:val="left"/>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color w:val="auto"/>
          <w:sz w:val="24"/>
          <w:szCs w:val="24"/>
          <w:lang w:val="zh-CN"/>
        </w:rPr>
        <w:t>现场对图纸及施工资料进行了核查，经核查，搜集到该房屋建筑图纸、结构图纸，现场采用钢卷尺和激光测距仪等仪器并辅以目测的方式检测了该栋建筑</w:t>
      </w:r>
      <w:r>
        <w:rPr>
          <w:rFonts w:hint="default" w:ascii="Times New Roman" w:hAnsi="Times New Roman" w:eastAsia="宋体" w:cs="Times New Roman"/>
          <w:color w:val="auto"/>
          <w:sz w:val="24"/>
          <w:szCs w:val="24"/>
        </w:rPr>
        <w:t>结构</w:t>
      </w:r>
      <w:r>
        <w:rPr>
          <w:rFonts w:hint="default" w:ascii="Times New Roman" w:hAnsi="Times New Roman" w:eastAsia="宋体" w:cs="Times New Roman"/>
          <w:color w:val="auto"/>
          <w:sz w:val="24"/>
          <w:szCs w:val="24"/>
          <w:lang w:val="zh-CN"/>
        </w:rPr>
        <w:t>布置情况，房屋建筑及结构平面布置示意图见</w:t>
      </w:r>
      <w:r>
        <w:rPr>
          <w:rFonts w:hint="eastAsia" w:ascii="Times New Roman" w:hAnsi="Times New Roman" w:eastAsia="宋体" w:cs="Times New Roman"/>
          <w:color w:val="auto"/>
          <w:sz w:val="24"/>
          <w:szCs w:val="24"/>
          <w:lang w:val="en-US" w:eastAsia="zh-CN"/>
        </w:rPr>
        <w:t>附件9.1</w:t>
      </w:r>
      <w:r>
        <w:rPr>
          <w:rFonts w:hint="default" w:ascii="Times New Roman" w:hAnsi="Times New Roman" w:eastAsia="宋体" w:cs="Times New Roman"/>
          <w:color w:val="auto"/>
          <w:sz w:val="24"/>
          <w:szCs w:val="24"/>
          <w:lang w:val="zh-CN"/>
        </w:rPr>
        <w:t>。</w:t>
      </w:r>
    </w:p>
    <w:p w14:paraId="671F0279">
      <w:pPr>
        <w:spacing w:before="120" w:after="120" w:line="360" w:lineRule="auto"/>
        <w:ind w:firstLine="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建筑结构布置调查结果具体结果如下：</w:t>
      </w:r>
    </w:p>
    <w:p w14:paraId="367074DB">
      <w:pPr>
        <w:spacing w:before="120" w:after="120"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（1）结构类型</w:t>
      </w:r>
    </w:p>
    <w:p w14:paraId="387BC3BE">
      <w:pPr>
        <w:spacing w:before="120" w:after="120"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上部主体结构类型为单层双跨双坡门式刚架结构，柱距主要为9.0m，跨度主要为24.0m，基础型式为柱下承台桩基础。</w:t>
      </w:r>
    </w:p>
    <w:p w14:paraId="6FDFC64C">
      <w:pPr>
        <w:spacing w:before="120" w:after="120"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（2）墙体型式</w:t>
      </w:r>
    </w:p>
    <w:p w14:paraId="0F602185">
      <w:pPr>
        <w:spacing w:before="120" w:after="120"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墙体：外墙采用轻型压型墙板，内隔墙采用混凝土加气块砌筑，水泥混合砂浆砌筑。</w:t>
      </w:r>
    </w:p>
    <w:p w14:paraId="583BFCD2">
      <w:pPr>
        <w:spacing w:before="120" w:after="120"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（3）柱间支撑系统</w:t>
      </w:r>
    </w:p>
    <w:p w14:paraId="56CDA827">
      <w:pPr>
        <w:spacing w:line="360" w:lineRule="auto"/>
        <w:ind w:firstLine="480" w:firstLineChars="200"/>
        <w:jc w:val="both"/>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柱间支撑分别在2-3轴、6-7轴、10-11轴、16-17轴、21-22轴布置，截面为角钢180mm×110mm×12mm，上柱支撑为100mm×100mm×10mm。</w:t>
      </w:r>
    </w:p>
    <w:p w14:paraId="73AC4679">
      <w:pPr>
        <w:spacing w:before="120" w:after="120" w:line="360" w:lineRule="auto"/>
        <w:ind w:firstLine="480" w:firstLineChars="200"/>
        <w:jc w:val="left"/>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（4）屋面支撑系统</w:t>
      </w:r>
    </w:p>
    <w:p w14:paraId="476FE6FD">
      <w:pPr>
        <w:spacing w:before="120" w:after="120"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屋面水平支撑分别在2-3轴、6-7轴、10-11轴、16-17轴、21-22轴布置，截面为100mm、140mm，刚性系杆间隔距离为4500mm，7500mm，屋面檩条为冷弯C形280×80×20×3.0（mm），拉条为12mm，隅撑为L50×5mm角钢。</w:t>
      </w:r>
    </w:p>
    <w:p w14:paraId="52BDB70F">
      <w:pPr>
        <w:spacing w:before="120" w:after="120" w:line="360" w:lineRule="auto"/>
        <w:ind w:firstLine="480" w:firstLineChars="200"/>
        <w:jc w:val="left"/>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（5）吊车系统</w:t>
      </w:r>
    </w:p>
    <w:p w14:paraId="3A6878F9">
      <w:pPr>
        <w:spacing w:before="120" w:after="120" w:line="360" w:lineRule="auto"/>
        <w:ind w:firstLine="480" w:firstLineChars="200"/>
        <w:jc w:val="left"/>
        <w:rPr>
          <w:rFonts w:hint="default" w:ascii="Times New Roman" w:hAnsi="Times New Roman" w:eastAsia="宋体" w:cs="Times New Roman"/>
          <w:color w:val="auto"/>
          <w:sz w:val="24"/>
          <w:szCs w:val="24"/>
        </w:rPr>
      </w:pPr>
      <w:bookmarkStart w:id="213" w:name="_Toc103551066"/>
      <w:bookmarkStart w:id="214" w:name="_Toc103551017"/>
      <w:bookmarkStart w:id="215" w:name="_Toc108212770"/>
      <w:bookmarkStart w:id="216" w:name="_Toc108214681"/>
      <w:bookmarkStart w:id="217" w:name="_Toc108214958"/>
      <w:r>
        <w:rPr>
          <w:rFonts w:hint="default" w:ascii="Times New Roman" w:hAnsi="Times New Roman" w:eastAsia="宋体" w:cs="Times New Roman"/>
          <w:color w:val="auto"/>
          <w:sz w:val="24"/>
          <w:szCs w:val="24"/>
          <w:lang w:val="zh-CN"/>
        </w:rPr>
        <w:t>厂房目前在A-B跨布置3台桥式起重吊车</w:t>
      </w:r>
      <w:r>
        <w:rPr>
          <w:rFonts w:hint="default" w:ascii="Times New Roman" w:hAnsi="Times New Roman" w:eastAsia="宋体" w:cs="Times New Roman"/>
          <w:color w:val="auto"/>
          <w:sz w:val="24"/>
          <w:szCs w:val="24"/>
        </w:rPr>
        <w:t>、B-C跨布置3台</w:t>
      </w:r>
      <w:r>
        <w:rPr>
          <w:rFonts w:hint="default" w:ascii="Times New Roman" w:hAnsi="Times New Roman" w:eastAsia="宋体" w:cs="Times New Roman"/>
          <w:color w:val="auto"/>
          <w:sz w:val="24"/>
          <w:szCs w:val="24"/>
          <w:lang w:val="zh-CN"/>
        </w:rPr>
        <w:t>桥式起重吊车，A-B跨</w:t>
      </w:r>
      <w:r>
        <w:rPr>
          <w:rFonts w:hint="default" w:ascii="Times New Roman" w:hAnsi="Times New Roman" w:eastAsia="宋体" w:cs="Times New Roman"/>
          <w:color w:val="auto"/>
          <w:sz w:val="24"/>
          <w:szCs w:val="24"/>
        </w:rPr>
        <w:t>、B-C跨</w:t>
      </w:r>
      <w:r>
        <w:rPr>
          <w:rFonts w:hint="default" w:ascii="Times New Roman" w:hAnsi="Times New Roman" w:eastAsia="宋体" w:cs="Times New Roman"/>
          <w:color w:val="auto"/>
          <w:sz w:val="24"/>
          <w:szCs w:val="24"/>
          <w:lang w:val="zh-CN"/>
        </w:rPr>
        <w:t>起吊重量均为</w:t>
      </w:r>
      <w:r>
        <w:rPr>
          <w:rFonts w:hint="default" w:ascii="Times New Roman" w:hAnsi="Times New Roman" w:eastAsia="宋体" w:cs="Times New Roman"/>
          <w:color w:val="auto"/>
          <w:sz w:val="24"/>
          <w:szCs w:val="24"/>
        </w:rPr>
        <w:t>20T/5T、10T</w:t>
      </w:r>
      <w:r>
        <w:rPr>
          <w:rFonts w:hint="default" w:ascii="Times New Roman" w:hAnsi="Times New Roman" w:eastAsia="宋体" w:cs="Times New Roman"/>
          <w:color w:val="auto"/>
          <w:sz w:val="24"/>
          <w:szCs w:val="24"/>
          <w:lang w:val="zh-CN"/>
        </w:rPr>
        <w:t>。</w:t>
      </w:r>
      <w:bookmarkEnd w:id="213"/>
      <w:bookmarkEnd w:id="214"/>
      <w:bookmarkEnd w:id="215"/>
      <w:bookmarkEnd w:id="216"/>
      <w:bookmarkEnd w:id="217"/>
    </w:p>
    <w:p w14:paraId="2E9D1458">
      <w:pPr>
        <w:spacing w:before="120" w:after="120"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（6）屋面型式做法</w:t>
      </w:r>
    </w:p>
    <w:p w14:paraId="7F8FAB82">
      <w:pPr>
        <w:spacing w:before="120" w:after="120"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屋面板采用单层压型钢板，采用屋面钢梁+屋面檩条+压型钢板承重，屋面为不上人坡屋面。</w:t>
      </w:r>
    </w:p>
    <w:p w14:paraId="5247A301">
      <w:pPr>
        <w:keepNext w:val="0"/>
        <w:keepLines w:val="0"/>
        <w:pageBreakBefore w:val="0"/>
        <w:widowControl w:val="0"/>
        <w:kinsoku/>
        <w:wordWrap/>
        <w:overflowPunct/>
        <w:topLinePunct w:val="0"/>
        <w:autoSpaceDE/>
        <w:autoSpaceDN/>
        <w:bidi w:val="0"/>
        <w:adjustRightInd/>
        <w:snapToGrid/>
        <w:spacing w:before="157" w:beforeLines="50" w:after="157" w:afterLines="50"/>
        <w:textAlignment w:val="auto"/>
        <w:rPr>
          <w:rFonts w:hint="default" w:ascii="Times New Roman" w:hAnsi="Times New Roman" w:cs="Times New Roman"/>
          <w:b/>
          <w:bCs/>
          <w:color w:val="auto"/>
          <w:sz w:val="30"/>
          <w:szCs w:val="30"/>
          <w:lang w:val="en-US" w:eastAsia="zh-CN"/>
        </w:rPr>
      </w:pPr>
      <w:bookmarkStart w:id="218" w:name="_Toc140415011"/>
      <w:bookmarkStart w:id="219" w:name="_Toc21161"/>
      <w:r>
        <w:rPr>
          <w:rFonts w:hint="default" w:ascii="Times New Roman" w:hAnsi="Times New Roman" w:cs="Times New Roman"/>
          <w:b/>
          <w:bCs/>
          <w:color w:val="auto"/>
          <w:sz w:val="30"/>
          <w:szCs w:val="30"/>
          <w:lang w:val="en-US" w:eastAsia="zh-CN"/>
        </w:rPr>
        <w:t>5.2 建筑轴网及主要钢构件尺寸复核</w:t>
      </w:r>
      <w:bookmarkEnd w:id="218"/>
      <w:bookmarkEnd w:id="219"/>
    </w:p>
    <w:p w14:paraId="299F3B41">
      <w:pPr>
        <w:spacing w:before="120" w:after="120"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现场对</w:t>
      </w:r>
      <w:r>
        <w:rPr>
          <w:rFonts w:hint="default" w:ascii="Times New Roman" w:hAnsi="Times New Roman" w:eastAsia="宋体" w:cs="Times New Roman"/>
          <w:color w:val="auto"/>
          <w:sz w:val="24"/>
          <w:szCs w:val="24"/>
          <w:lang w:eastAsia="zh-CN"/>
        </w:rPr>
        <w:t>xxx</w:t>
      </w:r>
      <w:r>
        <w:rPr>
          <w:rFonts w:hint="default" w:ascii="Times New Roman" w:hAnsi="Times New Roman" w:eastAsia="宋体" w:cs="Times New Roman"/>
          <w:color w:val="auto"/>
          <w:sz w:val="24"/>
          <w:szCs w:val="24"/>
        </w:rPr>
        <w:t>车间钢结构布置情况进行复核探查测量，结构布置调查主要核查各类承重构件是否齐全，主要构件材料和截面形式是否与原设计相符。采用钢卷尺、激光测距仪等对建筑物的轴线间距进行抽样测量，以复核其与原设计是否相符。</w:t>
      </w:r>
    </w:p>
    <w:p w14:paraId="57B8785B">
      <w:pPr>
        <w:spacing w:before="120" w:after="120"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zh-CN"/>
        </w:rPr>
        <w:t>现场</w:t>
      </w:r>
      <w:r>
        <w:rPr>
          <w:rFonts w:hint="default" w:ascii="Times New Roman" w:hAnsi="Times New Roman" w:eastAsia="宋体" w:cs="Times New Roman"/>
          <w:color w:val="auto"/>
          <w:sz w:val="24"/>
          <w:szCs w:val="24"/>
        </w:rPr>
        <w:t>采用钢卷尺、激光测距仪、超声波测厚仪等对建筑物的钢柱、钢梁，柱间支撑，屋面檩条等主要承重构件截面尺寸等进行抽样测量，以复核其与原设计是否相符。</w:t>
      </w:r>
    </w:p>
    <w:p w14:paraId="46B85E8A">
      <w:pPr>
        <w:spacing w:before="120" w:after="120"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钢结构构件截面尺寸的检测和评定按《建筑结构检测技术标准》（GB/T 50344-2019）和《钢结构工程施工质量验收标准》（GB 50205-2020）的规定进行，每个抽检构件尺寸在构件的3个部位量测，取3处测试值的平均值作为该尺寸的代表值；当所有构件实测尺寸与标称尺寸偏差在相应的钢材产品标准或设计文件规定尺寸的允许误差范围内时，该尺寸评定为合格；当有部分构件实测尺寸与标称尺寸偏差不满足相应的钢材产品标准或设计文件规定尺寸的允许误差范围时，对检测批构件的尺寸应按表6.1-3（一般项目）进行符合性判定；特殊部位或特殊情况下，应选择对构件安全性影响较大的部位或损伤有代表性的部位进行检测。</w:t>
      </w:r>
    </w:p>
    <w:p w14:paraId="4CA02082">
      <w:pPr>
        <w:spacing w:before="120" w:after="120"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根据《钢结构工程施工质量验收标准》（GB 50205-2020）表8.3.2条规定，钢构件组装的允许偏差为：焊接H型钢截面高度h允许偏差为±2.0mm（h&lt;500时），±3.0mm（500≤h≤1000时），截面宽度b允许偏差为±3.0m。</w:t>
      </w:r>
    </w:p>
    <w:p w14:paraId="6A12C716">
      <w:pPr>
        <w:spacing w:before="120" w:after="120"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热轧钢板出厂时，钢板厚度存在一定偏差，根据《热轧钢板和钢带的尺寸、外形、重量及允许偏差》（GB/T 709-2019），钢板厚度出厂偏差限值见表5.2-1。</w:t>
      </w:r>
    </w:p>
    <w:p w14:paraId="37BDE93C">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color w:val="auto"/>
          <w:kern w:val="2"/>
          <w:sz w:val="21"/>
          <w:szCs w:val="21"/>
          <w:lang w:val="zh-CN" w:eastAsia="zh-CN" w:bidi="ar-SA"/>
        </w:rPr>
      </w:pPr>
      <w:r>
        <w:rPr>
          <w:rFonts w:hint="default" w:ascii="Times New Roman" w:hAnsi="Times New Roman" w:eastAsia="宋体" w:cs="Times New Roman"/>
          <w:b/>
          <w:color w:val="auto"/>
          <w:kern w:val="2"/>
          <w:sz w:val="21"/>
          <w:szCs w:val="21"/>
          <w:lang w:val="zh-CN" w:eastAsia="zh-CN" w:bidi="ar-SA"/>
        </w:rPr>
        <w:t>表5.2-1  热轧钢板出厂厚度允许偏差表（N类偏差）</w:t>
      </w:r>
    </w:p>
    <w:tbl>
      <w:tblPr>
        <w:tblStyle w:val="22"/>
        <w:tblW w:w="5000" w:type="pct"/>
        <w:jc w:val="center"/>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244"/>
        <w:gridCol w:w="3138"/>
        <w:gridCol w:w="3140"/>
      </w:tblGrid>
      <w:tr w14:paraId="4FA075A2">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1317" w:type="pct"/>
            <w:vMerge w:val="restart"/>
            <w:vAlign w:val="center"/>
          </w:tcPr>
          <w:p w14:paraId="605B55C8">
            <w:pPr>
              <w:spacing w:before="120" w:after="120" w:line="240" w:lineRule="auto"/>
              <w:ind w:firstLine="198"/>
              <w:jc w:val="center"/>
              <w:rPr>
                <w:rFonts w:hint="default" w:ascii="Times New Roman" w:hAnsi="Times New Roman" w:eastAsia="宋体" w:cs="Times New Roman"/>
                <w:color w:val="auto"/>
                <w:sz w:val="24"/>
                <w:szCs w:val="21"/>
              </w:rPr>
            </w:pPr>
            <w:r>
              <w:rPr>
                <w:rFonts w:hint="default" w:ascii="Times New Roman" w:hAnsi="Times New Roman" w:eastAsia="宋体" w:cs="Times New Roman"/>
                <w:color w:val="auto"/>
                <w:sz w:val="24"/>
                <w:szCs w:val="21"/>
              </w:rPr>
              <w:t>公称厚度</w:t>
            </w:r>
          </w:p>
          <w:p w14:paraId="3E5528C3">
            <w:pPr>
              <w:spacing w:before="120" w:after="120" w:line="240" w:lineRule="auto"/>
              <w:ind w:firstLine="198"/>
              <w:jc w:val="center"/>
              <w:rPr>
                <w:rFonts w:hint="default" w:ascii="Times New Roman" w:hAnsi="Times New Roman" w:eastAsia="宋体" w:cs="Times New Roman"/>
                <w:color w:val="auto"/>
                <w:sz w:val="24"/>
                <w:szCs w:val="21"/>
              </w:rPr>
            </w:pPr>
            <w:r>
              <w:rPr>
                <w:rFonts w:hint="default" w:ascii="Times New Roman" w:hAnsi="Times New Roman" w:eastAsia="宋体" w:cs="Times New Roman"/>
                <w:color w:val="auto"/>
                <w:sz w:val="24"/>
                <w:szCs w:val="21"/>
              </w:rPr>
              <w:t>（mm）</w:t>
            </w:r>
          </w:p>
        </w:tc>
        <w:tc>
          <w:tcPr>
            <w:tcW w:w="3683" w:type="pct"/>
            <w:gridSpan w:val="2"/>
            <w:vAlign w:val="center"/>
          </w:tcPr>
          <w:p w14:paraId="516D1A54">
            <w:pPr>
              <w:spacing w:before="120" w:after="120" w:line="240" w:lineRule="auto"/>
              <w:ind w:firstLine="198"/>
              <w:jc w:val="center"/>
              <w:rPr>
                <w:rFonts w:hint="default" w:ascii="Times New Roman" w:hAnsi="Times New Roman" w:eastAsia="宋体" w:cs="Times New Roman"/>
                <w:color w:val="auto"/>
                <w:sz w:val="24"/>
                <w:szCs w:val="21"/>
              </w:rPr>
            </w:pPr>
            <w:r>
              <w:rPr>
                <w:rFonts w:hint="default" w:ascii="Times New Roman" w:hAnsi="Times New Roman" w:eastAsia="宋体" w:cs="Times New Roman"/>
                <w:color w:val="auto"/>
                <w:sz w:val="24"/>
                <w:szCs w:val="21"/>
              </w:rPr>
              <w:t>下列公称宽度的厚度允许偏差（mm）</w:t>
            </w:r>
          </w:p>
        </w:tc>
      </w:tr>
      <w:tr w14:paraId="52369A4C">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1317" w:type="pct"/>
            <w:vMerge w:val="continue"/>
            <w:vAlign w:val="center"/>
          </w:tcPr>
          <w:p w14:paraId="4AEDBD77">
            <w:pPr>
              <w:spacing w:before="120" w:after="120" w:line="240" w:lineRule="auto"/>
              <w:ind w:firstLine="198"/>
              <w:jc w:val="center"/>
              <w:rPr>
                <w:rFonts w:hint="default" w:ascii="Times New Roman" w:hAnsi="Times New Roman" w:eastAsia="宋体" w:cs="Times New Roman"/>
                <w:color w:val="auto"/>
                <w:sz w:val="24"/>
                <w:szCs w:val="21"/>
              </w:rPr>
            </w:pPr>
          </w:p>
        </w:tc>
        <w:tc>
          <w:tcPr>
            <w:tcW w:w="1841" w:type="pct"/>
            <w:vAlign w:val="center"/>
          </w:tcPr>
          <w:p w14:paraId="4156011E">
            <w:pPr>
              <w:spacing w:before="120" w:after="120" w:line="240" w:lineRule="auto"/>
              <w:ind w:firstLine="198"/>
              <w:jc w:val="center"/>
              <w:rPr>
                <w:rFonts w:hint="default" w:ascii="Times New Roman" w:hAnsi="Times New Roman" w:eastAsia="宋体" w:cs="Times New Roman"/>
                <w:color w:val="auto"/>
                <w:sz w:val="24"/>
                <w:szCs w:val="21"/>
              </w:rPr>
            </w:pPr>
            <w:r>
              <w:rPr>
                <w:rFonts w:hint="default" w:ascii="Times New Roman" w:hAnsi="Times New Roman" w:eastAsia="宋体" w:cs="Times New Roman"/>
                <w:color w:val="auto"/>
                <w:sz w:val="24"/>
                <w:szCs w:val="21"/>
              </w:rPr>
              <w:t>≤1500</w:t>
            </w:r>
          </w:p>
        </w:tc>
        <w:tc>
          <w:tcPr>
            <w:tcW w:w="1842" w:type="pct"/>
            <w:vAlign w:val="center"/>
          </w:tcPr>
          <w:p w14:paraId="39FDD837">
            <w:pPr>
              <w:spacing w:before="120" w:after="120" w:line="240" w:lineRule="auto"/>
              <w:ind w:firstLine="198"/>
              <w:jc w:val="center"/>
              <w:rPr>
                <w:rFonts w:hint="default" w:ascii="Times New Roman" w:hAnsi="Times New Roman" w:eastAsia="宋体" w:cs="Times New Roman"/>
                <w:color w:val="auto"/>
                <w:sz w:val="24"/>
                <w:szCs w:val="21"/>
              </w:rPr>
            </w:pPr>
            <w:r>
              <w:rPr>
                <w:rFonts w:hint="default" w:ascii="Times New Roman" w:hAnsi="Times New Roman" w:eastAsia="宋体" w:cs="Times New Roman"/>
                <w:color w:val="auto"/>
                <w:sz w:val="24"/>
                <w:szCs w:val="21"/>
              </w:rPr>
              <w:t>&gt;1500~2500</w:t>
            </w:r>
          </w:p>
        </w:tc>
      </w:tr>
      <w:tr w14:paraId="0EBA6E76">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17" w:type="pct"/>
            <w:vAlign w:val="center"/>
          </w:tcPr>
          <w:p w14:paraId="397E3B9B">
            <w:pPr>
              <w:spacing w:before="120" w:after="120" w:line="240" w:lineRule="auto"/>
              <w:ind w:firstLine="198"/>
              <w:jc w:val="center"/>
              <w:rPr>
                <w:rFonts w:hint="default" w:ascii="Times New Roman" w:hAnsi="Times New Roman" w:eastAsia="宋体" w:cs="Times New Roman"/>
                <w:color w:val="auto"/>
                <w:sz w:val="24"/>
                <w:szCs w:val="21"/>
              </w:rPr>
            </w:pPr>
            <w:r>
              <w:rPr>
                <w:rFonts w:hint="default" w:ascii="Times New Roman" w:hAnsi="Times New Roman" w:eastAsia="宋体" w:cs="Times New Roman"/>
                <w:color w:val="auto"/>
                <w:sz w:val="24"/>
                <w:szCs w:val="21"/>
              </w:rPr>
              <w:t>&gt;5~8</w:t>
            </w:r>
          </w:p>
        </w:tc>
        <w:tc>
          <w:tcPr>
            <w:tcW w:w="1841" w:type="pct"/>
            <w:vAlign w:val="center"/>
          </w:tcPr>
          <w:p w14:paraId="1B9F1374">
            <w:pPr>
              <w:spacing w:before="120" w:after="120" w:line="240" w:lineRule="auto"/>
              <w:ind w:firstLine="198"/>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±0.50</w:t>
            </w:r>
          </w:p>
        </w:tc>
        <w:tc>
          <w:tcPr>
            <w:tcW w:w="1842" w:type="pct"/>
            <w:vAlign w:val="center"/>
          </w:tcPr>
          <w:p w14:paraId="6AA11025">
            <w:pPr>
              <w:spacing w:before="120" w:after="120" w:line="240" w:lineRule="auto"/>
              <w:ind w:firstLine="198"/>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±0.60</w:t>
            </w:r>
          </w:p>
        </w:tc>
      </w:tr>
      <w:tr w14:paraId="79AFDEA8">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17" w:type="pct"/>
            <w:vAlign w:val="center"/>
          </w:tcPr>
          <w:p w14:paraId="0853E96B">
            <w:pPr>
              <w:spacing w:before="120" w:after="120" w:line="240" w:lineRule="auto"/>
              <w:ind w:firstLine="198"/>
              <w:jc w:val="center"/>
              <w:rPr>
                <w:rFonts w:hint="default" w:ascii="Times New Roman" w:hAnsi="Times New Roman" w:eastAsia="宋体" w:cs="Times New Roman"/>
                <w:color w:val="auto"/>
                <w:sz w:val="24"/>
                <w:szCs w:val="21"/>
              </w:rPr>
            </w:pPr>
            <w:r>
              <w:rPr>
                <w:rFonts w:hint="default" w:ascii="Times New Roman" w:hAnsi="Times New Roman" w:eastAsia="宋体" w:cs="Times New Roman"/>
                <w:color w:val="auto"/>
                <w:sz w:val="24"/>
                <w:szCs w:val="21"/>
              </w:rPr>
              <w:t>&gt;8~15</w:t>
            </w:r>
          </w:p>
        </w:tc>
        <w:tc>
          <w:tcPr>
            <w:tcW w:w="1841" w:type="pct"/>
            <w:vAlign w:val="center"/>
          </w:tcPr>
          <w:p w14:paraId="441A0AA8">
            <w:pPr>
              <w:spacing w:before="120" w:after="120" w:line="240" w:lineRule="auto"/>
              <w:ind w:firstLine="198"/>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±0.55</w:t>
            </w:r>
          </w:p>
        </w:tc>
        <w:tc>
          <w:tcPr>
            <w:tcW w:w="1842" w:type="pct"/>
            <w:vAlign w:val="center"/>
          </w:tcPr>
          <w:p w14:paraId="0692045D">
            <w:pPr>
              <w:spacing w:before="120" w:after="120" w:line="240" w:lineRule="auto"/>
              <w:ind w:firstLine="198"/>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±0.65</w:t>
            </w:r>
          </w:p>
        </w:tc>
      </w:tr>
      <w:tr w14:paraId="135D4B93">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17" w:type="pct"/>
            <w:vAlign w:val="center"/>
          </w:tcPr>
          <w:p w14:paraId="1C2819DD">
            <w:pPr>
              <w:spacing w:before="120" w:after="120" w:line="240" w:lineRule="auto"/>
              <w:ind w:firstLine="198"/>
              <w:jc w:val="center"/>
              <w:rPr>
                <w:rFonts w:hint="default" w:ascii="Times New Roman" w:hAnsi="Times New Roman" w:eastAsia="宋体" w:cs="Times New Roman"/>
                <w:color w:val="auto"/>
                <w:sz w:val="24"/>
                <w:szCs w:val="21"/>
              </w:rPr>
            </w:pPr>
            <w:r>
              <w:rPr>
                <w:rFonts w:hint="default" w:ascii="Times New Roman" w:hAnsi="Times New Roman" w:eastAsia="宋体" w:cs="Times New Roman"/>
                <w:color w:val="auto"/>
                <w:sz w:val="24"/>
                <w:szCs w:val="21"/>
              </w:rPr>
              <w:t>&gt;15~25</w:t>
            </w:r>
          </w:p>
        </w:tc>
        <w:tc>
          <w:tcPr>
            <w:tcW w:w="1841" w:type="pct"/>
            <w:vAlign w:val="center"/>
          </w:tcPr>
          <w:p w14:paraId="1912060A">
            <w:pPr>
              <w:spacing w:before="120" w:after="120" w:line="240" w:lineRule="auto"/>
              <w:ind w:firstLine="198"/>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±0.65</w:t>
            </w:r>
          </w:p>
        </w:tc>
        <w:tc>
          <w:tcPr>
            <w:tcW w:w="1842" w:type="pct"/>
            <w:vAlign w:val="center"/>
          </w:tcPr>
          <w:p w14:paraId="575FF680">
            <w:pPr>
              <w:spacing w:before="120" w:after="120" w:line="240" w:lineRule="auto"/>
              <w:ind w:firstLine="198"/>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±0.75</w:t>
            </w:r>
          </w:p>
        </w:tc>
      </w:tr>
    </w:tbl>
    <w:p w14:paraId="18D9E050">
      <w:pPr>
        <w:spacing w:line="360" w:lineRule="auto"/>
        <w:ind w:firstLine="200"/>
        <w:jc w:val="both"/>
        <w:rPr>
          <w:rFonts w:hint="default" w:ascii="Times New Roman" w:hAnsi="Times New Roman" w:eastAsia="宋体" w:cs="Times New Roman"/>
          <w:b/>
          <w:color w:val="auto"/>
          <w:kern w:val="2"/>
          <w:sz w:val="21"/>
          <w:szCs w:val="21"/>
          <w:lang w:val="zh-CN" w:eastAsia="zh-CN" w:bidi="ar-SA"/>
        </w:rPr>
      </w:pPr>
      <w:r>
        <w:rPr>
          <w:rFonts w:hint="default" w:ascii="Times New Roman" w:hAnsi="Times New Roman" w:eastAsia="宋体" w:cs="Times New Roman"/>
          <w:b/>
          <w:color w:val="auto"/>
          <w:kern w:val="2"/>
          <w:sz w:val="21"/>
          <w:szCs w:val="21"/>
          <w:lang w:val="zh-CN" w:eastAsia="zh-CN" w:bidi="ar-SA"/>
        </w:rPr>
        <w:t>注：N类偏差指正偏差、负偏差相等。</w:t>
      </w:r>
    </w:p>
    <w:p w14:paraId="0FD64FB3">
      <w:pPr>
        <w:spacing w:before="120" w:after="120"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建筑轴网尺寸和主要钢结构构件尺寸复核见表5.2-2~表5.2-4。</w:t>
      </w:r>
    </w:p>
    <w:p w14:paraId="231CBA29">
      <w:pPr>
        <w:widowControl w:val="0"/>
        <w:snapToGrid w:val="0"/>
        <w:spacing w:before="0" w:after="0" w:line="240" w:lineRule="auto"/>
        <w:ind w:firstLine="0" w:firstLineChars="0"/>
        <w:jc w:val="center"/>
        <w:rPr>
          <w:rFonts w:hint="default" w:ascii="Times New Roman" w:hAnsi="Times New Roman" w:eastAsia="宋体" w:cs="Times New Roman"/>
          <w:b/>
          <w:color w:val="auto"/>
          <w:kern w:val="2"/>
          <w:sz w:val="21"/>
          <w:szCs w:val="21"/>
          <w:lang w:val="zh-CN" w:eastAsia="zh-CN" w:bidi="ar-SA"/>
        </w:rPr>
      </w:pPr>
    </w:p>
    <w:p w14:paraId="4D7D24F4">
      <w:pPr>
        <w:widowControl w:val="0"/>
        <w:snapToGrid w:val="0"/>
        <w:spacing w:before="0" w:after="0" w:line="240" w:lineRule="auto"/>
        <w:ind w:firstLine="0" w:firstLineChars="0"/>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zh-CN" w:eastAsia="zh-CN" w:bidi="ar-SA"/>
        </w:rPr>
        <w:t>表5.2-2  轴网尺寸抽检结果</w:t>
      </w:r>
      <w:r>
        <w:rPr>
          <w:rFonts w:hint="eastAsia" w:ascii="Times New Roman" w:hAnsi="Times New Roman" w:eastAsia="宋体" w:cs="Times New Roman"/>
          <w:b/>
          <w:color w:val="auto"/>
          <w:kern w:val="2"/>
          <w:sz w:val="21"/>
          <w:szCs w:val="21"/>
          <w:lang w:val="en-US" w:eastAsia="zh-CN" w:bidi="ar-SA"/>
        </w:rPr>
        <w:t>(抽样比例满足鉴定要求)</w:t>
      </w:r>
    </w:p>
    <w:tbl>
      <w:tblPr>
        <w:tblStyle w:val="22"/>
        <w:tblW w:w="869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69"/>
        <w:gridCol w:w="2047"/>
        <w:gridCol w:w="1249"/>
        <w:gridCol w:w="1249"/>
        <w:gridCol w:w="895"/>
        <w:gridCol w:w="1430"/>
        <w:gridCol w:w="954"/>
      </w:tblGrid>
      <w:tr w14:paraId="5AEC94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1" w:hRule="atLeast"/>
          <w:tblHeader/>
          <w:jc w:val="center"/>
        </w:trPr>
        <w:tc>
          <w:tcPr>
            <w:tcW w:w="869" w:type="dxa"/>
            <w:vAlign w:val="center"/>
          </w:tcPr>
          <w:p w14:paraId="31818811">
            <w:pPr>
              <w:spacing w:before="0" w:after="0" w:line="32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2047" w:type="dxa"/>
            <w:vAlign w:val="center"/>
          </w:tcPr>
          <w:p w14:paraId="66714D21">
            <w:pPr>
              <w:spacing w:before="0" w:after="0" w:line="32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轴网位置</w:t>
            </w:r>
          </w:p>
        </w:tc>
        <w:tc>
          <w:tcPr>
            <w:tcW w:w="1249" w:type="dxa"/>
            <w:vAlign w:val="center"/>
          </w:tcPr>
          <w:p w14:paraId="6EEEAF61">
            <w:pPr>
              <w:spacing w:before="0" w:after="0" w:line="32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实测尺寸</w:t>
            </w:r>
          </w:p>
          <w:p w14:paraId="09606A39">
            <w:pPr>
              <w:spacing w:before="0" w:after="0" w:line="32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（mm）</w:t>
            </w:r>
          </w:p>
        </w:tc>
        <w:tc>
          <w:tcPr>
            <w:tcW w:w="1249" w:type="dxa"/>
            <w:vAlign w:val="center"/>
          </w:tcPr>
          <w:p w14:paraId="6FD5BD84">
            <w:pPr>
              <w:spacing w:before="0" w:after="0" w:line="32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设计尺寸</w:t>
            </w:r>
          </w:p>
          <w:p w14:paraId="39309ECE">
            <w:pPr>
              <w:spacing w:before="0" w:after="0" w:line="32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（mm）</w:t>
            </w:r>
          </w:p>
        </w:tc>
        <w:tc>
          <w:tcPr>
            <w:tcW w:w="895" w:type="dxa"/>
            <w:vAlign w:val="center"/>
          </w:tcPr>
          <w:p w14:paraId="7690C2E8">
            <w:pPr>
              <w:spacing w:before="0" w:after="0" w:line="32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偏差</w:t>
            </w:r>
          </w:p>
          <w:p w14:paraId="1D93CE74">
            <w:pPr>
              <w:spacing w:before="0" w:after="0" w:line="32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(mm)</w:t>
            </w:r>
          </w:p>
        </w:tc>
        <w:tc>
          <w:tcPr>
            <w:tcW w:w="1430" w:type="dxa"/>
            <w:vAlign w:val="center"/>
          </w:tcPr>
          <w:p w14:paraId="52A4EE9C">
            <w:pPr>
              <w:spacing w:before="0" w:after="0" w:line="32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允许偏差</w:t>
            </w:r>
          </w:p>
          <w:p w14:paraId="7407264C">
            <w:pPr>
              <w:spacing w:before="0" w:after="0" w:line="32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(mm)</w:t>
            </w:r>
          </w:p>
        </w:tc>
        <w:tc>
          <w:tcPr>
            <w:tcW w:w="954" w:type="dxa"/>
            <w:vAlign w:val="center"/>
          </w:tcPr>
          <w:p w14:paraId="318448E8">
            <w:pPr>
              <w:spacing w:before="0" w:after="0" w:line="32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是否</w:t>
            </w:r>
          </w:p>
          <w:p w14:paraId="27B97E7D">
            <w:pPr>
              <w:spacing w:before="0" w:after="0" w:line="32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满足</w:t>
            </w:r>
          </w:p>
        </w:tc>
      </w:tr>
      <w:tr w14:paraId="590E68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1" w:hRule="atLeast"/>
          <w:jc w:val="center"/>
        </w:trPr>
        <w:tc>
          <w:tcPr>
            <w:tcW w:w="869" w:type="dxa"/>
            <w:shd w:val="clear" w:color="auto" w:fill="FFFFFF"/>
            <w:vAlign w:val="center"/>
          </w:tcPr>
          <w:p w14:paraId="43D4F8E7">
            <w:pPr>
              <w:widowControl/>
              <w:spacing w:before="0" w:after="0"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2047" w:type="dxa"/>
            <w:shd w:val="clear" w:color="auto" w:fill="FFFFFF"/>
            <w:vAlign w:val="center"/>
          </w:tcPr>
          <w:p w14:paraId="13F6A31F">
            <w:pPr>
              <w:widowControl/>
              <w:spacing w:before="0" w:after="0" w:line="240" w:lineRule="auto"/>
              <w:jc w:val="center"/>
              <w:textAlignment w:val="center"/>
              <w:rPr>
                <w:rFonts w:hint="default" w:ascii="Times New Roman" w:hAnsi="Times New Roman" w:eastAsia="宋体" w:cs="Times New Roman"/>
                <w:color w:val="auto"/>
                <w:sz w:val="21"/>
                <w:szCs w:val="21"/>
              </w:rPr>
            </w:pPr>
          </w:p>
        </w:tc>
        <w:tc>
          <w:tcPr>
            <w:tcW w:w="1249" w:type="dxa"/>
            <w:shd w:val="clear" w:color="auto" w:fill="FFFFFF"/>
            <w:vAlign w:val="center"/>
          </w:tcPr>
          <w:p w14:paraId="7CCD5A9E">
            <w:pPr>
              <w:widowControl/>
              <w:spacing w:before="0" w:after="0" w:line="240" w:lineRule="auto"/>
              <w:jc w:val="center"/>
              <w:textAlignment w:val="center"/>
              <w:rPr>
                <w:rFonts w:hint="eastAsia" w:ascii="Times New Roman" w:hAnsi="Times New Roman" w:eastAsia="宋体" w:cs="Times New Roman"/>
                <w:color w:val="auto"/>
                <w:sz w:val="21"/>
                <w:szCs w:val="21"/>
                <w:lang w:eastAsia="zh-CN"/>
              </w:rPr>
            </w:pPr>
          </w:p>
        </w:tc>
        <w:tc>
          <w:tcPr>
            <w:tcW w:w="1249" w:type="dxa"/>
            <w:shd w:val="clear" w:color="auto" w:fill="FFFFFF"/>
            <w:vAlign w:val="center"/>
          </w:tcPr>
          <w:p w14:paraId="3857D4CB">
            <w:pPr>
              <w:widowControl/>
              <w:spacing w:before="0" w:after="0" w:line="240" w:lineRule="auto"/>
              <w:jc w:val="center"/>
              <w:textAlignment w:val="center"/>
              <w:rPr>
                <w:rFonts w:hint="default" w:ascii="Times New Roman" w:hAnsi="Times New Roman" w:eastAsia="宋体" w:cs="Times New Roman"/>
                <w:color w:val="auto"/>
                <w:sz w:val="21"/>
                <w:szCs w:val="21"/>
              </w:rPr>
            </w:pPr>
          </w:p>
        </w:tc>
        <w:tc>
          <w:tcPr>
            <w:tcW w:w="895" w:type="dxa"/>
            <w:shd w:val="clear" w:color="auto" w:fill="FFFFFF"/>
            <w:vAlign w:val="center"/>
          </w:tcPr>
          <w:p w14:paraId="0C0D048E">
            <w:pPr>
              <w:widowControl/>
              <w:spacing w:before="0" w:after="0" w:line="240" w:lineRule="auto"/>
              <w:jc w:val="center"/>
              <w:textAlignment w:val="center"/>
              <w:rPr>
                <w:rFonts w:hint="default" w:ascii="Times New Roman" w:hAnsi="Times New Roman" w:eastAsia="宋体" w:cs="Times New Roman"/>
                <w:color w:val="auto"/>
                <w:sz w:val="21"/>
                <w:szCs w:val="21"/>
              </w:rPr>
            </w:pPr>
          </w:p>
        </w:tc>
        <w:tc>
          <w:tcPr>
            <w:tcW w:w="1430" w:type="dxa"/>
            <w:shd w:val="clear" w:color="auto" w:fill="FFFFFF"/>
            <w:vAlign w:val="center"/>
          </w:tcPr>
          <w:p w14:paraId="1DA35160">
            <w:pPr>
              <w:widowControl/>
              <w:spacing w:before="0" w:after="0" w:line="240" w:lineRule="auto"/>
              <w:jc w:val="center"/>
              <w:textAlignment w:val="center"/>
              <w:rPr>
                <w:rFonts w:hint="default" w:ascii="Times New Roman" w:hAnsi="Times New Roman" w:eastAsia="宋体" w:cs="Times New Roman"/>
                <w:color w:val="auto"/>
                <w:sz w:val="21"/>
                <w:szCs w:val="21"/>
              </w:rPr>
            </w:pPr>
          </w:p>
        </w:tc>
        <w:tc>
          <w:tcPr>
            <w:tcW w:w="954" w:type="dxa"/>
            <w:shd w:val="clear" w:color="auto" w:fill="FFFFFF"/>
            <w:vAlign w:val="center"/>
          </w:tcPr>
          <w:p w14:paraId="6CA4FB8F">
            <w:pPr>
              <w:widowControl/>
              <w:spacing w:before="0" w:after="0" w:line="240" w:lineRule="auto"/>
              <w:jc w:val="center"/>
              <w:textAlignment w:val="center"/>
              <w:rPr>
                <w:rFonts w:hint="default" w:ascii="Times New Roman" w:hAnsi="Times New Roman" w:eastAsia="宋体" w:cs="Times New Roman"/>
                <w:color w:val="auto"/>
                <w:sz w:val="21"/>
                <w:szCs w:val="21"/>
              </w:rPr>
            </w:pPr>
          </w:p>
        </w:tc>
      </w:tr>
      <w:tr w14:paraId="1A5896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1" w:hRule="atLeast"/>
          <w:jc w:val="center"/>
        </w:trPr>
        <w:tc>
          <w:tcPr>
            <w:tcW w:w="869" w:type="dxa"/>
            <w:shd w:val="clear" w:color="auto" w:fill="FFFFFF"/>
            <w:vAlign w:val="center"/>
          </w:tcPr>
          <w:p w14:paraId="224D52E0">
            <w:pPr>
              <w:widowControl/>
              <w:spacing w:before="0" w:after="0"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2047" w:type="dxa"/>
            <w:shd w:val="clear" w:color="auto" w:fill="FFFFFF"/>
            <w:vAlign w:val="center"/>
          </w:tcPr>
          <w:p w14:paraId="6DCDE326">
            <w:pPr>
              <w:widowControl/>
              <w:spacing w:before="0" w:after="0" w:line="240" w:lineRule="auto"/>
              <w:jc w:val="center"/>
              <w:textAlignment w:val="center"/>
              <w:rPr>
                <w:rFonts w:hint="default" w:ascii="Times New Roman" w:hAnsi="Times New Roman" w:eastAsia="宋体" w:cs="Times New Roman"/>
                <w:color w:val="auto"/>
                <w:sz w:val="21"/>
                <w:szCs w:val="21"/>
              </w:rPr>
            </w:pPr>
          </w:p>
        </w:tc>
        <w:tc>
          <w:tcPr>
            <w:tcW w:w="1249" w:type="dxa"/>
            <w:shd w:val="clear" w:color="auto" w:fill="FFFFFF"/>
            <w:vAlign w:val="center"/>
          </w:tcPr>
          <w:p w14:paraId="0A168320">
            <w:pPr>
              <w:widowControl/>
              <w:spacing w:before="0" w:after="0" w:line="240" w:lineRule="auto"/>
              <w:jc w:val="center"/>
              <w:textAlignment w:val="center"/>
              <w:rPr>
                <w:rFonts w:hint="default" w:ascii="Times New Roman" w:hAnsi="Times New Roman" w:eastAsia="宋体" w:cs="Times New Roman"/>
                <w:color w:val="auto"/>
                <w:sz w:val="21"/>
                <w:szCs w:val="21"/>
              </w:rPr>
            </w:pPr>
          </w:p>
        </w:tc>
        <w:tc>
          <w:tcPr>
            <w:tcW w:w="1249" w:type="dxa"/>
            <w:shd w:val="clear" w:color="auto" w:fill="FFFFFF"/>
            <w:vAlign w:val="center"/>
          </w:tcPr>
          <w:p w14:paraId="47B63A14">
            <w:pPr>
              <w:widowControl/>
              <w:spacing w:before="0" w:after="0" w:line="240" w:lineRule="auto"/>
              <w:jc w:val="center"/>
              <w:textAlignment w:val="center"/>
              <w:rPr>
                <w:rFonts w:hint="default" w:ascii="Times New Roman" w:hAnsi="Times New Roman" w:eastAsia="宋体" w:cs="Times New Roman"/>
                <w:color w:val="auto"/>
                <w:sz w:val="21"/>
                <w:szCs w:val="21"/>
              </w:rPr>
            </w:pPr>
          </w:p>
        </w:tc>
        <w:tc>
          <w:tcPr>
            <w:tcW w:w="895" w:type="dxa"/>
            <w:shd w:val="clear" w:color="auto" w:fill="FFFFFF"/>
            <w:vAlign w:val="center"/>
          </w:tcPr>
          <w:p w14:paraId="051B962E">
            <w:pPr>
              <w:widowControl/>
              <w:spacing w:before="0" w:after="0" w:line="240" w:lineRule="auto"/>
              <w:jc w:val="center"/>
              <w:textAlignment w:val="center"/>
              <w:rPr>
                <w:rFonts w:hint="default" w:ascii="Times New Roman" w:hAnsi="Times New Roman" w:eastAsia="宋体" w:cs="Times New Roman"/>
                <w:color w:val="auto"/>
                <w:sz w:val="21"/>
                <w:szCs w:val="21"/>
              </w:rPr>
            </w:pPr>
          </w:p>
        </w:tc>
        <w:tc>
          <w:tcPr>
            <w:tcW w:w="1430" w:type="dxa"/>
            <w:shd w:val="clear" w:color="auto" w:fill="FFFFFF"/>
            <w:vAlign w:val="center"/>
          </w:tcPr>
          <w:p w14:paraId="7548DAD3">
            <w:pPr>
              <w:widowControl/>
              <w:spacing w:before="0" w:after="0" w:line="240" w:lineRule="auto"/>
              <w:jc w:val="center"/>
              <w:textAlignment w:val="center"/>
              <w:rPr>
                <w:rFonts w:hint="default" w:ascii="Times New Roman" w:hAnsi="Times New Roman" w:eastAsia="宋体" w:cs="Times New Roman"/>
                <w:color w:val="auto"/>
                <w:sz w:val="21"/>
                <w:szCs w:val="21"/>
              </w:rPr>
            </w:pPr>
          </w:p>
        </w:tc>
        <w:tc>
          <w:tcPr>
            <w:tcW w:w="954" w:type="dxa"/>
            <w:shd w:val="clear" w:color="auto" w:fill="FFFFFF"/>
            <w:vAlign w:val="center"/>
          </w:tcPr>
          <w:p w14:paraId="54FF2DF2">
            <w:pPr>
              <w:widowControl/>
              <w:spacing w:before="0" w:after="0" w:line="240" w:lineRule="auto"/>
              <w:jc w:val="center"/>
              <w:textAlignment w:val="center"/>
              <w:rPr>
                <w:rFonts w:hint="default" w:ascii="Times New Roman" w:hAnsi="Times New Roman" w:eastAsia="宋体" w:cs="Times New Roman"/>
                <w:color w:val="auto"/>
                <w:sz w:val="21"/>
                <w:szCs w:val="21"/>
              </w:rPr>
            </w:pPr>
          </w:p>
        </w:tc>
      </w:tr>
    </w:tbl>
    <w:p w14:paraId="68D03366">
      <w:pPr>
        <w:widowControl w:val="0"/>
        <w:snapToGrid w:val="0"/>
        <w:spacing w:before="0" w:after="0" w:line="240" w:lineRule="auto"/>
        <w:ind w:firstLine="0" w:firstLineChars="0"/>
        <w:jc w:val="both"/>
        <w:rPr>
          <w:rFonts w:hint="default" w:ascii="Times New Roman" w:hAnsi="Times New Roman" w:eastAsia="宋体" w:cs="Times New Roman"/>
          <w:b/>
          <w:color w:val="auto"/>
          <w:kern w:val="2"/>
          <w:sz w:val="21"/>
          <w:szCs w:val="21"/>
          <w:lang w:val="zh-CN" w:eastAsia="zh-CN" w:bidi="ar-SA"/>
        </w:rPr>
      </w:pPr>
    </w:p>
    <w:p w14:paraId="6863936A">
      <w:pPr>
        <w:widowControl w:val="0"/>
        <w:snapToGrid w:val="0"/>
        <w:spacing w:before="0" w:after="0" w:line="240" w:lineRule="auto"/>
        <w:ind w:firstLine="0" w:firstLineChars="0"/>
        <w:jc w:val="center"/>
        <w:rPr>
          <w:rFonts w:hint="default" w:ascii="Times New Roman" w:hAnsi="Times New Roman" w:eastAsia="宋体" w:cs="Times New Roman"/>
          <w:b/>
          <w:color w:val="auto"/>
          <w:kern w:val="2"/>
          <w:sz w:val="21"/>
          <w:szCs w:val="21"/>
          <w:lang w:val="zh-CN" w:eastAsia="zh-CN" w:bidi="ar-SA"/>
        </w:rPr>
      </w:pPr>
      <w:r>
        <w:rPr>
          <w:rFonts w:hint="default" w:ascii="Times New Roman" w:hAnsi="Times New Roman" w:eastAsia="宋体" w:cs="Times New Roman"/>
          <w:b/>
          <w:color w:val="auto"/>
          <w:kern w:val="2"/>
          <w:sz w:val="21"/>
          <w:szCs w:val="21"/>
          <w:lang w:val="zh-CN" w:eastAsia="zh-CN" w:bidi="ar-SA"/>
        </w:rPr>
        <w:t>表5.2-3  钢柱、钢梁截面尺寸抽检结果</w:t>
      </w:r>
      <w:r>
        <w:rPr>
          <w:rFonts w:hint="eastAsia" w:ascii="Times New Roman" w:hAnsi="Times New Roman" w:eastAsia="宋体" w:cs="Times New Roman"/>
          <w:b/>
          <w:color w:val="auto"/>
          <w:kern w:val="2"/>
          <w:sz w:val="21"/>
          <w:szCs w:val="21"/>
          <w:lang w:val="en-US" w:eastAsia="zh-CN" w:bidi="ar-SA"/>
        </w:rPr>
        <w:t>(抽样比例满足鉴定要求)</w:t>
      </w:r>
    </w:p>
    <w:tbl>
      <w:tblPr>
        <w:tblStyle w:val="22"/>
        <w:tblW w:w="875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6"/>
        <w:gridCol w:w="1559"/>
        <w:gridCol w:w="1134"/>
        <w:gridCol w:w="1276"/>
        <w:gridCol w:w="1417"/>
        <w:gridCol w:w="992"/>
        <w:gridCol w:w="709"/>
        <w:gridCol w:w="1016"/>
      </w:tblGrid>
      <w:tr w14:paraId="162D05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19" w:hRule="exact"/>
          <w:tblHeader/>
          <w:jc w:val="center"/>
        </w:trPr>
        <w:tc>
          <w:tcPr>
            <w:tcW w:w="656" w:type="dxa"/>
            <w:vAlign w:val="center"/>
          </w:tcPr>
          <w:p w14:paraId="0D66152B">
            <w:pPr>
              <w:spacing w:before="0" w:after="0" w:line="32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1559" w:type="dxa"/>
            <w:vAlign w:val="center"/>
          </w:tcPr>
          <w:p w14:paraId="1C1A358D">
            <w:pPr>
              <w:spacing w:before="0" w:after="0" w:line="32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构件部位</w:t>
            </w:r>
          </w:p>
        </w:tc>
        <w:tc>
          <w:tcPr>
            <w:tcW w:w="1134" w:type="dxa"/>
            <w:vAlign w:val="center"/>
          </w:tcPr>
          <w:p w14:paraId="71644A42">
            <w:pPr>
              <w:spacing w:before="0" w:after="0" w:line="32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检测部位</w:t>
            </w:r>
          </w:p>
        </w:tc>
        <w:tc>
          <w:tcPr>
            <w:tcW w:w="1276" w:type="dxa"/>
            <w:vAlign w:val="center"/>
          </w:tcPr>
          <w:p w14:paraId="2E5E671A">
            <w:pPr>
              <w:spacing w:before="0" w:after="0" w:line="32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测量值（mm）</w:t>
            </w:r>
          </w:p>
        </w:tc>
        <w:tc>
          <w:tcPr>
            <w:tcW w:w="1417" w:type="dxa"/>
            <w:vAlign w:val="center"/>
          </w:tcPr>
          <w:p w14:paraId="634F5AA5">
            <w:pPr>
              <w:spacing w:before="0" w:after="0" w:line="32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设计值</w:t>
            </w:r>
          </w:p>
          <w:p w14:paraId="715DB4B6">
            <w:pPr>
              <w:spacing w:before="0" w:after="0" w:line="32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（mm）</w:t>
            </w:r>
          </w:p>
        </w:tc>
        <w:tc>
          <w:tcPr>
            <w:tcW w:w="992" w:type="dxa"/>
            <w:vAlign w:val="center"/>
          </w:tcPr>
          <w:p w14:paraId="1CE4293B">
            <w:pPr>
              <w:spacing w:before="0" w:after="0" w:line="32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偏差</w:t>
            </w:r>
          </w:p>
          <w:p w14:paraId="63F4C1C5">
            <w:pPr>
              <w:spacing w:before="0" w:after="0" w:line="32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(mm)</w:t>
            </w:r>
          </w:p>
        </w:tc>
        <w:tc>
          <w:tcPr>
            <w:tcW w:w="709" w:type="dxa"/>
            <w:vAlign w:val="center"/>
          </w:tcPr>
          <w:p w14:paraId="18421588">
            <w:pPr>
              <w:spacing w:before="0" w:after="0" w:line="32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允许偏差</w:t>
            </w:r>
          </w:p>
        </w:tc>
        <w:tc>
          <w:tcPr>
            <w:tcW w:w="1016" w:type="dxa"/>
            <w:vAlign w:val="center"/>
          </w:tcPr>
          <w:p w14:paraId="2595350E">
            <w:pPr>
              <w:spacing w:before="0" w:after="0" w:line="32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是否</w:t>
            </w:r>
          </w:p>
          <w:p w14:paraId="2E68DA55">
            <w:pPr>
              <w:spacing w:before="0" w:after="0" w:line="32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满足</w:t>
            </w:r>
          </w:p>
        </w:tc>
      </w:tr>
      <w:tr w14:paraId="393F51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56" w:type="dxa"/>
            <w:vMerge w:val="restart"/>
            <w:vAlign w:val="center"/>
          </w:tcPr>
          <w:p w14:paraId="21014AE4">
            <w:pPr>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559" w:type="dxa"/>
            <w:vMerge w:val="restart"/>
            <w:vAlign w:val="center"/>
          </w:tcPr>
          <w:p w14:paraId="4FDA1E98">
            <w:pPr>
              <w:widowControl/>
              <w:spacing w:before="0" w:after="0" w:line="240" w:lineRule="auto"/>
              <w:jc w:val="center"/>
              <w:textAlignment w:val="center"/>
              <w:rPr>
                <w:rFonts w:hint="default" w:ascii="Times New Roman" w:hAnsi="Times New Roman" w:eastAsia="宋体" w:cs="Times New Roman"/>
                <w:color w:val="auto"/>
                <w:sz w:val="21"/>
                <w:szCs w:val="21"/>
              </w:rPr>
            </w:pPr>
          </w:p>
        </w:tc>
        <w:tc>
          <w:tcPr>
            <w:tcW w:w="1134" w:type="dxa"/>
            <w:vAlign w:val="center"/>
          </w:tcPr>
          <w:p w14:paraId="2F4A218D">
            <w:pPr>
              <w:spacing w:before="0" w:after="0" w:line="240" w:lineRule="auto"/>
              <w:jc w:val="center"/>
              <w:rPr>
                <w:rFonts w:hint="default" w:ascii="Times New Roman" w:hAnsi="Times New Roman" w:eastAsia="宋体" w:cs="Times New Roman"/>
                <w:color w:val="auto"/>
                <w:sz w:val="21"/>
                <w:szCs w:val="21"/>
              </w:rPr>
            </w:pPr>
          </w:p>
        </w:tc>
        <w:tc>
          <w:tcPr>
            <w:tcW w:w="1276" w:type="dxa"/>
            <w:vAlign w:val="center"/>
          </w:tcPr>
          <w:p w14:paraId="62C9317F">
            <w:pPr>
              <w:widowControl/>
              <w:spacing w:before="0" w:after="0" w:line="240" w:lineRule="auto"/>
              <w:jc w:val="center"/>
              <w:textAlignment w:val="center"/>
              <w:rPr>
                <w:rFonts w:hint="default" w:ascii="Times New Roman" w:hAnsi="Times New Roman" w:eastAsia="宋体" w:cs="Times New Roman"/>
                <w:color w:val="auto"/>
                <w:sz w:val="21"/>
                <w:szCs w:val="21"/>
              </w:rPr>
            </w:pPr>
          </w:p>
        </w:tc>
        <w:tc>
          <w:tcPr>
            <w:tcW w:w="1417" w:type="dxa"/>
            <w:vAlign w:val="center"/>
          </w:tcPr>
          <w:p w14:paraId="18A4BCBB">
            <w:pPr>
              <w:widowControl/>
              <w:spacing w:before="0" w:after="0" w:line="240" w:lineRule="auto"/>
              <w:jc w:val="center"/>
              <w:textAlignment w:val="center"/>
              <w:rPr>
                <w:rFonts w:hint="default" w:ascii="Times New Roman" w:hAnsi="Times New Roman" w:eastAsia="宋体" w:cs="Times New Roman"/>
                <w:color w:val="auto"/>
                <w:sz w:val="21"/>
                <w:szCs w:val="21"/>
              </w:rPr>
            </w:pPr>
          </w:p>
        </w:tc>
        <w:tc>
          <w:tcPr>
            <w:tcW w:w="992" w:type="dxa"/>
            <w:vAlign w:val="center"/>
          </w:tcPr>
          <w:p w14:paraId="0E0C680E">
            <w:pPr>
              <w:widowControl/>
              <w:spacing w:before="0" w:after="0" w:line="240" w:lineRule="auto"/>
              <w:jc w:val="center"/>
              <w:textAlignment w:val="center"/>
              <w:rPr>
                <w:rFonts w:hint="default" w:ascii="Times New Roman" w:hAnsi="Times New Roman" w:eastAsia="宋体" w:cs="Times New Roman"/>
                <w:color w:val="auto"/>
                <w:sz w:val="21"/>
                <w:szCs w:val="21"/>
              </w:rPr>
            </w:pPr>
          </w:p>
        </w:tc>
        <w:tc>
          <w:tcPr>
            <w:tcW w:w="709" w:type="dxa"/>
            <w:vAlign w:val="center"/>
          </w:tcPr>
          <w:p w14:paraId="5A9AAEB0">
            <w:pPr>
              <w:widowControl/>
              <w:spacing w:before="0" w:after="0" w:line="240" w:lineRule="auto"/>
              <w:jc w:val="center"/>
              <w:textAlignment w:val="center"/>
              <w:rPr>
                <w:rFonts w:hint="default" w:ascii="Times New Roman" w:hAnsi="Times New Roman" w:eastAsia="宋体" w:cs="Times New Roman"/>
                <w:color w:val="auto"/>
                <w:sz w:val="21"/>
                <w:szCs w:val="21"/>
              </w:rPr>
            </w:pPr>
          </w:p>
        </w:tc>
        <w:tc>
          <w:tcPr>
            <w:tcW w:w="1016" w:type="dxa"/>
            <w:vAlign w:val="center"/>
          </w:tcPr>
          <w:p w14:paraId="78B47CC3">
            <w:pPr>
              <w:spacing w:before="0" w:after="0" w:line="240" w:lineRule="auto"/>
              <w:jc w:val="center"/>
              <w:rPr>
                <w:rFonts w:hint="default" w:ascii="Times New Roman" w:hAnsi="Times New Roman" w:eastAsia="宋体" w:cs="Times New Roman"/>
                <w:color w:val="auto"/>
                <w:sz w:val="21"/>
                <w:szCs w:val="21"/>
              </w:rPr>
            </w:pPr>
          </w:p>
        </w:tc>
      </w:tr>
      <w:tr w14:paraId="24834D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56" w:type="dxa"/>
            <w:vMerge w:val="continue"/>
            <w:vAlign w:val="center"/>
          </w:tcPr>
          <w:p w14:paraId="24E5DBBF">
            <w:pPr>
              <w:spacing w:before="0" w:after="0" w:line="240" w:lineRule="auto"/>
              <w:jc w:val="center"/>
              <w:rPr>
                <w:rFonts w:hint="default" w:ascii="Times New Roman" w:hAnsi="Times New Roman" w:eastAsia="宋体" w:cs="Times New Roman"/>
                <w:color w:val="auto"/>
                <w:sz w:val="21"/>
                <w:szCs w:val="21"/>
              </w:rPr>
            </w:pPr>
          </w:p>
        </w:tc>
        <w:tc>
          <w:tcPr>
            <w:tcW w:w="1559" w:type="dxa"/>
            <w:vMerge w:val="continue"/>
            <w:vAlign w:val="center"/>
          </w:tcPr>
          <w:p w14:paraId="415DCC44">
            <w:pPr>
              <w:widowControl/>
              <w:spacing w:before="0" w:after="0" w:line="240" w:lineRule="auto"/>
              <w:jc w:val="center"/>
              <w:textAlignment w:val="center"/>
              <w:rPr>
                <w:rFonts w:hint="default" w:ascii="Times New Roman" w:hAnsi="Times New Roman" w:eastAsia="宋体" w:cs="Times New Roman"/>
                <w:color w:val="auto"/>
                <w:sz w:val="21"/>
                <w:szCs w:val="21"/>
              </w:rPr>
            </w:pPr>
          </w:p>
        </w:tc>
        <w:tc>
          <w:tcPr>
            <w:tcW w:w="1134" w:type="dxa"/>
            <w:vAlign w:val="center"/>
          </w:tcPr>
          <w:p w14:paraId="2A262372">
            <w:pPr>
              <w:spacing w:before="0" w:after="0" w:line="240" w:lineRule="auto"/>
              <w:jc w:val="center"/>
              <w:rPr>
                <w:rFonts w:hint="default" w:ascii="Times New Roman" w:hAnsi="Times New Roman" w:eastAsia="宋体" w:cs="Times New Roman"/>
                <w:color w:val="auto"/>
                <w:sz w:val="21"/>
                <w:szCs w:val="21"/>
              </w:rPr>
            </w:pPr>
          </w:p>
        </w:tc>
        <w:tc>
          <w:tcPr>
            <w:tcW w:w="1276" w:type="dxa"/>
            <w:vAlign w:val="center"/>
          </w:tcPr>
          <w:p w14:paraId="5B95C36F">
            <w:pPr>
              <w:widowControl/>
              <w:spacing w:before="0" w:after="0" w:line="240" w:lineRule="auto"/>
              <w:jc w:val="center"/>
              <w:textAlignment w:val="center"/>
              <w:rPr>
                <w:rFonts w:hint="default" w:ascii="Times New Roman" w:hAnsi="Times New Roman" w:eastAsia="宋体" w:cs="Times New Roman"/>
                <w:color w:val="auto"/>
                <w:sz w:val="21"/>
                <w:szCs w:val="21"/>
              </w:rPr>
            </w:pPr>
          </w:p>
        </w:tc>
        <w:tc>
          <w:tcPr>
            <w:tcW w:w="1417" w:type="dxa"/>
            <w:vAlign w:val="center"/>
          </w:tcPr>
          <w:p w14:paraId="6AC42190">
            <w:pPr>
              <w:widowControl/>
              <w:spacing w:before="0" w:after="0" w:line="240" w:lineRule="auto"/>
              <w:jc w:val="center"/>
              <w:textAlignment w:val="center"/>
              <w:rPr>
                <w:rFonts w:hint="default" w:ascii="Times New Roman" w:hAnsi="Times New Roman" w:eastAsia="宋体" w:cs="Times New Roman"/>
                <w:color w:val="auto"/>
                <w:sz w:val="21"/>
                <w:szCs w:val="21"/>
              </w:rPr>
            </w:pPr>
          </w:p>
        </w:tc>
        <w:tc>
          <w:tcPr>
            <w:tcW w:w="992" w:type="dxa"/>
            <w:vAlign w:val="center"/>
          </w:tcPr>
          <w:p w14:paraId="1A2C8A18">
            <w:pPr>
              <w:widowControl/>
              <w:spacing w:before="0" w:after="0" w:line="240" w:lineRule="auto"/>
              <w:jc w:val="center"/>
              <w:textAlignment w:val="center"/>
              <w:rPr>
                <w:rFonts w:hint="default" w:ascii="Times New Roman" w:hAnsi="Times New Roman" w:eastAsia="宋体" w:cs="Times New Roman"/>
                <w:color w:val="auto"/>
                <w:sz w:val="21"/>
                <w:szCs w:val="21"/>
              </w:rPr>
            </w:pPr>
          </w:p>
        </w:tc>
        <w:tc>
          <w:tcPr>
            <w:tcW w:w="709" w:type="dxa"/>
            <w:vAlign w:val="center"/>
          </w:tcPr>
          <w:p w14:paraId="1F91D0D9">
            <w:pPr>
              <w:widowControl/>
              <w:spacing w:before="0" w:after="0" w:line="240" w:lineRule="auto"/>
              <w:jc w:val="center"/>
              <w:textAlignment w:val="center"/>
              <w:rPr>
                <w:rFonts w:hint="default" w:ascii="Times New Roman" w:hAnsi="Times New Roman" w:eastAsia="宋体" w:cs="Times New Roman"/>
                <w:color w:val="auto"/>
                <w:sz w:val="21"/>
                <w:szCs w:val="21"/>
              </w:rPr>
            </w:pPr>
          </w:p>
        </w:tc>
        <w:tc>
          <w:tcPr>
            <w:tcW w:w="1016" w:type="dxa"/>
            <w:vAlign w:val="center"/>
          </w:tcPr>
          <w:p w14:paraId="325DB24E">
            <w:pPr>
              <w:spacing w:before="0" w:after="0" w:line="240" w:lineRule="auto"/>
              <w:jc w:val="center"/>
              <w:rPr>
                <w:rFonts w:hint="default" w:ascii="Times New Roman" w:hAnsi="Times New Roman" w:eastAsia="宋体" w:cs="Times New Roman"/>
                <w:color w:val="auto"/>
                <w:sz w:val="21"/>
                <w:szCs w:val="21"/>
              </w:rPr>
            </w:pPr>
          </w:p>
        </w:tc>
      </w:tr>
      <w:tr w14:paraId="22A694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56" w:type="dxa"/>
            <w:vMerge w:val="restart"/>
            <w:vAlign w:val="center"/>
          </w:tcPr>
          <w:p w14:paraId="343A2041">
            <w:pPr>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559" w:type="dxa"/>
            <w:vMerge w:val="restart"/>
            <w:vAlign w:val="center"/>
          </w:tcPr>
          <w:p w14:paraId="2CBBA76C">
            <w:pPr>
              <w:widowControl/>
              <w:spacing w:before="0" w:after="0" w:line="240" w:lineRule="auto"/>
              <w:jc w:val="center"/>
              <w:textAlignment w:val="center"/>
              <w:rPr>
                <w:rFonts w:hint="default" w:ascii="Times New Roman" w:hAnsi="Times New Roman" w:eastAsia="宋体" w:cs="Times New Roman"/>
                <w:color w:val="auto"/>
                <w:sz w:val="21"/>
                <w:szCs w:val="21"/>
              </w:rPr>
            </w:pPr>
          </w:p>
        </w:tc>
        <w:tc>
          <w:tcPr>
            <w:tcW w:w="1134" w:type="dxa"/>
            <w:vAlign w:val="center"/>
          </w:tcPr>
          <w:p w14:paraId="0DBA5EEA">
            <w:pPr>
              <w:spacing w:before="0" w:after="0" w:line="240" w:lineRule="auto"/>
              <w:jc w:val="center"/>
              <w:rPr>
                <w:rFonts w:hint="default" w:ascii="Times New Roman" w:hAnsi="Times New Roman" w:eastAsia="宋体" w:cs="Times New Roman"/>
                <w:color w:val="auto"/>
                <w:sz w:val="21"/>
                <w:szCs w:val="21"/>
              </w:rPr>
            </w:pPr>
          </w:p>
        </w:tc>
        <w:tc>
          <w:tcPr>
            <w:tcW w:w="1276" w:type="dxa"/>
            <w:vAlign w:val="center"/>
          </w:tcPr>
          <w:p w14:paraId="72A7C319">
            <w:pPr>
              <w:widowControl/>
              <w:spacing w:before="0" w:after="0" w:line="240" w:lineRule="auto"/>
              <w:jc w:val="center"/>
              <w:textAlignment w:val="center"/>
              <w:rPr>
                <w:rFonts w:hint="default" w:ascii="Times New Roman" w:hAnsi="Times New Roman" w:eastAsia="宋体" w:cs="Times New Roman"/>
                <w:color w:val="auto"/>
                <w:sz w:val="21"/>
                <w:szCs w:val="21"/>
              </w:rPr>
            </w:pPr>
          </w:p>
        </w:tc>
        <w:tc>
          <w:tcPr>
            <w:tcW w:w="1417" w:type="dxa"/>
            <w:vAlign w:val="center"/>
          </w:tcPr>
          <w:p w14:paraId="25957784">
            <w:pPr>
              <w:widowControl/>
              <w:spacing w:before="0" w:after="0" w:line="240" w:lineRule="auto"/>
              <w:jc w:val="center"/>
              <w:textAlignment w:val="center"/>
              <w:rPr>
                <w:rFonts w:hint="default" w:ascii="Times New Roman" w:hAnsi="Times New Roman" w:eastAsia="宋体" w:cs="Times New Roman"/>
                <w:color w:val="auto"/>
                <w:sz w:val="21"/>
                <w:szCs w:val="21"/>
              </w:rPr>
            </w:pPr>
          </w:p>
        </w:tc>
        <w:tc>
          <w:tcPr>
            <w:tcW w:w="992" w:type="dxa"/>
            <w:vAlign w:val="center"/>
          </w:tcPr>
          <w:p w14:paraId="2B0C91AC">
            <w:pPr>
              <w:widowControl/>
              <w:spacing w:before="0" w:after="0" w:line="240" w:lineRule="auto"/>
              <w:jc w:val="center"/>
              <w:textAlignment w:val="center"/>
              <w:rPr>
                <w:rFonts w:hint="default" w:ascii="Times New Roman" w:hAnsi="Times New Roman" w:eastAsia="宋体" w:cs="Times New Roman"/>
                <w:color w:val="auto"/>
                <w:sz w:val="21"/>
                <w:szCs w:val="21"/>
              </w:rPr>
            </w:pPr>
          </w:p>
        </w:tc>
        <w:tc>
          <w:tcPr>
            <w:tcW w:w="709" w:type="dxa"/>
            <w:vAlign w:val="center"/>
          </w:tcPr>
          <w:p w14:paraId="5C47FFFD">
            <w:pPr>
              <w:widowControl/>
              <w:spacing w:before="0" w:after="0" w:line="240" w:lineRule="auto"/>
              <w:jc w:val="center"/>
              <w:textAlignment w:val="center"/>
              <w:rPr>
                <w:rFonts w:hint="default" w:ascii="Times New Roman" w:hAnsi="Times New Roman" w:eastAsia="宋体" w:cs="Times New Roman"/>
                <w:color w:val="auto"/>
                <w:sz w:val="21"/>
                <w:szCs w:val="21"/>
              </w:rPr>
            </w:pPr>
          </w:p>
        </w:tc>
        <w:tc>
          <w:tcPr>
            <w:tcW w:w="1016" w:type="dxa"/>
            <w:vAlign w:val="center"/>
          </w:tcPr>
          <w:p w14:paraId="3D519C75">
            <w:pPr>
              <w:spacing w:before="0" w:after="0" w:line="240" w:lineRule="auto"/>
              <w:jc w:val="center"/>
              <w:rPr>
                <w:rFonts w:hint="default" w:ascii="Times New Roman" w:hAnsi="Times New Roman" w:eastAsia="宋体" w:cs="Times New Roman"/>
                <w:color w:val="auto"/>
                <w:sz w:val="21"/>
                <w:szCs w:val="21"/>
              </w:rPr>
            </w:pPr>
          </w:p>
        </w:tc>
      </w:tr>
      <w:tr w14:paraId="260015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56" w:type="dxa"/>
            <w:vMerge w:val="continue"/>
            <w:vAlign w:val="center"/>
          </w:tcPr>
          <w:p w14:paraId="16836E9A">
            <w:pPr>
              <w:spacing w:before="0" w:after="0" w:line="240" w:lineRule="auto"/>
              <w:jc w:val="center"/>
              <w:rPr>
                <w:rFonts w:hint="default" w:ascii="Times New Roman" w:hAnsi="Times New Roman" w:eastAsia="宋体" w:cs="Times New Roman"/>
                <w:color w:val="auto"/>
                <w:sz w:val="21"/>
                <w:szCs w:val="21"/>
              </w:rPr>
            </w:pPr>
          </w:p>
        </w:tc>
        <w:tc>
          <w:tcPr>
            <w:tcW w:w="1559" w:type="dxa"/>
            <w:vMerge w:val="continue"/>
            <w:vAlign w:val="center"/>
          </w:tcPr>
          <w:p w14:paraId="5D5E2766">
            <w:pPr>
              <w:widowControl/>
              <w:spacing w:before="0" w:after="0" w:line="240" w:lineRule="auto"/>
              <w:jc w:val="center"/>
              <w:textAlignment w:val="center"/>
              <w:rPr>
                <w:rFonts w:hint="default" w:ascii="Times New Roman" w:hAnsi="Times New Roman" w:eastAsia="宋体" w:cs="Times New Roman"/>
                <w:color w:val="auto"/>
                <w:sz w:val="21"/>
                <w:szCs w:val="21"/>
              </w:rPr>
            </w:pPr>
          </w:p>
        </w:tc>
        <w:tc>
          <w:tcPr>
            <w:tcW w:w="1134" w:type="dxa"/>
            <w:vAlign w:val="center"/>
          </w:tcPr>
          <w:p w14:paraId="545FC821">
            <w:pPr>
              <w:spacing w:before="0" w:after="0" w:line="240" w:lineRule="auto"/>
              <w:jc w:val="center"/>
              <w:rPr>
                <w:rFonts w:hint="default" w:ascii="Times New Roman" w:hAnsi="Times New Roman" w:eastAsia="宋体" w:cs="Times New Roman"/>
                <w:color w:val="auto"/>
                <w:sz w:val="21"/>
                <w:szCs w:val="21"/>
              </w:rPr>
            </w:pPr>
          </w:p>
        </w:tc>
        <w:tc>
          <w:tcPr>
            <w:tcW w:w="1276" w:type="dxa"/>
            <w:vAlign w:val="center"/>
          </w:tcPr>
          <w:p w14:paraId="09619C46">
            <w:pPr>
              <w:widowControl/>
              <w:spacing w:before="0" w:after="0" w:line="240" w:lineRule="auto"/>
              <w:jc w:val="center"/>
              <w:textAlignment w:val="center"/>
              <w:rPr>
                <w:rFonts w:hint="default" w:ascii="Times New Roman" w:hAnsi="Times New Roman" w:eastAsia="宋体" w:cs="Times New Roman"/>
                <w:color w:val="auto"/>
                <w:sz w:val="21"/>
                <w:szCs w:val="21"/>
              </w:rPr>
            </w:pPr>
          </w:p>
        </w:tc>
        <w:tc>
          <w:tcPr>
            <w:tcW w:w="1417" w:type="dxa"/>
            <w:vAlign w:val="center"/>
          </w:tcPr>
          <w:p w14:paraId="71618E55">
            <w:pPr>
              <w:widowControl/>
              <w:spacing w:before="0" w:after="0" w:line="240" w:lineRule="auto"/>
              <w:jc w:val="center"/>
              <w:textAlignment w:val="center"/>
              <w:rPr>
                <w:rFonts w:hint="default" w:ascii="Times New Roman" w:hAnsi="Times New Roman" w:eastAsia="宋体" w:cs="Times New Roman"/>
                <w:color w:val="auto"/>
                <w:sz w:val="21"/>
                <w:szCs w:val="21"/>
              </w:rPr>
            </w:pPr>
          </w:p>
        </w:tc>
        <w:tc>
          <w:tcPr>
            <w:tcW w:w="992" w:type="dxa"/>
            <w:vAlign w:val="center"/>
          </w:tcPr>
          <w:p w14:paraId="077D2915">
            <w:pPr>
              <w:widowControl/>
              <w:spacing w:before="0" w:after="0" w:line="240" w:lineRule="auto"/>
              <w:jc w:val="center"/>
              <w:textAlignment w:val="center"/>
              <w:rPr>
                <w:rFonts w:hint="default" w:ascii="Times New Roman" w:hAnsi="Times New Roman" w:eastAsia="宋体" w:cs="Times New Roman"/>
                <w:color w:val="auto"/>
                <w:sz w:val="21"/>
                <w:szCs w:val="21"/>
              </w:rPr>
            </w:pPr>
          </w:p>
        </w:tc>
        <w:tc>
          <w:tcPr>
            <w:tcW w:w="709" w:type="dxa"/>
            <w:vAlign w:val="center"/>
          </w:tcPr>
          <w:p w14:paraId="6EC2C5C9">
            <w:pPr>
              <w:widowControl/>
              <w:spacing w:before="0" w:after="0" w:line="240" w:lineRule="auto"/>
              <w:jc w:val="center"/>
              <w:textAlignment w:val="center"/>
              <w:rPr>
                <w:rFonts w:hint="default" w:ascii="Times New Roman" w:hAnsi="Times New Roman" w:eastAsia="宋体" w:cs="Times New Roman"/>
                <w:color w:val="auto"/>
                <w:sz w:val="21"/>
                <w:szCs w:val="21"/>
              </w:rPr>
            </w:pPr>
          </w:p>
        </w:tc>
        <w:tc>
          <w:tcPr>
            <w:tcW w:w="1016" w:type="dxa"/>
            <w:vAlign w:val="center"/>
          </w:tcPr>
          <w:p w14:paraId="1D1D49DE">
            <w:pPr>
              <w:spacing w:before="0" w:after="0" w:line="240" w:lineRule="auto"/>
              <w:jc w:val="center"/>
              <w:rPr>
                <w:rFonts w:hint="default" w:ascii="Times New Roman" w:hAnsi="Times New Roman" w:eastAsia="宋体" w:cs="Times New Roman"/>
                <w:color w:val="auto"/>
                <w:sz w:val="21"/>
                <w:szCs w:val="21"/>
              </w:rPr>
            </w:pPr>
          </w:p>
        </w:tc>
      </w:tr>
    </w:tbl>
    <w:p w14:paraId="33C5D544">
      <w:pPr>
        <w:widowControl w:val="0"/>
        <w:snapToGrid w:val="0"/>
        <w:spacing w:before="0" w:after="0" w:line="240" w:lineRule="auto"/>
        <w:ind w:firstLine="0" w:firstLineChars="0"/>
        <w:jc w:val="both"/>
        <w:rPr>
          <w:rFonts w:hint="default" w:ascii="Times New Roman" w:hAnsi="Times New Roman" w:eastAsia="宋体" w:cs="Times New Roman"/>
          <w:b/>
          <w:color w:val="auto"/>
          <w:kern w:val="2"/>
          <w:sz w:val="24"/>
          <w:szCs w:val="21"/>
          <w:lang w:val="zh-CN" w:eastAsia="zh-CN" w:bidi="ar-SA"/>
        </w:rPr>
      </w:pPr>
    </w:p>
    <w:p w14:paraId="1CA3F503">
      <w:pPr>
        <w:widowControl w:val="0"/>
        <w:snapToGrid w:val="0"/>
        <w:spacing w:before="0" w:after="0" w:line="240" w:lineRule="auto"/>
        <w:ind w:firstLine="0" w:firstLineChars="0"/>
        <w:jc w:val="center"/>
        <w:rPr>
          <w:rFonts w:hint="default" w:ascii="Times New Roman" w:hAnsi="Times New Roman" w:eastAsia="宋体" w:cs="Times New Roman"/>
          <w:b/>
          <w:color w:val="auto"/>
          <w:kern w:val="2"/>
          <w:sz w:val="21"/>
          <w:szCs w:val="21"/>
          <w:lang w:val="zh-CN" w:eastAsia="zh-CN" w:bidi="ar-SA"/>
        </w:rPr>
      </w:pPr>
      <w:r>
        <w:rPr>
          <w:rFonts w:hint="default" w:ascii="Times New Roman" w:hAnsi="Times New Roman" w:eastAsia="宋体" w:cs="Times New Roman"/>
          <w:b/>
          <w:color w:val="auto"/>
          <w:kern w:val="2"/>
          <w:sz w:val="21"/>
          <w:szCs w:val="21"/>
          <w:lang w:val="zh-CN" w:eastAsia="zh-CN" w:bidi="ar-SA"/>
        </w:rPr>
        <w:t>表5.2-4  钢柱、钢梁厚度尺寸抽检结果</w:t>
      </w:r>
      <w:r>
        <w:rPr>
          <w:rFonts w:hint="eastAsia" w:ascii="Times New Roman" w:hAnsi="Times New Roman" w:eastAsia="宋体" w:cs="Times New Roman"/>
          <w:b/>
          <w:color w:val="auto"/>
          <w:kern w:val="2"/>
          <w:sz w:val="21"/>
          <w:szCs w:val="21"/>
          <w:lang w:val="en-US" w:eastAsia="zh-CN" w:bidi="ar-SA"/>
        </w:rPr>
        <w:t>(抽样比例满足鉴定要求)</w:t>
      </w:r>
    </w:p>
    <w:tbl>
      <w:tblPr>
        <w:tblStyle w:val="22"/>
        <w:tblW w:w="875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505"/>
        <w:gridCol w:w="1134"/>
        <w:gridCol w:w="1134"/>
        <w:gridCol w:w="1134"/>
        <w:gridCol w:w="850"/>
        <w:gridCol w:w="1158"/>
        <w:gridCol w:w="1134"/>
      </w:tblGrid>
      <w:tr w14:paraId="43F5B2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1" w:hRule="exact"/>
          <w:tblHeader/>
          <w:jc w:val="center"/>
        </w:trPr>
        <w:tc>
          <w:tcPr>
            <w:tcW w:w="710" w:type="dxa"/>
            <w:vAlign w:val="center"/>
          </w:tcPr>
          <w:p w14:paraId="70B50A23">
            <w:pPr>
              <w:spacing w:before="0" w:after="0" w:line="32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1505" w:type="dxa"/>
            <w:vAlign w:val="center"/>
          </w:tcPr>
          <w:p w14:paraId="32B8E416">
            <w:pPr>
              <w:spacing w:before="0" w:after="0" w:line="32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构件部位</w:t>
            </w:r>
          </w:p>
        </w:tc>
        <w:tc>
          <w:tcPr>
            <w:tcW w:w="1134" w:type="dxa"/>
            <w:vAlign w:val="center"/>
          </w:tcPr>
          <w:p w14:paraId="591A447C">
            <w:pPr>
              <w:spacing w:before="0" w:after="0" w:line="32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检测部位</w:t>
            </w:r>
          </w:p>
        </w:tc>
        <w:tc>
          <w:tcPr>
            <w:tcW w:w="1134" w:type="dxa"/>
            <w:vAlign w:val="center"/>
          </w:tcPr>
          <w:p w14:paraId="550FC474">
            <w:pPr>
              <w:spacing w:before="0" w:after="0" w:line="32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测量值</w:t>
            </w:r>
          </w:p>
          <w:p w14:paraId="246E1339">
            <w:pPr>
              <w:spacing w:before="0" w:after="0" w:line="32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（mm）</w:t>
            </w:r>
          </w:p>
        </w:tc>
        <w:tc>
          <w:tcPr>
            <w:tcW w:w="1134" w:type="dxa"/>
            <w:vAlign w:val="center"/>
          </w:tcPr>
          <w:p w14:paraId="154F562C">
            <w:pPr>
              <w:spacing w:before="0" w:after="0" w:line="32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设计值</w:t>
            </w:r>
          </w:p>
          <w:p w14:paraId="49457A5A">
            <w:pPr>
              <w:spacing w:before="0" w:after="0" w:line="32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（mm）</w:t>
            </w:r>
          </w:p>
        </w:tc>
        <w:tc>
          <w:tcPr>
            <w:tcW w:w="850" w:type="dxa"/>
            <w:vAlign w:val="center"/>
          </w:tcPr>
          <w:p w14:paraId="6E3682D9">
            <w:pPr>
              <w:spacing w:before="0" w:after="0" w:line="32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偏差</w:t>
            </w:r>
          </w:p>
        </w:tc>
        <w:tc>
          <w:tcPr>
            <w:tcW w:w="1158" w:type="dxa"/>
            <w:vAlign w:val="center"/>
          </w:tcPr>
          <w:p w14:paraId="3E6736AB">
            <w:pPr>
              <w:spacing w:before="0" w:after="0" w:line="32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允许偏差</w:t>
            </w:r>
          </w:p>
        </w:tc>
        <w:tc>
          <w:tcPr>
            <w:tcW w:w="1134" w:type="dxa"/>
            <w:vAlign w:val="center"/>
          </w:tcPr>
          <w:p w14:paraId="087E6B8A">
            <w:pPr>
              <w:spacing w:before="0" w:after="0" w:line="32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是否满足</w:t>
            </w:r>
          </w:p>
        </w:tc>
      </w:tr>
      <w:tr w14:paraId="3D473E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10" w:type="dxa"/>
            <w:vMerge w:val="restart"/>
            <w:vAlign w:val="center"/>
          </w:tcPr>
          <w:p w14:paraId="5A8117BA">
            <w:pPr>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505" w:type="dxa"/>
            <w:vMerge w:val="restart"/>
            <w:vAlign w:val="center"/>
          </w:tcPr>
          <w:p w14:paraId="338D3167">
            <w:pPr>
              <w:widowControl/>
              <w:spacing w:before="0" w:after="0" w:line="240" w:lineRule="auto"/>
              <w:jc w:val="center"/>
              <w:textAlignment w:val="center"/>
              <w:rPr>
                <w:rFonts w:hint="default" w:ascii="Times New Roman" w:hAnsi="Times New Roman" w:eastAsia="宋体" w:cs="Times New Roman"/>
                <w:color w:val="auto"/>
                <w:sz w:val="21"/>
                <w:szCs w:val="21"/>
              </w:rPr>
            </w:pPr>
          </w:p>
        </w:tc>
        <w:tc>
          <w:tcPr>
            <w:tcW w:w="1134" w:type="dxa"/>
            <w:vAlign w:val="center"/>
          </w:tcPr>
          <w:p w14:paraId="16A9990C">
            <w:pPr>
              <w:spacing w:before="0" w:after="0" w:line="240" w:lineRule="auto"/>
              <w:jc w:val="center"/>
              <w:rPr>
                <w:rFonts w:hint="default" w:ascii="Times New Roman" w:hAnsi="Times New Roman" w:eastAsia="宋体" w:cs="Times New Roman"/>
                <w:color w:val="auto"/>
                <w:sz w:val="21"/>
                <w:szCs w:val="21"/>
              </w:rPr>
            </w:pPr>
          </w:p>
        </w:tc>
        <w:tc>
          <w:tcPr>
            <w:tcW w:w="1134" w:type="dxa"/>
            <w:vAlign w:val="center"/>
          </w:tcPr>
          <w:p w14:paraId="4C32799C">
            <w:pPr>
              <w:widowControl/>
              <w:spacing w:before="0" w:after="0" w:line="240" w:lineRule="auto"/>
              <w:jc w:val="center"/>
              <w:textAlignment w:val="center"/>
              <w:rPr>
                <w:rFonts w:hint="default" w:ascii="Times New Roman" w:hAnsi="Times New Roman" w:eastAsia="宋体" w:cs="Times New Roman"/>
                <w:color w:val="auto"/>
                <w:sz w:val="21"/>
                <w:szCs w:val="21"/>
              </w:rPr>
            </w:pPr>
          </w:p>
        </w:tc>
        <w:tc>
          <w:tcPr>
            <w:tcW w:w="1134" w:type="dxa"/>
            <w:vAlign w:val="center"/>
          </w:tcPr>
          <w:p w14:paraId="1103DB87">
            <w:pPr>
              <w:widowControl/>
              <w:spacing w:before="0" w:after="0" w:line="240" w:lineRule="auto"/>
              <w:jc w:val="center"/>
              <w:textAlignment w:val="center"/>
              <w:rPr>
                <w:rFonts w:hint="default" w:ascii="Times New Roman" w:hAnsi="Times New Roman" w:eastAsia="宋体" w:cs="Times New Roman"/>
                <w:color w:val="auto"/>
                <w:sz w:val="21"/>
                <w:szCs w:val="21"/>
              </w:rPr>
            </w:pPr>
          </w:p>
        </w:tc>
        <w:tc>
          <w:tcPr>
            <w:tcW w:w="850" w:type="dxa"/>
            <w:vAlign w:val="center"/>
          </w:tcPr>
          <w:p w14:paraId="183ED59D">
            <w:pPr>
              <w:widowControl/>
              <w:spacing w:before="0" w:after="0" w:line="240" w:lineRule="auto"/>
              <w:jc w:val="center"/>
              <w:textAlignment w:val="center"/>
              <w:rPr>
                <w:rFonts w:hint="default" w:ascii="Times New Roman" w:hAnsi="Times New Roman" w:eastAsia="宋体" w:cs="Times New Roman"/>
                <w:color w:val="auto"/>
                <w:sz w:val="21"/>
                <w:szCs w:val="21"/>
              </w:rPr>
            </w:pPr>
          </w:p>
        </w:tc>
        <w:tc>
          <w:tcPr>
            <w:tcW w:w="1158" w:type="dxa"/>
            <w:vAlign w:val="center"/>
          </w:tcPr>
          <w:p w14:paraId="4EF9E67A">
            <w:pPr>
              <w:widowControl/>
              <w:spacing w:before="0" w:after="0" w:line="240" w:lineRule="auto"/>
              <w:jc w:val="center"/>
              <w:textAlignment w:val="center"/>
              <w:rPr>
                <w:rFonts w:hint="default" w:ascii="Times New Roman" w:hAnsi="Times New Roman" w:eastAsia="宋体" w:cs="Times New Roman"/>
                <w:color w:val="auto"/>
                <w:sz w:val="21"/>
                <w:szCs w:val="21"/>
              </w:rPr>
            </w:pPr>
          </w:p>
        </w:tc>
        <w:tc>
          <w:tcPr>
            <w:tcW w:w="1134" w:type="dxa"/>
            <w:vAlign w:val="center"/>
          </w:tcPr>
          <w:p w14:paraId="721085E4">
            <w:pPr>
              <w:spacing w:before="0" w:after="0" w:line="240" w:lineRule="auto"/>
              <w:jc w:val="center"/>
              <w:rPr>
                <w:rFonts w:hint="default" w:ascii="Times New Roman" w:hAnsi="Times New Roman" w:eastAsia="宋体" w:cs="Times New Roman"/>
                <w:color w:val="auto"/>
                <w:sz w:val="21"/>
                <w:szCs w:val="21"/>
              </w:rPr>
            </w:pPr>
          </w:p>
        </w:tc>
      </w:tr>
      <w:tr w14:paraId="334D2E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10" w:type="dxa"/>
            <w:vMerge w:val="continue"/>
            <w:vAlign w:val="center"/>
          </w:tcPr>
          <w:p w14:paraId="7A299CAA">
            <w:pPr>
              <w:spacing w:before="0" w:after="0" w:line="240" w:lineRule="auto"/>
              <w:jc w:val="center"/>
              <w:rPr>
                <w:rFonts w:hint="default" w:ascii="Times New Roman" w:hAnsi="Times New Roman" w:eastAsia="宋体" w:cs="Times New Roman"/>
                <w:color w:val="auto"/>
                <w:sz w:val="21"/>
                <w:szCs w:val="21"/>
              </w:rPr>
            </w:pPr>
          </w:p>
        </w:tc>
        <w:tc>
          <w:tcPr>
            <w:tcW w:w="1505" w:type="dxa"/>
            <w:vMerge w:val="continue"/>
            <w:vAlign w:val="center"/>
          </w:tcPr>
          <w:p w14:paraId="5F69AF34">
            <w:pPr>
              <w:widowControl/>
              <w:spacing w:before="0" w:after="0" w:line="240" w:lineRule="auto"/>
              <w:jc w:val="center"/>
              <w:textAlignment w:val="center"/>
              <w:rPr>
                <w:rFonts w:hint="default" w:ascii="Times New Roman" w:hAnsi="Times New Roman" w:eastAsia="宋体" w:cs="Times New Roman"/>
                <w:color w:val="auto"/>
                <w:sz w:val="21"/>
                <w:szCs w:val="21"/>
              </w:rPr>
            </w:pPr>
          </w:p>
        </w:tc>
        <w:tc>
          <w:tcPr>
            <w:tcW w:w="1134" w:type="dxa"/>
            <w:vAlign w:val="center"/>
          </w:tcPr>
          <w:p w14:paraId="4C41C9F7">
            <w:pPr>
              <w:widowControl/>
              <w:spacing w:before="0" w:after="0" w:line="240" w:lineRule="auto"/>
              <w:jc w:val="center"/>
              <w:textAlignment w:val="center"/>
              <w:rPr>
                <w:rFonts w:hint="default" w:ascii="Times New Roman" w:hAnsi="Times New Roman" w:eastAsia="宋体" w:cs="Times New Roman"/>
                <w:color w:val="auto"/>
                <w:sz w:val="21"/>
                <w:szCs w:val="21"/>
              </w:rPr>
            </w:pPr>
          </w:p>
        </w:tc>
        <w:tc>
          <w:tcPr>
            <w:tcW w:w="1134" w:type="dxa"/>
            <w:vAlign w:val="center"/>
          </w:tcPr>
          <w:p w14:paraId="2C80AE32">
            <w:pPr>
              <w:widowControl/>
              <w:spacing w:before="0" w:after="0" w:line="240" w:lineRule="auto"/>
              <w:jc w:val="center"/>
              <w:textAlignment w:val="center"/>
              <w:rPr>
                <w:rFonts w:hint="default" w:ascii="Times New Roman" w:hAnsi="Times New Roman" w:eastAsia="宋体" w:cs="Times New Roman"/>
                <w:color w:val="auto"/>
                <w:sz w:val="21"/>
                <w:szCs w:val="21"/>
              </w:rPr>
            </w:pPr>
          </w:p>
        </w:tc>
        <w:tc>
          <w:tcPr>
            <w:tcW w:w="1134" w:type="dxa"/>
            <w:vAlign w:val="center"/>
          </w:tcPr>
          <w:p w14:paraId="213A9607">
            <w:pPr>
              <w:widowControl/>
              <w:spacing w:before="0" w:after="0" w:line="240" w:lineRule="auto"/>
              <w:jc w:val="center"/>
              <w:textAlignment w:val="center"/>
              <w:rPr>
                <w:rFonts w:hint="default" w:ascii="Times New Roman" w:hAnsi="Times New Roman" w:eastAsia="宋体" w:cs="Times New Roman"/>
                <w:color w:val="auto"/>
                <w:sz w:val="21"/>
                <w:szCs w:val="21"/>
              </w:rPr>
            </w:pPr>
          </w:p>
        </w:tc>
        <w:tc>
          <w:tcPr>
            <w:tcW w:w="850" w:type="dxa"/>
            <w:vAlign w:val="center"/>
          </w:tcPr>
          <w:p w14:paraId="2F1B0BCB">
            <w:pPr>
              <w:widowControl/>
              <w:spacing w:before="0" w:after="0" w:line="240" w:lineRule="auto"/>
              <w:jc w:val="center"/>
              <w:textAlignment w:val="center"/>
              <w:rPr>
                <w:rFonts w:hint="default" w:ascii="Times New Roman" w:hAnsi="Times New Roman" w:eastAsia="宋体" w:cs="Times New Roman"/>
                <w:color w:val="auto"/>
                <w:sz w:val="21"/>
                <w:szCs w:val="21"/>
              </w:rPr>
            </w:pPr>
          </w:p>
        </w:tc>
        <w:tc>
          <w:tcPr>
            <w:tcW w:w="1158" w:type="dxa"/>
            <w:vAlign w:val="center"/>
          </w:tcPr>
          <w:p w14:paraId="262FA6E3">
            <w:pPr>
              <w:widowControl/>
              <w:spacing w:before="0" w:after="0" w:line="240" w:lineRule="auto"/>
              <w:jc w:val="center"/>
              <w:textAlignment w:val="center"/>
              <w:rPr>
                <w:rFonts w:hint="default" w:ascii="Times New Roman" w:hAnsi="Times New Roman" w:eastAsia="宋体" w:cs="Times New Roman"/>
                <w:color w:val="auto"/>
                <w:sz w:val="21"/>
                <w:szCs w:val="21"/>
              </w:rPr>
            </w:pPr>
          </w:p>
        </w:tc>
        <w:tc>
          <w:tcPr>
            <w:tcW w:w="1134" w:type="dxa"/>
            <w:vAlign w:val="center"/>
          </w:tcPr>
          <w:p w14:paraId="65408A3E">
            <w:pPr>
              <w:widowControl/>
              <w:spacing w:before="0" w:after="0" w:line="240" w:lineRule="auto"/>
              <w:jc w:val="center"/>
              <w:textAlignment w:val="center"/>
              <w:rPr>
                <w:rFonts w:hint="default" w:ascii="Times New Roman" w:hAnsi="Times New Roman" w:eastAsia="宋体" w:cs="Times New Roman"/>
                <w:color w:val="auto"/>
                <w:sz w:val="21"/>
                <w:szCs w:val="21"/>
              </w:rPr>
            </w:pPr>
          </w:p>
        </w:tc>
      </w:tr>
      <w:tr w14:paraId="512C47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10" w:type="dxa"/>
            <w:vMerge w:val="restart"/>
            <w:vAlign w:val="center"/>
          </w:tcPr>
          <w:p w14:paraId="3AD94BAD">
            <w:pPr>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505" w:type="dxa"/>
            <w:vMerge w:val="restart"/>
            <w:vAlign w:val="center"/>
          </w:tcPr>
          <w:p w14:paraId="372CE713">
            <w:pPr>
              <w:widowControl/>
              <w:spacing w:before="0" w:after="0" w:line="240" w:lineRule="auto"/>
              <w:jc w:val="center"/>
              <w:textAlignment w:val="center"/>
              <w:rPr>
                <w:rFonts w:hint="default" w:ascii="Times New Roman" w:hAnsi="Times New Roman" w:eastAsia="宋体" w:cs="Times New Roman"/>
                <w:color w:val="auto"/>
                <w:sz w:val="21"/>
                <w:szCs w:val="21"/>
              </w:rPr>
            </w:pPr>
          </w:p>
        </w:tc>
        <w:tc>
          <w:tcPr>
            <w:tcW w:w="1134" w:type="dxa"/>
            <w:vAlign w:val="center"/>
          </w:tcPr>
          <w:p w14:paraId="75CD82F3">
            <w:pPr>
              <w:spacing w:before="0" w:after="0" w:line="240" w:lineRule="auto"/>
              <w:jc w:val="center"/>
              <w:rPr>
                <w:rFonts w:hint="default" w:ascii="Times New Roman" w:hAnsi="Times New Roman" w:eastAsia="宋体" w:cs="Times New Roman"/>
                <w:color w:val="auto"/>
                <w:sz w:val="21"/>
                <w:szCs w:val="21"/>
              </w:rPr>
            </w:pPr>
          </w:p>
        </w:tc>
        <w:tc>
          <w:tcPr>
            <w:tcW w:w="1134" w:type="dxa"/>
            <w:vAlign w:val="center"/>
          </w:tcPr>
          <w:p w14:paraId="031B5670">
            <w:pPr>
              <w:widowControl/>
              <w:spacing w:before="0" w:after="0" w:line="240" w:lineRule="auto"/>
              <w:jc w:val="center"/>
              <w:textAlignment w:val="center"/>
              <w:rPr>
                <w:rFonts w:hint="default" w:ascii="Times New Roman" w:hAnsi="Times New Roman" w:eastAsia="宋体" w:cs="Times New Roman"/>
                <w:color w:val="auto"/>
                <w:sz w:val="21"/>
                <w:szCs w:val="21"/>
              </w:rPr>
            </w:pPr>
          </w:p>
        </w:tc>
        <w:tc>
          <w:tcPr>
            <w:tcW w:w="1134" w:type="dxa"/>
            <w:vAlign w:val="center"/>
          </w:tcPr>
          <w:p w14:paraId="0A829383">
            <w:pPr>
              <w:widowControl/>
              <w:spacing w:before="0" w:after="0" w:line="240" w:lineRule="auto"/>
              <w:jc w:val="center"/>
              <w:textAlignment w:val="center"/>
              <w:rPr>
                <w:rFonts w:hint="default" w:ascii="Times New Roman" w:hAnsi="Times New Roman" w:eastAsia="宋体" w:cs="Times New Roman"/>
                <w:color w:val="auto"/>
                <w:sz w:val="21"/>
                <w:szCs w:val="21"/>
              </w:rPr>
            </w:pPr>
          </w:p>
        </w:tc>
        <w:tc>
          <w:tcPr>
            <w:tcW w:w="850" w:type="dxa"/>
            <w:vAlign w:val="center"/>
          </w:tcPr>
          <w:p w14:paraId="73ACE615">
            <w:pPr>
              <w:widowControl/>
              <w:spacing w:before="0" w:after="0" w:line="240" w:lineRule="auto"/>
              <w:jc w:val="center"/>
              <w:textAlignment w:val="center"/>
              <w:rPr>
                <w:rFonts w:hint="default" w:ascii="Times New Roman" w:hAnsi="Times New Roman" w:eastAsia="宋体" w:cs="Times New Roman"/>
                <w:color w:val="auto"/>
                <w:sz w:val="21"/>
                <w:szCs w:val="21"/>
              </w:rPr>
            </w:pPr>
          </w:p>
        </w:tc>
        <w:tc>
          <w:tcPr>
            <w:tcW w:w="1158" w:type="dxa"/>
            <w:vAlign w:val="center"/>
          </w:tcPr>
          <w:p w14:paraId="5D7A74E4">
            <w:pPr>
              <w:widowControl/>
              <w:spacing w:before="0" w:after="0" w:line="240" w:lineRule="auto"/>
              <w:jc w:val="center"/>
              <w:textAlignment w:val="center"/>
              <w:rPr>
                <w:rFonts w:hint="default" w:ascii="Times New Roman" w:hAnsi="Times New Roman" w:eastAsia="宋体" w:cs="Times New Roman"/>
                <w:color w:val="auto"/>
                <w:sz w:val="21"/>
                <w:szCs w:val="21"/>
              </w:rPr>
            </w:pPr>
          </w:p>
        </w:tc>
        <w:tc>
          <w:tcPr>
            <w:tcW w:w="1134" w:type="dxa"/>
            <w:vAlign w:val="center"/>
          </w:tcPr>
          <w:p w14:paraId="12699A5C">
            <w:pPr>
              <w:spacing w:before="0" w:after="0" w:line="240" w:lineRule="auto"/>
              <w:jc w:val="center"/>
              <w:rPr>
                <w:rFonts w:hint="default" w:ascii="Times New Roman" w:hAnsi="Times New Roman" w:eastAsia="宋体" w:cs="Times New Roman"/>
                <w:color w:val="auto"/>
                <w:sz w:val="21"/>
                <w:szCs w:val="21"/>
              </w:rPr>
            </w:pPr>
          </w:p>
        </w:tc>
      </w:tr>
      <w:tr w14:paraId="62330D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10" w:type="dxa"/>
            <w:vMerge w:val="continue"/>
            <w:vAlign w:val="center"/>
          </w:tcPr>
          <w:p w14:paraId="15CE5594">
            <w:pPr>
              <w:spacing w:before="0" w:after="0" w:line="240" w:lineRule="auto"/>
              <w:jc w:val="center"/>
              <w:rPr>
                <w:rFonts w:hint="default" w:ascii="Times New Roman" w:hAnsi="Times New Roman" w:eastAsia="宋体" w:cs="Times New Roman"/>
                <w:color w:val="auto"/>
                <w:sz w:val="21"/>
                <w:szCs w:val="21"/>
              </w:rPr>
            </w:pPr>
          </w:p>
        </w:tc>
        <w:tc>
          <w:tcPr>
            <w:tcW w:w="1505" w:type="dxa"/>
            <w:vMerge w:val="continue"/>
            <w:vAlign w:val="center"/>
          </w:tcPr>
          <w:p w14:paraId="2CBF6B2C">
            <w:pPr>
              <w:widowControl/>
              <w:spacing w:before="0" w:after="0" w:line="240" w:lineRule="auto"/>
              <w:jc w:val="center"/>
              <w:textAlignment w:val="center"/>
              <w:rPr>
                <w:rFonts w:hint="default" w:ascii="Times New Roman" w:hAnsi="Times New Roman" w:eastAsia="宋体" w:cs="Times New Roman"/>
                <w:color w:val="auto"/>
                <w:sz w:val="21"/>
                <w:szCs w:val="21"/>
              </w:rPr>
            </w:pPr>
          </w:p>
        </w:tc>
        <w:tc>
          <w:tcPr>
            <w:tcW w:w="1134" w:type="dxa"/>
            <w:vAlign w:val="center"/>
          </w:tcPr>
          <w:p w14:paraId="1140DC97">
            <w:pPr>
              <w:widowControl/>
              <w:spacing w:before="0" w:after="0" w:line="240" w:lineRule="auto"/>
              <w:jc w:val="center"/>
              <w:textAlignment w:val="center"/>
              <w:rPr>
                <w:rFonts w:hint="default" w:ascii="Times New Roman" w:hAnsi="Times New Roman" w:eastAsia="宋体" w:cs="Times New Roman"/>
                <w:color w:val="auto"/>
                <w:sz w:val="21"/>
                <w:szCs w:val="21"/>
              </w:rPr>
            </w:pPr>
          </w:p>
        </w:tc>
        <w:tc>
          <w:tcPr>
            <w:tcW w:w="1134" w:type="dxa"/>
            <w:vAlign w:val="center"/>
          </w:tcPr>
          <w:p w14:paraId="4DB4F2C7">
            <w:pPr>
              <w:widowControl/>
              <w:spacing w:before="0" w:after="0" w:line="240" w:lineRule="auto"/>
              <w:jc w:val="center"/>
              <w:textAlignment w:val="center"/>
              <w:rPr>
                <w:rFonts w:hint="default" w:ascii="Times New Roman" w:hAnsi="Times New Roman" w:eastAsia="宋体" w:cs="Times New Roman"/>
                <w:color w:val="auto"/>
                <w:sz w:val="21"/>
                <w:szCs w:val="21"/>
              </w:rPr>
            </w:pPr>
          </w:p>
        </w:tc>
        <w:tc>
          <w:tcPr>
            <w:tcW w:w="1134" w:type="dxa"/>
            <w:vAlign w:val="center"/>
          </w:tcPr>
          <w:p w14:paraId="0323CEDE">
            <w:pPr>
              <w:widowControl/>
              <w:spacing w:before="0" w:after="0" w:line="240" w:lineRule="auto"/>
              <w:jc w:val="center"/>
              <w:textAlignment w:val="center"/>
              <w:rPr>
                <w:rFonts w:hint="default" w:ascii="Times New Roman" w:hAnsi="Times New Roman" w:eastAsia="宋体" w:cs="Times New Roman"/>
                <w:color w:val="auto"/>
                <w:sz w:val="21"/>
                <w:szCs w:val="21"/>
              </w:rPr>
            </w:pPr>
          </w:p>
        </w:tc>
        <w:tc>
          <w:tcPr>
            <w:tcW w:w="850" w:type="dxa"/>
            <w:vAlign w:val="center"/>
          </w:tcPr>
          <w:p w14:paraId="655C9E19">
            <w:pPr>
              <w:widowControl/>
              <w:spacing w:before="0" w:after="0" w:line="240" w:lineRule="auto"/>
              <w:jc w:val="center"/>
              <w:textAlignment w:val="center"/>
              <w:rPr>
                <w:rFonts w:hint="default" w:ascii="Times New Roman" w:hAnsi="Times New Roman" w:eastAsia="宋体" w:cs="Times New Roman"/>
                <w:color w:val="auto"/>
                <w:sz w:val="21"/>
                <w:szCs w:val="21"/>
              </w:rPr>
            </w:pPr>
          </w:p>
        </w:tc>
        <w:tc>
          <w:tcPr>
            <w:tcW w:w="1158" w:type="dxa"/>
            <w:vAlign w:val="center"/>
          </w:tcPr>
          <w:p w14:paraId="66DFC5D0">
            <w:pPr>
              <w:widowControl/>
              <w:spacing w:before="0" w:after="0" w:line="240" w:lineRule="auto"/>
              <w:jc w:val="center"/>
              <w:textAlignment w:val="center"/>
              <w:rPr>
                <w:rFonts w:hint="default" w:ascii="Times New Roman" w:hAnsi="Times New Roman" w:eastAsia="宋体" w:cs="Times New Roman"/>
                <w:color w:val="auto"/>
                <w:sz w:val="21"/>
                <w:szCs w:val="21"/>
              </w:rPr>
            </w:pPr>
          </w:p>
        </w:tc>
        <w:tc>
          <w:tcPr>
            <w:tcW w:w="1134" w:type="dxa"/>
            <w:vAlign w:val="center"/>
          </w:tcPr>
          <w:p w14:paraId="0295B88E">
            <w:pPr>
              <w:widowControl/>
              <w:spacing w:before="0" w:after="0" w:line="240" w:lineRule="auto"/>
              <w:jc w:val="center"/>
              <w:textAlignment w:val="center"/>
              <w:rPr>
                <w:rFonts w:hint="default" w:ascii="Times New Roman" w:hAnsi="Times New Roman" w:eastAsia="宋体" w:cs="Times New Roman"/>
                <w:color w:val="auto"/>
                <w:sz w:val="21"/>
                <w:szCs w:val="21"/>
              </w:rPr>
            </w:pPr>
          </w:p>
        </w:tc>
      </w:tr>
    </w:tbl>
    <w:p w14:paraId="5B4BEF5E">
      <w:pPr>
        <w:keepNext w:val="0"/>
        <w:keepLines w:val="0"/>
        <w:pageBreakBefore w:val="0"/>
        <w:widowControl w:val="0"/>
        <w:kinsoku/>
        <w:wordWrap/>
        <w:overflowPunct/>
        <w:topLinePunct w:val="0"/>
        <w:autoSpaceDE/>
        <w:autoSpaceDN/>
        <w:bidi w:val="0"/>
        <w:adjustRightInd/>
        <w:snapToGrid/>
        <w:spacing w:before="157" w:beforeLines="50" w:after="157" w:afterLines="50"/>
        <w:textAlignment w:val="auto"/>
        <w:rPr>
          <w:rFonts w:hint="default" w:ascii="Times New Roman" w:hAnsi="Times New Roman" w:cs="Times New Roman"/>
          <w:b/>
          <w:bCs/>
          <w:color w:val="auto"/>
          <w:sz w:val="30"/>
          <w:szCs w:val="30"/>
          <w:lang w:val="en-US" w:eastAsia="zh-CN"/>
        </w:rPr>
      </w:pPr>
      <w:bookmarkStart w:id="220" w:name="_Toc5389"/>
      <w:bookmarkStart w:id="221" w:name="_Toc105078957"/>
      <w:bookmarkStart w:id="222" w:name="_Toc25185"/>
      <w:r>
        <w:rPr>
          <w:rFonts w:hint="default" w:ascii="Times New Roman" w:hAnsi="Times New Roman" w:cs="Times New Roman"/>
          <w:b/>
          <w:bCs/>
          <w:color w:val="auto"/>
          <w:sz w:val="30"/>
          <w:szCs w:val="30"/>
          <w:lang w:val="en-US" w:eastAsia="zh-CN"/>
        </w:rPr>
        <w:t>5.3 建筑结构损伤及外观缺陷普查</w:t>
      </w:r>
      <w:bookmarkEnd w:id="220"/>
      <w:bookmarkEnd w:id="221"/>
      <w:bookmarkEnd w:id="222"/>
    </w:p>
    <w:p w14:paraId="3317220B">
      <w:pPr>
        <w:spacing w:before="120" w:after="120"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现场用照相机、钢卷尺等设备，辅以目测的方式对建筑结构外观缺陷和建筑物钢结构节点的外观质量进行检测，主要包括各刚性节点的焊接状况和高强螺栓连接状况，以及各铰接节点的螺栓连接状况。</w:t>
      </w:r>
    </w:p>
    <w:p w14:paraId="06B3D044">
      <w:pPr>
        <w:spacing w:before="120" w:after="120"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经普查，</w:t>
      </w:r>
      <w:r>
        <w:rPr>
          <w:rFonts w:hint="eastAsia" w:ascii="Times New Roman" w:hAnsi="Times New Roman" w:eastAsia="宋体" w:cs="Times New Roman"/>
          <w:color w:val="auto"/>
          <w:sz w:val="24"/>
          <w:szCs w:val="24"/>
          <w:lang w:val="en-US" w:eastAsia="zh-CN"/>
        </w:rPr>
        <w:t>XX</w:t>
      </w:r>
      <w:r>
        <w:rPr>
          <w:rFonts w:hint="default" w:ascii="Times New Roman" w:hAnsi="Times New Roman" w:eastAsia="宋体" w:cs="Times New Roman"/>
          <w:color w:val="auto"/>
          <w:sz w:val="24"/>
          <w:szCs w:val="24"/>
        </w:rPr>
        <w:t>车间有以下缺陷：</w:t>
      </w:r>
    </w:p>
    <w:p w14:paraId="0473CBF0">
      <w:pPr>
        <w:spacing w:line="360" w:lineRule="auto"/>
        <w:ind w:firstLine="200"/>
        <w:jc w:val="both"/>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（1）</w:t>
      </w:r>
      <w:r>
        <w:rPr>
          <w:rFonts w:hint="eastAsia" w:ascii="Times New Roman" w:hAnsi="Times New Roman" w:eastAsia="宋体" w:cs="Times New Roman"/>
          <w:color w:val="auto"/>
          <w:kern w:val="2"/>
          <w:sz w:val="24"/>
          <w:szCs w:val="24"/>
          <w:lang w:val="en-US" w:eastAsia="zh-CN" w:bidi="ar-SA"/>
        </w:rPr>
        <w:t>XX</w:t>
      </w:r>
      <w:r>
        <w:rPr>
          <w:rFonts w:hint="default" w:ascii="Times New Roman" w:hAnsi="Times New Roman" w:eastAsia="宋体" w:cs="Times New Roman"/>
          <w:color w:val="auto"/>
          <w:kern w:val="2"/>
          <w:sz w:val="24"/>
          <w:szCs w:val="24"/>
          <w:lang w:val="en-US" w:eastAsia="zh-CN" w:bidi="ar-SA"/>
        </w:rPr>
        <w:t>个别钢柱柱脚钢材表面轻微点状锈蚀；</w:t>
      </w:r>
    </w:p>
    <w:p w14:paraId="3FE9741C">
      <w:pPr>
        <w:spacing w:line="360" w:lineRule="auto"/>
        <w:ind w:firstLine="200"/>
        <w:jc w:val="both"/>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（2）</w:t>
      </w:r>
      <w:r>
        <w:rPr>
          <w:rFonts w:hint="eastAsia" w:ascii="Times New Roman" w:hAnsi="Times New Roman" w:eastAsia="宋体" w:cs="Times New Roman"/>
          <w:color w:val="auto"/>
          <w:kern w:val="2"/>
          <w:sz w:val="24"/>
          <w:szCs w:val="24"/>
          <w:lang w:val="en-US" w:eastAsia="zh-CN" w:bidi="ar-SA"/>
        </w:rPr>
        <w:t>XX</w:t>
      </w:r>
      <w:r>
        <w:rPr>
          <w:rFonts w:hint="default" w:ascii="Times New Roman" w:hAnsi="Times New Roman" w:eastAsia="宋体" w:cs="Times New Roman"/>
          <w:color w:val="auto"/>
          <w:kern w:val="2"/>
          <w:sz w:val="24"/>
          <w:szCs w:val="24"/>
          <w:lang w:val="en-US" w:eastAsia="zh-CN" w:bidi="ar-SA"/>
        </w:rPr>
        <w:t>柱间支撑表面防腐涂层脱落。</w:t>
      </w:r>
    </w:p>
    <w:p w14:paraId="35BBD5A3">
      <w:pPr>
        <w:spacing w:before="120" w:after="120" w:line="360" w:lineRule="auto"/>
        <w:ind w:firstLine="480" w:firstLineChars="200"/>
        <w:jc w:val="left"/>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color w:val="auto"/>
          <w:sz w:val="24"/>
          <w:szCs w:val="24"/>
          <w:lang w:val="zh-CN"/>
        </w:rPr>
        <w:t>除上述缺陷外，未发现</w:t>
      </w:r>
      <w:r>
        <w:rPr>
          <w:rFonts w:hint="eastAsia" w:ascii="Times New Roman" w:hAnsi="Times New Roman" w:eastAsia="宋体" w:cs="Times New Roman"/>
          <w:color w:val="auto"/>
          <w:sz w:val="24"/>
          <w:szCs w:val="24"/>
          <w:lang w:val="en-US" w:eastAsia="zh-CN"/>
        </w:rPr>
        <w:t>XX</w:t>
      </w:r>
      <w:r>
        <w:rPr>
          <w:rFonts w:hint="default" w:ascii="Times New Roman" w:hAnsi="Times New Roman" w:eastAsia="宋体" w:cs="Times New Roman"/>
          <w:color w:val="auto"/>
          <w:sz w:val="24"/>
          <w:szCs w:val="24"/>
        </w:rPr>
        <w:t>车间</w:t>
      </w:r>
      <w:r>
        <w:rPr>
          <w:rFonts w:hint="default" w:ascii="Times New Roman" w:hAnsi="Times New Roman" w:eastAsia="宋体" w:cs="Times New Roman"/>
          <w:color w:val="auto"/>
          <w:sz w:val="24"/>
          <w:szCs w:val="24"/>
          <w:lang w:val="zh-CN"/>
        </w:rPr>
        <w:t>存在其它明显结构损伤和外观缺陷。</w:t>
      </w:r>
    </w:p>
    <w:p w14:paraId="2CEC44AF">
      <w:pPr>
        <w:spacing w:before="0" w:after="0" w:line="240" w:lineRule="auto"/>
        <w:jc w:val="center"/>
        <w:rPr>
          <w:rFonts w:hint="default" w:ascii="Times New Roman" w:hAnsi="Times New Roman" w:eastAsia="宋体" w:cs="Times New Roman"/>
          <w:b/>
          <w:color w:val="auto"/>
          <w:sz w:val="21"/>
          <w:szCs w:val="21"/>
        </w:rPr>
      </w:pPr>
    </w:p>
    <w:p w14:paraId="6EC13D91">
      <w:pPr>
        <w:spacing w:before="0" w:after="0" w:line="240" w:lineRule="auto"/>
        <w:jc w:val="center"/>
        <w:rPr>
          <w:rFonts w:hint="default" w:ascii="Times New Roman" w:hAnsi="Times New Roman" w:eastAsia="宋体" w:cs="Times New Roman"/>
          <w:b/>
          <w:color w:val="auto"/>
          <w:sz w:val="21"/>
          <w:szCs w:val="21"/>
        </w:rPr>
      </w:pPr>
    </w:p>
    <w:p w14:paraId="1D7A1553">
      <w:pPr>
        <w:spacing w:before="0" w:after="0"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表5.</w:t>
      </w:r>
      <w:r>
        <w:rPr>
          <w:rFonts w:hint="default" w:ascii="Times New Roman" w:hAnsi="Times New Roman" w:eastAsia="宋体" w:cs="Times New Roman"/>
          <w:b/>
          <w:color w:val="auto"/>
          <w:sz w:val="21"/>
          <w:szCs w:val="21"/>
          <w:lang w:val="en-US" w:eastAsia="zh-CN"/>
        </w:rPr>
        <w:t>3</w:t>
      </w:r>
      <w:r>
        <w:rPr>
          <w:rFonts w:hint="default" w:ascii="Times New Roman" w:hAnsi="Times New Roman" w:eastAsia="宋体" w:cs="Times New Roman"/>
          <w:b/>
          <w:color w:val="auto"/>
          <w:sz w:val="21"/>
          <w:szCs w:val="21"/>
        </w:rPr>
        <w:t>-1  外观缺陷检测表</w:t>
      </w:r>
    </w:p>
    <w:tbl>
      <w:tblPr>
        <w:tblStyle w:val="22"/>
        <w:tblW w:w="867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535"/>
        <w:gridCol w:w="1180"/>
        <w:gridCol w:w="5244"/>
      </w:tblGrid>
      <w:tr w14:paraId="5AAE93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719" w:type="dxa"/>
            <w:shd w:val="clear" w:color="auto" w:fill="FFFFFF"/>
            <w:vAlign w:val="center"/>
          </w:tcPr>
          <w:p w14:paraId="272B1A2F">
            <w:pPr>
              <w:spacing w:before="0" w:after="0" w:line="240" w:lineRule="auto"/>
              <w:jc w:val="center"/>
              <w:rPr>
                <w:rFonts w:hint="default" w:ascii="Times New Roman" w:hAnsi="Times New Roman" w:eastAsia="宋体" w:cs="Times New Roman"/>
                <w:b/>
                <w:bCs/>
                <w:color w:val="auto"/>
                <w:sz w:val="21"/>
                <w:szCs w:val="20"/>
              </w:rPr>
            </w:pPr>
            <w:r>
              <w:rPr>
                <w:rFonts w:hint="default" w:ascii="Times New Roman" w:hAnsi="Times New Roman" w:eastAsia="宋体" w:cs="Times New Roman"/>
                <w:b/>
                <w:bCs/>
                <w:color w:val="auto"/>
                <w:sz w:val="21"/>
                <w:szCs w:val="20"/>
              </w:rPr>
              <w:t>序号</w:t>
            </w:r>
          </w:p>
        </w:tc>
        <w:tc>
          <w:tcPr>
            <w:tcW w:w="1535" w:type="dxa"/>
            <w:shd w:val="clear" w:color="auto" w:fill="FFFFFF"/>
            <w:vAlign w:val="center"/>
          </w:tcPr>
          <w:p w14:paraId="68009D7D">
            <w:pPr>
              <w:spacing w:before="0" w:after="0" w:line="240" w:lineRule="auto"/>
              <w:jc w:val="center"/>
              <w:rPr>
                <w:rFonts w:hint="default" w:ascii="Times New Roman" w:hAnsi="Times New Roman" w:eastAsia="宋体" w:cs="Times New Roman"/>
                <w:b/>
                <w:bCs/>
                <w:color w:val="auto"/>
                <w:sz w:val="21"/>
                <w:szCs w:val="20"/>
              </w:rPr>
            </w:pPr>
            <w:r>
              <w:rPr>
                <w:rFonts w:hint="default" w:ascii="Times New Roman" w:hAnsi="Times New Roman" w:eastAsia="宋体" w:cs="Times New Roman"/>
                <w:b/>
                <w:bCs/>
                <w:color w:val="auto"/>
                <w:sz w:val="21"/>
                <w:szCs w:val="20"/>
              </w:rPr>
              <w:t>缺陷描述</w:t>
            </w:r>
          </w:p>
        </w:tc>
        <w:tc>
          <w:tcPr>
            <w:tcW w:w="1180" w:type="dxa"/>
            <w:shd w:val="clear" w:color="auto" w:fill="FFFFFF"/>
            <w:vAlign w:val="center"/>
          </w:tcPr>
          <w:p w14:paraId="21A7274D">
            <w:pPr>
              <w:spacing w:before="0" w:after="0" w:line="240" w:lineRule="auto"/>
              <w:jc w:val="center"/>
              <w:rPr>
                <w:rFonts w:hint="default" w:ascii="Times New Roman" w:hAnsi="Times New Roman" w:eastAsia="宋体" w:cs="Times New Roman"/>
                <w:b/>
                <w:bCs/>
                <w:color w:val="auto"/>
                <w:sz w:val="21"/>
                <w:szCs w:val="20"/>
              </w:rPr>
            </w:pPr>
            <w:r>
              <w:rPr>
                <w:rFonts w:hint="default" w:ascii="Times New Roman" w:hAnsi="Times New Roman" w:eastAsia="宋体" w:cs="Times New Roman"/>
                <w:b/>
                <w:bCs/>
                <w:color w:val="auto"/>
                <w:sz w:val="21"/>
                <w:szCs w:val="20"/>
              </w:rPr>
              <w:t>轴线</w:t>
            </w:r>
          </w:p>
          <w:p w14:paraId="6AF0E041">
            <w:pPr>
              <w:spacing w:before="0" w:after="0" w:line="240" w:lineRule="auto"/>
              <w:jc w:val="center"/>
              <w:rPr>
                <w:rFonts w:hint="default" w:ascii="Times New Roman" w:hAnsi="Times New Roman" w:eastAsia="宋体" w:cs="Times New Roman"/>
                <w:b/>
                <w:bCs/>
                <w:color w:val="auto"/>
                <w:sz w:val="21"/>
                <w:szCs w:val="20"/>
              </w:rPr>
            </w:pPr>
            <w:r>
              <w:rPr>
                <w:rFonts w:hint="default" w:ascii="Times New Roman" w:hAnsi="Times New Roman" w:eastAsia="宋体" w:cs="Times New Roman"/>
                <w:b/>
                <w:bCs/>
                <w:color w:val="auto"/>
                <w:sz w:val="21"/>
                <w:szCs w:val="20"/>
              </w:rPr>
              <w:t>位置</w:t>
            </w:r>
          </w:p>
        </w:tc>
        <w:tc>
          <w:tcPr>
            <w:tcW w:w="5244" w:type="dxa"/>
            <w:shd w:val="clear" w:color="auto" w:fill="FFFFFF"/>
            <w:vAlign w:val="center"/>
          </w:tcPr>
          <w:p w14:paraId="71AF0BCD">
            <w:pPr>
              <w:spacing w:before="0" w:after="0" w:line="240" w:lineRule="auto"/>
              <w:jc w:val="center"/>
              <w:rPr>
                <w:rFonts w:hint="default" w:ascii="Times New Roman" w:hAnsi="Times New Roman" w:eastAsia="宋体" w:cs="Times New Roman"/>
                <w:b/>
                <w:bCs/>
                <w:color w:val="auto"/>
                <w:sz w:val="21"/>
                <w:szCs w:val="20"/>
              </w:rPr>
            </w:pPr>
            <w:r>
              <w:rPr>
                <w:rFonts w:hint="default" w:ascii="Times New Roman" w:hAnsi="Times New Roman" w:eastAsia="宋体" w:cs="Times New Roman"/>
                <w:b/>
                <w:bCs/>
                <w:color w:val="auto"/>
                <w:sz w:val="21"/>
                <w:szCs w:val="20"/>
              </w:rPr>
              <w:t>现场照片</w:t>
            </w:r>
          </w:p>
        </w:tc>
      </w:tr>
      <w:tr w14:paraId="65CFD1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719" w:type="dxa"/>
            <w:vAlign w:val="center"/>
          </w:tcPr>
          <w:p w14:paraId="5393FE44">
            <w:pPr>
              <w:spacing w:before="0" w:after="0" w:line="240" w:lineRule="auto"/>
              <w:jc w:val="center"/>
              <w:rPr>
                <w:rFonts w:hint="default" w:ascii="Times New Roman" w:hAnsi="Times New Roman" w:eastAsia="宋体" w:cs="Times New Roman"/>
                <w:color w:val="auto"/>
                <w:sz w:val="21"/>
                <w:szCs w:val="20"/>
              </w:rPr>
            </w:pPr>
            <w:r>
              <w:rPr>
                <w:rFonts w:hint="default" w:ascii="Times New Roman" w:hAnsi="Times New Roman" w:eastAsia="宋体" w:cs="Times New Roman"/>
                <w:color w:val="auto"/>
                <w:sz w:val="21"/>
                <w:szCs w:val="20"/>
              </w:rPr>
              <w:t>1</w:t>
            </w:r>
          </w:p>
        </w:tc>
        <w:tc>
          <w:tcPr>
            <w:tcW w:w="1535" w:type="dxa"/>
            <w:vAlign w:val="center"/>
          </w:tcPr>
          <w:p w14:paraId="128B19A2">
            <w:pPr>
              <w:spacing w:before="0" w:after="0" w:line="240" w:lineRule="auto"/>
              <w:jc w:val="center"/>
              <w:rPr>
                <w:rFonts w:hint="default" w:ascii="Times New Roman" w:hAnsi="Times New Roman" w:eastAsia="宋体" w:cs="Times New Roman"/>
                <w:color w:val="auto"/>
                <w:sz w:val="21"/>
                <w:szCs w:val="20"/>
              </w:rPr>
            </w:pPr>
          </w:p>
        </w:tc>
        <w:tc>
          <w:tcPr>
            <w:tcW w:w="1180" w:type="dxa"/>
            <w:vAlign w:val="center"/>
          </w:tcPr>
          <w:p w14:paraId="07B00605">
            <w:pPr>
              <w:spacing w:before="0" w:after="0" w:line="240" w:lineRule="auto"/>
              <w:jc w:val="center"/>
              <w:rPr>
                <w:rFonts w:hint="default" w:ascii="Times New Roman" w:hAnsi="Times New Roman" w:eastAsia="宋体" w:cs="Times New Roman"/>
                <w:color w:val="auto"/>
                <w:sz w:val="21"/>
                <w:szCs w:val="20"/>
              </w:rPr>
            </w:pPr>
          </w:p>
        </w:tc>
        <w:tc>
          <w:tcPr>
            <w:tcW w:w="5244" w:type="dxa"/>
            <w:vAlign w:val="center"/>
          </w:tcPr>
          <w:p w14:paraId="62A2EB47">
            <w:pPr>
              <w:spacing w:before="0" w:after="0" w:line="240" w:lineRule="auto"/>
              <w:rPr>
                <w:rFonts w:hint="default" w:ascii="Times New Roman" w:hAnsi="Times New Roman" w:eastAsia="宋体" w:cs="Times New Roman"/>
                <w:color w:val="auto"/>
                <w:sz w:val="21"/>
                <w:szCs w:val="20"/>
              </w:rPr>
            </w:pPr>
          </w:p>
        </w:tc>
      </w:tr>
    </w:tbl>
    <w:p w14:paraId="6C6939FB">
      <w:pPr>
        <w:keepNext w:val="0"/>
        <w:keepLines w:val="0"/>
        <w:pageBreakBefore w:val="0"/>
        <w:widowControl w:val="0"/>
        <w:kinsoku/>
        <w:wordWrap/>
        <w:overflowPunct/>
        <w:topLinePunct w:val="0"/>
        <w:autoSpaceDE/>
        <w:autoSpaceDN/>
        <w:bidi w:val="0"/>
        <w:adjustRightInd/>
        <w:snapToGrid/>
        <w:spacing w:before="157" w:beforeLines="50" w:after="157" w:afterLines="50"/>
        <w:textAlignment w:val="auto"/>
        <w:rPr>
          <w:rFonts w:hint="default" w:ascii="Times New Roman" w:hAnsi="Times New Roman" w:cs="Times New Roman"/>
          <w:b/>
          <w:bCs/>
          <w:color w:val="auto"/>
          <w:sz w:val="30"/>
          <w:szCs w:val="30"/>
          <w:lang w:val="en-US" w:eastAsia="zh-CN"/>
        </w:rPr>
      </w:pPr>
      <w:bookmarkStart w:id="223" w:name="_Toc82013306"/>
      <w:bookmarkStart w:id="224" w:name="_Toc105078958"/>
      <w:bookmarkStart w:id="225" w:name="_Toc21275"/>
      <w:bookmarkStart w:id="226" w:name="_Toc25363"/>
      <w:r>
        <w:rPr>
          <w:rFonts w:hint="default" w:ascii="Times New Roman" w:hAnsi="Times New Roman" w:cs="Times New Roman"/>
          <w:b/>
          <w:bCs/>
          <w:color w:val="auto"/>
          <w:sz w:val="30"/>
          <w:szCs w:val="30"/>
          <w:lang w:val="en-US" w:eastAsia="zh-CN"/>
        </w:rPr>
        <w:t>5.4 防腐涂层厚度检测</w:t>
      </w:r>
      <w:bookmarkEnd w:id="223"/>
      <w:bookmarkEnd w:id="224"/>
      <w:bookmarkEnd w:id="225"/>
    </w:p>
    <w:p w14:paraId="3021AC5D">
      <w:pPr>
        <w:spacing w:before="120" w:after="120"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钢结构防腐涂层检测根据《建筑结构检测技术标准》（GB/T 50344-2019）、《钢结构现场检测技术标准》（GB/T 50621-2010）、《钢结构工程施工质量验收标准》（GB 50205-2020）的规定进行。</w:t>
      </w:r>
    </w:p>
    <w:p w14:paraId="0678F956">
      <w:pPr>
        <w:spacing w:before="120" w:after="120"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涂层的检测项目应包括外观质量、涂层完整性、涂层厚度。涂层外观质量和完整性采用观察检查，全数检测。</w:t>
      </w:r>
    </w:p>
    <w:p w14:paraId="5D8348BF">
      <w:pPr>
        <w:spacing w:before="120" w:after="120"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钢构件外观完好区域的表面防腐涂层厚度采用涂膜测厚仪进行抽样检测，构件抽查数量不应少于规范规定B类检测样本的最小容量，也不应少于3件。每个抽检构件检测5处，每处以3个相距50mm的测点（测点部位的涂层应表面完整且与钢材附着良好）干漆膜厚度的平均值作为该处涂层厚度的代表值。</w:t>
      </w:r>
    </w:p>
    <w:p w14:paraId="25E2ED68">
      <w:pPr>
        <w:spacing w:before="120" w:after="120" w:line="360" w:lineRule="auto"/>
        <w:ind w:right="2" w:rightChars="1"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《钢结构现场检测技术标准》（GB/T 50621-2010）规定：每处3个测点的涂层厚度平均值不应小于设计厚度的85％，同一构件上15个测点的涂层厚度平均值不应小于设计厚度。当设计对涂层厚度无要求时，涂层干漆膜总厚度，室内应为125μm，室外应为150μm，其允许偏差为-25μm。检测结果见表5.4-1。</w:t>
      </w:r>
    </w:p>
    <w:p w14:paraId="4F00E3D9">
      <w:pPr>
        <w:spacing w:before="120" w:after="120" w:line="360" w:lineRule="auto"/>
        <w:ind w:right="2" w:rightChars="1" w:firstLine="480" w:firstLineChars="200"/>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color w:val="auto"/>
          <w:sz w:val="24"/>
          <w:szCs w:val="24"/>
          <w:lang w:val="zh-CN"/>
        </w:rPr>
        <w:t>检测结果显示：</w:t>
      </w:r>
    </w:p>
    <w:p w14:paraId="2763A28A">
      <w:pPr>
        <w:spacing w:before="120" w:after="120" w:line="360" w:lineRule="auto"/>
        <w:ind w:right="2" w:rightChars="1" w:firstLine="480" w:firstLineChars="200"/>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color w:val="auto"/>
          <w:sz w:val="24"/>
          <w:szCs w:val="24"/>
          <w:lang w:val="zh-CN"/>
        </w:rPr>
        <w:t>（1）所抽检构件的防腐涂层厚度平均值在138μm ~145μm之间，均满足设计图纸＞130μm的要求；</w:t>
      </w:r>
    </w:p>
    <w:p w14:paraId="0BE8060B">
      <w:pPr>
        <w:spacing w:line="360" w:lineRule="auto"/>
        <w:ind w:firstLine="439" w:firstLineChars="183"/>
        <w:jc w:val="both"/>
        <w:rPr>
          <w:rFonts w:hint="default" w:ascii="Times New Roman" w:hAnsi="Times New Roman" w:eastAsia="宋体" w:cs="Times New Roman"/>
          <w:color w:val="auto"/>
          <w:sz w:val="24"/>
          <w:szCs w:val="22"/>
          <w:lang w:val="zh-CN" w:eastAsia="zh-CN" w:bidi="ar-SA"/>
        </w:rPr>
      </w:pPr>
      <w:r>
        <w:rPr>
          <w:rFonts w:hint="default" w:ascii="Times New Roman" w:hAnsi="Times New Roman" w:eastAsia="宋体" w:cs="Times New Roman"/>
          <w:color w:val="auto"/>
          <w:sz w:val="24"/>
          <w:szCs w:val="22"/>
          <w:lang w:val="zh-CN" w:eastAsia="zh-CN" w:bidi="ar-SA"/>
        </w:rPr>
        <w:t>（2）现场抽检构件涂层表面较完整。</w:t>
      </w:r>
    </w:p>
    <w:p w14:paraId="37A5B26C">
      <w:pPr>
        <w:widowControl w:val="0"/>
        <w:snapToGrid w:val="0"/>
        <w:spacing w:before="0" w:after="0" w:line="240" w:lineRule="auto"/>
        <w:ind w:firstLine="0" w:firstLineChars="0"/>
        <w:jc w:val="center"/>
        <w:rPr>
          <w:rFonts w:hint="default" w:ascii="Times New Roman" w:hAnsi="Times New Roman" w:eastAsia="宋体" w:cs="Times New Roman"/>
          <w:b/>
          <w:color w:val="auto"/>
          <w:kern w:val="2"/>
          <w:sz w:val="21"/>
          <w:szCs w:val="21"/>
          <w:lang w:val="zh-CN" w:eastAsia="zh-CN" w:bidi="ar-SA"/>
        </w:rPr>
      </w:pPr>
      <w:r>
        <w:rPr>
          <w:rFonts w:hint="default" w:ascii="Times New Roman" w:hAnsi="Times New Roman" w:eastAsia="宋体" w:cs="Times New Roman"/>
          <w:b/>
          <w:color w:val="auto"/>
          <w:kern w:val="2"/>
          <w:sz w:val="21"/>
          <w:szCs w:val="21"/>
          <w:lang w:val="zh-CN" w:eastAsia="zh-CN" w:bidi="ar-SA"/>
        </w:rPr>
        <w:t>表5.4-1  防腐涂层厚度检测结果</w:t>
      </w:r>
      <w:r>
        <w:rPr>
          <w:rFonts w:hint="eastAsia" w:ascii="Times New Roman" w:hAnsi="Times New Roman" w:eastAsia="宋体" w:cs="Times New Roman"/>
          <w:b/>
          <w:color w:val="auto"/>
          <w:kern w:val="2"/>
          <w:sz w:val="21"/>
          <w:szCs w:val="21"/>
          <w:lang w:val="en-US" w:eastAsia="zh-CN" w:bidi="ar-SA"/>
        </w:rPr>
        <w:t>(抽样比例满足鉴定要求)</w:t>
      </w:r>
    </w:p>
    <w:tbl>
      <w:tblPr>
        <w:tblStyle w:val="22"/>
        <w:tblW w:w="908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85"/>
        <w:gridCol w:w="1904"/>
        <w:gridCol w:w="1096"/>
        <w:gridCol w:w="1095"/>
        <w:gridCol w:w="1096"/>
        <w:gridCol w:w="944"/>
        <w:gridCol w:w="1064"/>
        <w:gridCol w:w="1096"/>
      </w:tblGrid>
      <w:tr w14:paraId="6E62E2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blHeader/>
          <w:jc w:val="center"/>
        </w:trPr>
        <w:tc>
          <w:tcPr>
            <w:tcW w:w="785" w:type="dxa"/>
            <w:vMerge w:val="restart"/>
            <w:tcBorders>
              <w:top w:val="single" w:color="000000" w:sz="12" w:space="0"/>
              <w:left w:val="single" w:color="000000" w:sz="12" w:space="0"/>
            </w:tcBorders>
            <w:vAlign w:val="center"/>
          </w:tcPr>
          <w:p w14:paraId="5C4ECBCB">
            <w:pPr>
              <w:spacing w:before="0" w:after="0" w:line="32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1904" w:type="dxa"/>
            <w:vMerge w:val="restart"/>
            <w:tcBorders>
              <w:top w:val="single" w:color="000000" w:sz="12" w:space="0"/>
            </w:tcBorders>
            <w:vAlign w:val="center"/>
          </w:tcPr>
          <w:p w14:paraId="5621E5FA">
            <w:pPr>
              <w:spacing w:before="0" w:after="0" w:line="32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测点位置</w:t>
            </w:r>
          </w:p>
        </w:tc>
        <w:tc>
          <w:tcPr>
            <w:tcW w:w="5295" w:type="dxa"/>
            <w:gridSpan w:val="5"/>
            <w:tcBorders>
              <w:top w:val="single" w:color="000000" w:sz="12" w:space="0"/>
              <w:bottom w:val="single" w:color="auto" w:sz="4" w:space="0"/>
            </w:tcBorders>
            <w:vAlign w:val="center"/>
          </w:tcPr>
          <w:p w14:paraId="5BD07AC2">
            <w:pPr>
              <w:spacing w:before="0" w:after="0" w:line="320" w:lineRule="exact"/>
              <w:ind w:left="-2" w:leftChars="-1" w:firstLine="2" w:firstLineChars="1"/>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测区平均值（μm）</w:t>
            </w:r>
          </w:p>
        </w:tc>
        <w:tc>
          <w:tcPr>
            <w:tcW w:w="1096" w:type="dxa"/>
            <w:vMerge w:val="restart"/>
            <w:tcBorders>
              <w:top w:val="single" w:color="000000" w:sz="12" w:space="0"/>
            </w:tcBorders>
            <w:vAlign w:val="center"/>
          </w:tcPr>
          <w:p w14:paraId="09E3F105">
            <w:pPr>
              <w:spacing w:before="0" w:after="0" w:line="32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构件平均值（μm）</w:t>
            </w:r>
          </w:p>
        </w:tc>
      </w:tr>
      <w:tr w14:paraId="1296D7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4" w:hRule="atLeast"/>
          <w:tblHeader/>
          <w:jc w:val="center"/>
        </w:trPr>
        <w:tc>
          <w:tcPr>
            <w:tcW w:w="785" w:type="dxa"/>
            <w:vMerge w:val="continue"/>
            <w:tcBorders>
              <w:left w:val="single" w:color="000000" w:sz="12" w:space="0"/>
            </w:tcBorders>
            <w:vAlign w:val="center"/>
          </w:tcPr>
          <w:p w14:paraId="51C55EFD">
            <w:pPr>
              <w:spacing w:before="120" w:after="120" w:line="360" w:lineRule="auto"/>
              <w:jc w:val="center"/>
              <w:rPr>
                <w:rFonts w:hint="default" w:ascii="Times New Roman" w:hAnsi="Times New Roman" w:eastAsia="宋体" w:cs="Times New Roman"/>
                <w:color w:val="auto"/>
                <w:sz w:val="24"/>
                <w:szCs w:val="21"/>
              </w:rPr>
            </w:pPr>
          </w:p>
        </w:tc>
        <w:tc>
          <w:tcPr>
            <w:tcW w:w="1904" w:type="dxa"/>
            <w:vMerge w:val="continue"/>
            <w:vAlign w:val="center"/>
          </w:tcPr>
          <w:p w14:paraId="5FDFB0FA">
            <w:pPr>
              <w:spacing w:before="120" w:after="120" w:line="360" w:lineRule="auto"/>
              <w:jc w:val="center"/>
              <w:rPr>
                <w:rFonts w:hint="default" w:ascii="Times New Roman" w:hAnsi="Times New Roman" w:eastAsia="宋体" w:cs="Times New Roman"/>
                <w:color w:val="auto"/>
                <w:sz w:val="24"/>
                <w:szCs w:val="21"/>
              </w:rPr>
            </w:pPr>
          </w:p>
        </w:tc>
        <w:tc>
          <w:tcPr>
            <w:tcW w:w="1096" w:type="dxa"/>
            <w:tcBorders>
              <w:top w:val="single" w:color="auto" w:sz="4" w:space="0"/>
              <w:right w:val="single" w:color="auto" w:sz="4" w:space="0"/>
            </w:tcBorders>
            <w:vAlign w:val="center"/>
          </w:tcPr>
          <w:p w14:paraId="53C696B8">
            <w:pPr>
              <w:widowControl/>
              <w:spacing w:before="120" w:after="120" w:line="300" w:lineRule="exact"/>
              <w:jc w:val="center"/>
              <w:rPr>
                <w:rFonts w:hint="default" w:ascii="Times New Roman" w:hAnsi="Times New Roman" w:eastAsia="宋体" w:cs="Times New Roman"/>
                <w:b/>
                <w:color w:val="auto"/>
                <w:kern w:val="0"/>
                <w:sz w:val="24"/>
                <w:szCs w:val="21"/>
              </w:rPr>
            </w:pPr>
            <w:r>
              <w:rPr>
                <w:rFonts w:hint="default" w:ascii="Times New Roman" w:hAnsi="Times New Roman" w:eastAsia="宋体" w:cs="Times New Roman"/>
                <w:b/>
                <w:color w:val="auto"/>
                <w:kern w:val="0"/>
                <w:sz w:val="24"/>
                <w:szCs w:val="21"/>
              </w:rPr>
              <w:t>1</w:t>
            </w:r>
          </w:p>
        </w:tc>
        <w:tc>
          <w:tcPr>
            <w:tcW w:w="1095" w:type="dxa"/>
            <w:tcBorders>
              <w:top w:val="single" w:color="auto" w:sz="4" w:space="0"/>
              <w:right w:val="single" w:color="auto" w:sz="4" w:space="0"/>
            </w:tcBorders>
            <w:vAlign w:val="center"/>
          </w:tcPr>
          <w:p w14:paraId="4D45D2C3">
            <w:pPr>
              <w:widowControl/>
              <w:spacing w:before="120" w:after="120" w:line="300" w:lineRule="exact"/>
              <w:jc w:val="center"/>
              <w:rPr>
                <w:rFonts w:hint="default" w:ascii="Times New Roman" w:hAnsi="Times New Roman" w:eastAsia="宋体" w:cs="Times New Roman"/>
                <w:b/>
                <w:color w:val="auto"/>
                <w:kern w:val="0"/>
                <w:sz w:val="24"/>
                <w:szCs w:val="21"/>
              </w:rPr>
            </w:pPr>
            <w:r>
              <w:rPr>
                <w:rFonts w:hint="default" w:ascii="Times New Roman" w:hAnsi="Times New Roman" w:eastAsia="宋体" w:cs="Times New Roman"/>
                <w:b/>
                <w:color w:val="auto"/>
                <w:kern w:val="0"/>
                <w:sz w:val="24"/>
                <w:szCs w:val="21"/>
              </w:rPr>
              <w:t>2</w:t>
            </w:r>
          </w:p>
        </w:tc>
        <w:tc>
          <w:tcPr>
            <w:tcW w:w="1096" w:type="dxa"/>
            <w:tcBorders>
              <w:top w:val="single" w:color="auto" w:sz="4" w:space="0"/>
              <w:left w:val="single" w:color="auto" w:sz="4" w:space="0"/>
              <w:right w:val="single" w:color="auto" w:sz="4" w:space="0"/>
            </w:tcBorders>
            <w:vAlign w:val="center"/>
          </w:tcPr>
          <w:p w14:paraId="1AC29ACC">
            <w:pPr>
              <w:widowControl/>
              <w:spacing w:before="120" w:after="120" w:line="300" w:lineRule="exact"/>
              <w:jc w:val="center"/>
              <w:rPr>
                <w:rFonts w:hint="default" w:ascii="Times New Roman" w:hAnsi="Times New Roman" w:eastAsia="宋体" w:cs="Times New Roman"/>
                <w:b/>
                <w:color w:val="auto"/>
                <w:kern w:val="0"/>
                <w:sz w:val="24"/>
                <w:szCs w:val="21"/>
              </w:rPr>
            </w:pPr>
            <w:r>
              <w:rPr>
                <w:rFonts w:hint="default" w:ascii="Times New Roman" w:hAnsi="Times New Roman" w:eastAsia="宋体" w:cs="Times New Roman"/>
                <w:b/>
                <w:color w:val="auto"/>
                <w:kern w:val="0"/>
                <w:sz w:val="24"/>
                <w:szCs w:val="21"/>
              </w:rPr>
              <w:t>3</w:t>
            </w:r>
          </w:p>
        </w:tc>
        <w:tc>
          <w:tcPr>
            <w:tcW w:w="944" w:type="dxa"/>
            <w:tcBorders>
              <w:top w:val="single" w:color="auto" w:sz="4" w:space="0"/>
              <w:left w:val="single" w:color="auto" w:sz="4" w:space="0"/>
              <w:right w:val="single" w:color="auto" w:sz="4" w:space="0"/>
            </w:tcBorders>
            <w:vAlign w:val="center"/>
          </w:tcPr>
          <w:p w14:paraId="3004A4FB">
            <w:pPr>
              <w:widowControl/>
              <w:spacing w:before="120" w:after="120" w:line="300" w:lineRule="exact"/>
              <w:jc w:val="center"/>
              <w:rPr>
                <w:rFonts w:hint="default" w:ascii="Times New Roman" w:hAnsi="Times New Roman" w:eastAsia="宋体" w:cs="Times New Roman"/>
                <w:b/>
                <w:color w:val="auto"/>
                <w:kern w:val="0"/>
                <w:sz w:val="24"/>
                <w:szCs w:val="21"/>
              </w:rPr>
            </w:pPr>
            <w:r>
              <w:rPr>
                <w:rFonts w:hint="default" w:ascii="Times New Roman" w:hAnsi="Times New Roman" w:eastAsia="宋体" w:cs="Times New Roman"/>
                <w:b/>
                <w:color w:val="auto"/>
                <w:kern w:val="0"/>
                <w:sz w:val="24"/>
                <w:szCs w:val="21"/>
              </w:rPr>
              <w:t>4</w:t>
            </w:r>
          </w:p>
        </w:tc>
        <w:tc>
          <w:tcPr>
            <w:tcW w:w="1064" w:type="dxa"/>
            <w:tcBorders>
              <w:top w:val="single" w:color="auto" w:sz="4" w:space="0"/>
              <w:left w:val="single" w:color="auto" w:sz="4" w:space="0"/>
            </w:tcBorders>
            <w:vAlign w:val="center"/>
          </w:tcPr>
          <w:p w14:paraId="09C80A4E">
            <w:pPr>
              <w:widowControl/>
              <w:spacing w:before="120" w:after="120" w:line="300" w:lineRule="exact"/>
              <w:jc w:val="center"/>
              <w:rPr>
                <w:rFonts w:hint="default" w:ascii="Times New Roman" w:hAnsi="Times New Roman" w:eastAsia="宋体" w:cs="Times New Roman"/>
                <w:b/>
                <w:color w:val="auto"/>
                <w:kern w:val="0"/>
                <w:sz w:val="24"/>
                <w:szCs w:val="21"/>
              </w:rPr>
            </w:pPr>
            <w:r>
              <w:rPr>
                <w:rFonts w:hint="default" w:ascii="Times New Roman" w:hAnsi="Times New Roman" w:eastAsia="宋体" w:cs="Times New Roman"/>
                <w:b/>
                <w:color w:val="auto"/>
                <w:kern w:val="0"/>
                <w:sz w:val="24"/>
                <w:szCs w:val="21"/>
              </w:rPr>
              <w:t>5</w:t>
            </w:r>
          </w:p>
        </w:tc>
        <w:tc>
          <w:tcPr>
            <w:tcW w:w="1096" w:type="dxa"/>
            <w:vMerge w:val="continue"/>
            <w:vAlign w:val="center"/>
          </w:tcPr>
          <w:p w14:paraId="2E1D73D9">
            <w:pPr>
              <w:spacing w:before="120" w:after="120" w:line="360" w:lineRule="auto"/>
              <w:jc w:val="center"/>
              <w:rPr>
                <w:rFonts w:hint="default" w:ascii="Times New Roman" w:hAnsi="Times New Roman" w:eastAsia="宋体" w:cs="Times New Roman"/>
                <w:color w:val="auto"/>
                <w:sz w:val="24"/>
                <w:szCs w:val="21"/>
              </w:rPr>
            </w:pPr>
          </w:p>
        </w:tc>
      </w:tr>
      <w:tr w14:paraId="2E6DE9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85" w:type="dxa"/>
            <w:tcBorders>
              <w:left w:val="single" w:color="000000" w:sz="12" w:space="0"/>
            </w:tcBorders>
            <w:vAlign w:val="center"/>
          </w:tcPr>
          <w:p w14:paraId="40085E1E">
            <w:pPr>
              <w:spacing w:before="0" w:after="0" w:line="240" w:lineRule="auto"/>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1</w:t>
            </w:r>
          </w:p>
        </w:tc>
        <w:tc>
          <w:tcPr>
            <w:tcW w:w="1904" w:type="dxa"/>
            <w:vAlign w:val="center"/>
          </w:tcPr>
          <w:p w14:paraId="6225514E">
            <w:pPr>
              <w:spacing w:before="0" w:after="0" w:line="240" w:lineRule="auto"/>
              <w:jc w:val="center"/>
              <w:rPr>
                <w:rFonts w:hint="default" w:ascii="Times New Roman" w:hAnsi="Times New Roman" w:eastAsia="宋体" w:cs="Times New Roman"/>
                <w:color w:val="auto"/>
                <w:sz w:val="21"/>
                <w:szCs w:val="21"/>
              </w:rPr>
            </w:pPr>
          </w:p>
        </w:tc>
        <w:tc>
          <w:tcPr>
            <w:tcW w:w="1096" w:type="dxa"/>
            <w:tcBorders>
              <w:right w:val="single" w:color="auto" w:sz="4" w:space="0"/>
            </w:tcBorders>
            <w:vAlign w:val="center"/>
          </w:tcPr>
          <w:p w14:paraId="183A4DFE">
            <w:pPr>
              <w:spacing w:before="0" w:after="0" w:line="240" w:lineRule="auto"/>
              <w:jc w:val="center"/>
              <w:rPr>
                <w:rFonts w:hint="default" w:ascii="Times New Roman" w:hAnsi="Times New Roman" w:eastAsia="宋体" w:cs="Times New Roman"/>
                <w:color w:val="auto"/>
                <w:sz w:val="22"/>
                <w:szCs w:val="22"/>
              </w:rPr>
            </w:pPr>
          </w:p>
        </w:tc>
        <w:tc>
          <w:tcPr>
            <w:tcW w:w="1095" w:type="dxa"/>
            <w:tcBorders>
              <w:left w:val="single" w:color="auto" w:sz="4" w:space="0"/>
              <w:right w:val="single" w:color="auto" w:sz="4" w:space="0"/>
            </w:tcBorders>
            <w:vAlign w:val="center"/>
          </w:tcPr>
          <w:p w14:paraId="7ACFAB3F">
            <w:pPr>
              <w:spacing w:before="0" w:after="0" w:line="240" w:lineRule="auto"/>
              <w:jc w:val="center"/>
              <w:rPr>
                <w:rFonts w:hint="default" w:ascii="Times New Roman" w:hAnsi="Times New Roman" w:eastAsia="宋体" w:cs="Times New Roman"/>
                <w:color w:val="auto"/>
                <w:sz w:val="22"/>
                <w:szCs w:val="22"/>
              </w:rPr>
            </w:pPr>
          </w:p>
        </w:tc>
        <w:tc>
          <w:tcPr>
            <w:tcW w:w="1096" w:type="dxa"/>
            <w:tcBorders>
              <w:left w:val="single" w:color="auto" w:sz="4" w:space="0"/>
              <w:right w:val="single" w:color="auto" w:sz="4" w:space="0"/>
            </w:tcBorders>
            <w:vAlign w:val="center"/>
          </w:tcPr>
          <w:p w14:paraId="38AD76C8">
            <w:pPr>
              <w:spacing w:before="0" w:after="0" w:line="240" w:lineRule="auto"/>
              <w:jc w:val="center"/>
              <w:rPr>
                <w:rFonts w:hint="default" w:ascii="Times New Roman" w:hAnsi="Times New Roman" w:eastAsia="宋体" w:cs="Times New Roman"/>
                <w:color w:val="auto"/>
                <w:sz w:val="22"/>
                <w:szCs w:val="22"/>
              </w:rPr>
            </w:pPr>
          </w:p>
        </w:tc>
        <w:tc>
          <w:tcPr>
            <w:tcW w:w="944" w:type="dxa"/>
            <w:tcBorders>
              <w:left w:val="single" w:color="auto" w:sz="4" w:space="0"/>
              <w:right w:val="single" w:color="auto" w:sz="4" w:space="0"/>
            </w:tcBorders>
            <w:vAlign w:val="center"/>
          </w:tcPr>
          <w:p w14:paraId="78B0C367">
            <w:pPr>
              <w:spacing w:before="0" w:after="0" w:line="240" w:lineRule="auto"/>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 xml:space="preserve"> </w:t>
            </w:r>
          </w:p>
        </w:tc>
        <w:tc>
          <w:tcPr>
            <w:tcW w:w="1064" w:type="dxa"/>
            <w:tcBorders>
              <w:left w:val="single" w:color="auto" w:sz="4" w:space="0"/>
            </w:tcBorders>
            <w:vAlign w:val="center"/>
          </w:tcPr>
          <w:p w14:paraId="1AB6723C">
            <w:pPr>
              <w:spacing w:before="0" w:after="0" w:line="240" w:lineRule="auto"/>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 xml:space="preserve"> </w:t>
            </w:r>
          </w:p>
        </w:tc>
        <w:tc>
          <w:tcPr>
            <w:tcW w:w="1096" w:type="dxa"/>
            <w:vAlign w:val="center"/>
          </w:tcPr>
          <w:p w14:paraId="79E3BB2D">
            <w:pPr>
              <w:spacing w:before="0" w:after="0" w:line="240" w:lineRule="auto"/>
              <w:jc w:val="center"/>
              <w:rPr>
                <w:rFonts w:hint="default" w:ascii="Times New Roman" w:hAnsi="Times New Roman" w:eastAsia="宋体" w:cs="Times New Roman"/>
                <w:color w:val="auto"/>
                <w:sz w:val="22"/>
                <w:szCs w:val="22"/>
              </w:rPr>
            </w:pPr>
          </w:p>
        </w:tc>
      </w:tr>
      <w:tr w14:paraId="7E6209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85" w:type="dxa"/>
            <w:tcBorders>
              <w:left w:val="single" w:color="000000" w:sz="12" w:space="0"/>
            </w:tcBorders>
            <w:vAlign w:val="center"/>
          </w:tcPr>
          <w:p w14:paraId="18E5E5ED">
            <w:pPr>
              <w:spacing w:before="0" w:after="0" w:line="240" w:lineRule="auto"/>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2</w:t>
            </w:r>
          </w:p>
        </w:tc>
        <w:tc>
          <w:tcPr>
            <w:tcW w:w="1904" w:type="dxa"/>
            <w:vAlign w:val="center"/>
          </w:tcPr>
          <w:p w14:paraId="6F93452B">
            <w:pPr>
              <w:widowControl/>
              <w:spacing w:before="0" w:after="0" w:line="240" w:lineRule="auto"/>
              <w:jc w:val="center"/>
              <w:textAlignment w:val="center"/>
              <w:rPr>
                <w:rFonts w:hint="default" w:ascii="Times New Roman" w:hAnsi="Times New Roman" w:eastAsia="宋体" w:cs="Times New Roman"/>
                <w:color w:val="auto"/>
                <w:sz w:val="21"/>
                <w:szCs w:val="21"/>
              </w:rPr>
            </w:pPr>
          </w:p>
        </w:tc>
        <w:tc>
          <w:tcPr>
            <w:tcW w:w="1096" w:type="dxa"/>
            <w:tcBorders>
              <w:right w:val="single" w:color="auto" w:sz="4" w:space="0"/>
            </w:tcBorders>
            <w:vAlign w:val="center"/>
          </w:tcPr>
          <w:p w14:paraId="2540A917">
            <w:pPr>
              <w:spacing w:before="0" w:after="0" w:line="240" w:lineRule="auto"/>
              <w:jc w:val="center"/>
              <w:rPr>
                <w:rFonts w:hint="default" w:ascii="Times New Roman" w:hAnsi="Times New Roman" w:eastAsia="宋体" w:cs="Times New Roman"/>
                <w:color w:val="auto"/>
                <w:sz w:val="22"/>
                <w:szCs w:val="22"/>
              </w:rPr>
            </w:pPr>
          </w:p>
        </w:tc>
        <w:tc>
          <w:tcPr>
            <w:tcW w:w="1095" w:type="dxa"/>
            <w:tcBorders>
              <w:left w:val="single" w:color="auto" w:sz="4" w:space="0"/>
              <w:right w:val="single" w:color="auto" w:sz="4" w:space="0"/>
            </w:tcBorders>
            <w:vAlign w:val="center"/>
          </w:tcPr>
          <w:p w14:paraId="3D855C93">
            <w:pPr>
              <w:spacing w:before="0" w:after="0" w:line="240" w:lineRule="auto"/>
              <w:jc w:val="center"/>
              <w:rPr>
                <w:rFonts w:hint="default" w:ascii="Times New Roman" w:hAnsi="Times New Roman" w:eastAsia="宋体" w:cs="Times New Roman"/>
                <w:color w:val="auto"/>
                <w:sz w:val="22"/>
                <w:szCs w:val="22"/>
              </w:rPr>
            </w:pPr>
          </w:p>
        </w:tc>
        <w:tc>
          <w:tcPr>
            <w:tcW w:w="1096" w:type="dxa"/>
            <w:tcBorders>
              <w:left w:val="single" w:color="auto" w:sz="4" w:space="0"/>
              <w:right w:val="single" w:color="auto" w:sz="4" w:space="0"/>
            </w:tcBorders>
            <w:vAlign w:val="center"/>
          </w:tcPr>
          <w:p w14:paraId="4D9533A8">
            <w:pPr>
              <w:spacing w:before="0" w:after="0" w:line="240" w:lineRule="auto"/>
              <w:jc w:val="center"/>
              <w:rPr>
                <w:rFonts w:hint="default" w:ascii="Times New Roman" w:hAnsi="Times New Roman" w:eastAsia="宋体" w:cs="Times New Roman"/>
                <w:color w:val="auto"/>
                <w:sz w:val="22"/>
                <w:szCs w:val="22"/>
              </w:rPr>
            </w:pPr>
          </w:p>
        </w:tc>
        <w:tc>
          <w:tcPr>
            <w:tcW w:w="944" w:type="dxa"/>
            <w:tcBorders>
              <w:left w:val="single" w:color="auto" w:sz="4" w:space="0"/>
              <w:right w:val="single" w:color="auto" w:sz="4" w:space="0"/>
            </w:tcBorders>
            <w:vAlign w:val="center"/>
          </w:tcPr>
          <w:p w14:paraId="0FDC6A03">
            <w:pPr>
              <w:spacing w:before="0" w:after="0" w:line="240" w:lineRule="auto"/>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 xml:space="preserve"> </w:t>
            </w:r>
          </w:p>
        </w:tc>
        <w:tc>
          <w:tcPr>
            <w:tcW w:w="1064" w:type="dxa"/>
            <w:tcBorders>
              <w:left w:val="single" w:color="auto" w:sz="4" w:space="0"/>
            </w:tcBorders>
            <w:vAlign w:val="center"/>
          </w:tcPr>
          <w:p w14:paraId="19C20280">
            <w:pPr>
              <w:spacing w:before="0" w:after="0" w:line="240" w:lineRule="auto"/>
              <w:jc w:val="center"/>
              <w:rPr>
                <w:rFonts w:hint="default" w:ascii="Times New Roman" w:hAnsi="Times New Roman" w:eastAsia="宋体" w:cs="Times New Roman"/>
                <w:color w:val="auto"/>
                <w:sz w:val="22"/>
                <w:szCs w:val="22"/>
              </w:rPr>
            </w:pPr>
          </w:p>
        </w:tc>
        <w:tc>
          <w:tcPr>
            <w:tcW w:w="1096" w:type="dxa"/>
            <w:vAlign w:val="center"/>
          </w:tcPr>
          <w:p w14:paraId="489966C7">
            <w:pPr>
              <w:spacing w:before="0" w:after="0" w:line="240" w:lineRule="auto"/>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 xml:space="preserve"> </w:t>
            </w:r>
          </w:p>
        </w:tc>
      </w:tr>
      <w:bookmarkEnd w:id="226"/>
    </w:tbl>
    <w:p w14:paraId="715E0DB8">
      <w:pPr>
        <w:keepNext w:val="0"/>
        <w:keepLines w:val="0"/>
        <w:pageBreakBefore w:val="0"/>
        <w:widowControl w:val="0"/>
        <w:kinsoku/>
        <w:wordWrap/>
        <w:overflowPunct/>
        <w:topLinePunct w:val="0"/>
        <w:autoSpaceDE/>
        <w:autoSpaceDN/>
        <w:bidi w:val="0"/>
        <w:adjustRightInd/>
        <w:snapToGrid/>
        <w:spacing w:before="157" w:beforeLines="50" w:after="157" w:afterLines="50"/>
        <w:textAlignment w:val="auto"/>
        <w:rPr>
          <w:rFonts w:hint="default" w:ascii="Times New Roman" w:hAnsi="Times New Roman" w:cs="Times New Roman"/>
          <w:b/>
          <w:bCs/>
          <w:color w:val="auto"/>
          <w:sz w:val="30"/>
          <w:szCs w:val="30"/>
          <w:lang w:val="en-US" w:eastAsia="zh-CN"/>
        </w:rPr>
      </w:pPr>
      <w:bookmarkStart w:id="227" w:name="_Toc88827323"/>
      <w:bookmarkStart w:id="228" w:name="_Toc105078959"/>
      <w:bookmarkStart w:id="229" w:name="_Toc18992"/>
      <w:r>
        <w:rPr>
          <w:rFonts w:hint="default" w:ascii="Times New Roman" w:hAnsi="Times New Roman" w:cs="Times New Roman"/>
          <w:b/>
          <w:bCs/>
          <w:color w:val="auto"/>
          <w:sz w:val="30"/>
          <w:szCs w:val="30"/>
          <w:lang w:val="en-US" w:eastAsia="zh-CN"/>
        </w:rPr>
        <w:t>5.5 钢材里氏硬度检测</w:t>
      </w:r>
      <w:bookmarkEnd w:id="227"/>
      <w:bookmarkEnd w:id="228"/>
      <w:bookmarkEnd w:id="229"/>
    </w:p>
    <w:p w14:paraId="015DD272">
      <w:pPr>
        <w:spacing w:before="120" w:after="120"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检测方法按照《建筑结构检测技术标准》(GB/T 50344-2019)附录N执行，现场检测时，将钢材牌号相同的同类构件划分为一个检验批。</w:t>
      </w:r>
      <w:r>
        <w:rPr>
          <w:rFonts w:hint="default" w:ascii="Times New Roman" w:hAnsi="Times New Roman" w:eastAsia="宋体" w:cs="Times New Roman"/>
          <w:b/>
          <w:color w:val="auto"/>
          <w:sz w:val="24"/>
          <w:szCs w:val="24"/>
        </w:rPr>
        <w:t>在检测批中随机抽取构件，抽检数量不得少于规范规定的B类检测最少抽样数量。</w:t>
      </w:r>
    </w:p>
    <w:p w14:paraId="5DD454B5">
      <w:pPr>
        <w:spacing w:before="100" w:after="100"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现场对钢材厚度不小于6mm，曲面曲率半径不小于30mm的钢构件，钢材强度采用表面硬度法检测。现场采用里氏硬度计按《金属材料里氏硬度试验 第1部分：试验方法》(GB/T17394.1-2014)和《建筑结构检测技术标准》（GB/T 50344-2019）的规定测量抽检钢构件的里氏硬度值(HL)，换算得出钢材的抗拉强度。</w:t>
      </w:r>
    </w:p>
    <w:p w14:paraId="4B77D148">
      <w:pPr>
        <w:spacing w:before="100" w:after="100"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（1）测区布置及处理</w:t>
      </w:r>
    </w:p>
    <w:p w14:paraId="3741CC8F">
      <w:pPr>
        <w:spacing w:before="100" w:after="100"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现场实际情况确定检测构件的数量。在每一抽检构件布置测区：测区宜布置在里氏硬度计能垂直向下检测的钢材表面，也可布置在非垂直向下的钢材表面；测区宜布置在测试时不产生颤振的部位；每一抽检构件上测区数量不应少于3个。</w:t>
      </w:r>
    </w:p>
    <w:p w14:paraId="29839C61">
      <w:pPr>
        <w:spacing w:before="100" w:after="100"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测区钢材表面应进行打磨处理，去除各种涂层，并应用粗、细砂纸打磨至表面粗糙度R</w:t>
      </w:r>
      <w:r>
        <w:rPr>
          <w:rFonts w:hint="default" w:ascii="Times New Roman" w:hAnsi="Times New Roman" w:eastAsia="宋体" w:cs="Times New Roman"/>
          <w:i/>
          <w:color w:val="auto"/>
          <w:sz w:val="24"/>
          <w:szCs w:val="24"/>
        </w:rPr>
        <w:t>a</w:t>
      </w:r>
      <w:r>
        <w:rPr>
          <w:rFonts w:hint="default" w:ascii="Times New Roman" w:hAnsi="Times New Roman" w:eastAsia="宋体" w:cs="Times New Roman"/>
          <w:color w:val="auto"/>
          <w:sz w:val="24"/>
          <w:szCs w:val="24"/>
        </w:rPr>
        <w:t>的平均值不大于1.6μm；每个测区打磨的区域不应小于30mm</w:t>
      </w:r>
      <w:r>
        <w:rPr>
          <w:rFonts w:hint="default" w:ascii="Times New Roman" w:hAnsi="Times New Roman" w:eastAsia="宋体" w:cs="Times New Roman"/>
          <w:color w:val="auto"/>
          <w:sz w:val="24"/>
          <w:szCs w:val="24"/>
        </w:rPr>
        <w:sym w:font="Symbol" w:char="F0B4"/>
      </w:r>
      <w:r>
        <w:rPr>
          <w:rFonts w:hint="default" w:ascii="Times New Roman" w:hAnsi="Times New Roman" w:eastAsia="宋体" w:cs="Times New Roman"/>
          <w:color w:val="auto"/>
          <w:sz w:val="24"/>
          <w:szCs w:val="24"/>
        </w:rPr>
        <w:t>60mm。</w:t>
      </w:r>
    </w:p>
    <w:p w14:paraId="76212D9E">
      <w:pPr>
        <w:spacing w:before="100" w:after="100"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（2）测区内的测点布置及硬度测试</w:t>
      </w:r>
    </w:p>
    <w:p w14:paraId="5CA45183">
      <w:pPr>
        <w:spacing w:before="100" w:after="100"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每一测区内均匀布置9个测点，测点之间的距离应大于4mm，测点距构件边缘距离不应小于5mm。</w:t>
      </w:r>
    </w:p>
    <w:p w14:paraId="27CF8263">
      <w:pPr>
        <w:spacing w:before="100" w:after="100"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测试时冲击装置应紧压在测区的测点上，冲击方向应与测试面垂直；同一测点只应测试一次，测点的里氏硬度值应精确至1HL。</w:t>
      </w:r>
    </w:p>
    <w:p w14:paraId="6C528933">
      <w:pPr>
        <w:spacing w:before="100" w:after="100"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（3）硬度计算及修正、测区钢材强度换算</w:t>
      </w:r>
    </w:p>
    <w:p w14:paraId="6E52EDE5">
      <w:pPr>
        <w:spacing w:before="100" w:after="100"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从测区9个里氏硬度测试值中剔除2个最大值和2个最小值，余下的5个里氏硬度测试值按下式计算平均值：</w:t>
      </w:r>
    </w:p>
    <w:p w14:paraId="4561AF12">
      <w:pPr>
        <w:adjustRightInd w:val="0"/>
        <w:snapToGrid w:val="0"/>
        <w:spacing w:before="100" w:after="100" w:line="360" w:lineRule="auto"/>
        <w:ind w:firstLine="420" w:firstLineChars="200"/>
        <w:jc w:val="left"/>
        <w:rPr>
          <w:rFonts w:hint="default" w:ascii="Times New Roman" w:hAnsi="Times New Roman" w:eastAsia="宋体" w:cs="Times New Roman"/>
          <w:color w:val="auto"/>
          <w:sz w:val="21"/>
          <w:szCs w:val="24"/>
          <w:highlight w:val="lightGray"/>
        </w:rPr>
      </w:pPr>
      <w:r>
        <w:rPr>
          <w:rFonts w:hint="default" w:ascii="Times New Roman" w:hAnsi="Times New Roman" w:eastAsia="宋体" w:cs="Times New Roman"/>
          <w:color w:val="auto"/>
          <w:sz w:val="21"/>
          <w:szCs w:val="24"/>
        </w:rPr>
        <w:t xml:space="preserve">             </w:t>
      </w:r>
      <w:r>
        <w:rPr>
          <w:rFonts w:hint="default" w:ascii="Times New Roman" w:hAnsi="Times New Roman" w:eastAsia="宋体" w:cs="Times New Roman"/>
          <w:color w:val="auto"/>
          <w:position w:val="-28"/>
          <w:sz w:val="21"/>
          <w:szCs w:val="24"/>
        </w:rPr>
        <w:object>
          <v:shape id="_x0000_i1026" o:spt="75" type="#_x0000_t75" style="height:33.85pt;width:81.55pt;" o:ole="t" filled="f" o:preferrelative="t" stroked="f" coordsize="21600,21600">
            <v:path/>
            <v:fill on="f" focussize="0,0"/>
            <v:stroke on="f" joinstyle="miter"/>
            <v:imagedata r:id="rId17" o:title=""/>
            <o:lock v:ext="edit" aspectratio="t"/>
            <w10:wrap type="none"/>
            <w10:anchorlock/>
          </v:shape>
          <o:OLEObject Type="Embed" ProgID="Equation.3" ShapeID="_x0000_i1026" DrawAspect="Content" ObjectID="_1468075726" r:id="rId18">
            <o:LockedField>false</o:LockedField>
          </o:OLEObject>
        </w:object>
      </w:r>
      <w:r>
        <w:rPr>
          <w:rFonts w:hint="default" w:ascii="Times New Roman" w:hAnsi="Times New Roman" w:eastAsia="宋体" w:cs="Times New Roman"/>
          <w:color w:val="auto"/>
          <w:sz w:val="21"/>
          <w:szCs w:val="24"/>
        </w:rPr>
        <w:t xml:space="preserve">                                     </w:t>
      </w:r>
    </w:p>
    <w:p w14:paraId="37F9A129">
      <w:pPr>
        <w:adjustRightInd w:val="0"/>
        <w:snapToGrid w:val="0"/>
        <w:spacing w:before="100" w:after="100" w:line="360" w:lineRule="auto"/>
        <w:ind w:firstLine="200"/>
        <w:jc w:val="left"/>
        <w:rPr>
          <w:rFonts w:hint="default" w:ascii="Times New Roman" w:hAnsi="Times New Roman" w:eastAsia="宋体" w:cs="Times New Roman"/>
          <w:color w:val="auto"/>
          <w:sz w:val="21"/>
          <w:szCs w:val="24"/>
        </w:rPr>
      </w:pPr>
      <w:r>
        <w:rPr>
          <w:rFonts w:hint="default" w:ascii="Times New Roman" w:hAnsi="Times New Roman" w:eastAsia="宋体" w:cs="Times New Roman"/>
          <w:color w:val="auto"/>
          <w:sz w:val="21"/>
          <w:szCs w:val="24"/>
        </w:rPr>
        <w:t>式中：HL</w:t>
      </w:r>
      <w:r>
        <w:rPr>
          <w:rFonts w:hint="default" w:ascii="Times New Roman" w:hAnsi="Times New Roman" w:eastAsia="宋体" w:cs="Times New Roman"/>
          <w:color w:val="auto"/>
          <w:sz w:val="21"/>
          <w:szCs w:val="24"/>
          <w:vertAlign w:val="subscript"/>
        </w:rPr>
        <w:t>m</w:t>
      </w:r>
      <w:r>
        <w:rPr>
          <w:rFonts w:hint="default" w:ascii="Times New Roman" w:hAnsi="Times New Roman" w:eastAsia="宋体" w:cs="Times New Roman"/>
          <w:color w:val="auto"/>
          <w:sz w:val="21"/>
          <w:szCs w:val="24"/>
        </w:rPr>
        <w:t>—测区里氏硬度的测试平均值，精确到1HL；</w:t>
      </w:r>
    </w:p>
    <w:p w14:paraId="68767754">
      <w:pPr>
        <w:adjustRightInd w:val="0"/>
        <w:snapToGrid w:val="0"/>
        <w:spacing w:before="100" w:after="100" w:line="360" w:lineRule="auto"/>
        <w:ind w:firstLine="630" w:firstLineChars="300"/>
        <w:jc w:val="left"/>
        <w:rPr>
          <w:rFonts w:hint="default" w:ascii="Times New Roman" w:hAnsi="Times New Roman" w:eastAsia="宋体" w:cs="Times New Roman"/>
          <w:color w:val="auto"/>
          <w:sz w:val="21"/>
          <w:szCs w:val="24"/>
        </w:rPr>
      </w:pPr>
      <w:r>
        <w:rPr>
          <w:rFonts w:hint="default" w:ascii="Times New Roman" w:hAnsi="Times New Roman" w:eastAsia="宋体" w:cs="Times New Roman"/>
          <w:color w:val="auto"/>
          <w:sz w:val="21"/>
          <w:szCs w:val="24"/>
        </w:rPr>
        <w:t>HL</w:t>
      </w:r>
      <w:r>
        <w:rPr>
          <w:rFonts w:hint="default" w:ascii="Times New Roman" w:hAnsi="Times New Roman" w:eastAsia="宋体" w:cs="Times New Roman"/>
          <w:color w:val="auto"/>
          <w:sz w:val="21"/>
          <w:szCs w:val="24"/>
          <w:vertAlign w:val="subscript"/>
        </w:rPr>
        <w:t xml:space="preserve">i </w:t>
      </w:r>
      <w:r>
        <w:rPr>
          <w:rFonts w:hint="default" w:ascii="Times New Roman" w:hAnsi="Times New Roman" w:eastAsia="宋体" w:cs="Times New Roman"/>
          <w:color w:val="auto"/>
          <w:sz w:val="21"/>
          <w:szCs w:val="24"/>
        </w:rPr>
        <w:t>—测区余下5个测试值中第i个测点的里氏硬度值。</w:t>
      </w:r>
    </w:p>
    <w:p w14:paraId="60884670">
      <w:pPr>
        <w:adjustRightInd w:val="0"/>
        <w:snapToGrid w:val="0"/>
        <w:spacing w:before="100" w:after="100"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当非垂直方向检测钢结构构件表面时，应按下式对测区里氏硬度平均值进行弹击角度和弹击方向修正：</w:t>
      </w:r>
    </w:p>
    <w:p w14:paraId="56343633">
      <w:pPr>
        <w:adjustRightInd w:val="0"/>
        <w:snapToGrid w:val="0"/>
        <w:spacing w:before="100" w:after="100" w:line="360" w:lineRule="auto"/>
        <w:ind w:firstLine="1890" w:firstLineChars="9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HL</w:t>
      </w:r>
      <w:r>
        <w:rPr>
          <w:rFonts w:hint="default" w:ascii="Times New Roman" w:hAnsi="Times New Roman" w:eastAsia="宋体" w:cs="Times New Roman"/>
          <w:color w:val="auto"/>
          <w:sz w:val="21"/>
          <w:szCs w:val="21"/>
          <w:vertAlign w:val="subscript"/>
        </w:rPr>
        <w:t>dm</w:t>
      </w:r>
      <w:r>
        <w:rPr>
          <w:rFonts w:hint="default" w:ascii="Times New Roman" w:hAnsi="Times New Roman" w:eastAsia="宋体" w:cs="Times New Roman"/>
          <w:color w:val="auto"/>
          <w:sz w:val="21"/>
          <w:szCs w:val="21"/>
        </w:rPr>
        <w:t xml:space="preserve"> = HL</w:t>
      </w:r>
      <w:r>
        <w:rPr>
          <w:rFonts w:hint="default" w:ascii="Times New Roman" w:hAnsi="Times New Roman" w:eastAsia="宋体" w:cs="Times New Roman"/>
          <w:color w:val="auto"/>
          <w:sz w:val="21"/>
          <w:szCs w:val="21"/>
          <w:vertAlign w:val="subscript"/>
        </w:rPr>
        <w:t>m</w:t>
      </w:r>
      <w:r>
        <w:rPr>
          <w:rFonts w:hint="default" w:ascii="Times New Roman" w:hAnsi="Times New Roman" w:eastAsia="宋体" w:cs="Times New Roman"/>
          <w:color w:val="auto"/>
          <w:sz w:val="21"/>
          <w:szCs w:val="21"/>
        </w:rPr>
        <w:t xml:space="preserve"> + HL</w:t>
      </w:r>
      <w:r>
        <w:rPr>
          <w:rFonts w:hint="default" w:ascii="Times New Roman" w:hAnsi="Times New Roman" w:eastAsia="宋体" w:cs="Times New Roman"/>
          <w:color w:val="auto"/>
          <w:sz w:val="21"/>
          <w:szCs w:val="21"/>
          <w:vertAlign w:val="subscript"/>
        </w:rPr>
        <w:t xml:space="preserve">a </w:t>
      </w:r>
      <w:r>
        <w:rPr>
          <w:rFonts w:hint="default" w:ascii="Times New Roman" w:hAnsi="Times New Roman" w:eastAsia="宋体" w:cs="Times New Roman"/>
          <w:color w:val="auto"/>
          <w:sz w:val="21"/>
          <w:szCs w:val="21"/>
        </w:rPr>
        <w:t xml:space="preserve">                               </w:t>
      </w:r>
    </w:p>
    <w:p w14:paraId="7A5B189A">
      <w:pPr>
        <w:adjustRightInd w:val="0"/>
        <w:snapToGrid w:val="0"/>
        <w:spacing w:before="100" w:after="100" w:line="360" w:lineRule="auto"/>
        <w:ind w:firstLine="200"/>
        <w:jc w:val="left"/>
        <w:rPr>
          <w:rFonts w:hint="default" w:ascii="Times New Roman" w:hAnsi="Times New Roman" w:eastAsia="宋体" w:cs="Times New Roman"/>
          <w:color w:val="auto"/>
          <w:sz w:val="21"/>
          <w:szCs w:val="24"/>
        </w:rPr>
      </w:pPr>
      <w:r>
        <w:rPr>
          <w:rFonts w:hint="default" w:ascii="Times New Roman" w:hAnsi="Times New Roman" w:eastAsia="宋体" w:cs="Times New Roman"/>
          <w:color w:val="auto"/>
          <w:sz w:val="21"/>
          <w:szCs w:val="24"/>
        </w:rPr>
        <w:t>式中：HL</w:t>
      </w:r>
      <w:r>
        <w:rPr>
          <w:rFonts w:hint="default" w:ascii="Times New Roman" w:hAnsi="Times New Roman" w:eastAsia="宋体" w:cs="Times New Roman"/>
          <w:color w:val="auto"/>
          <w:sz w:val="21"/>
          <w:szCs w:val="24"/>
          <w:vertAlign w:val="subscript"/>
        </w:rPr>
        <w:t>dm</w:t>
      </w:r>
      <w:r>
        <w:rPr>
          <w:rFonts w:hint="default" w:ascii="Times New Roman" w:hAnsi="Times New Roman" w:eastAsia="宋体" w:cs="Times New Roman"/>
          <w:color w:val="auto"/>
          <w:sz w:val="21"/>
          <w:szCs w:val="24"/>
        </w:rPr>
        <w:t>—修正后的垂直方向里氏硬度平均值；</w:t>
      </w:r>
    </w:p>
    <w:p w14:paraId="3D3BF924">
      <w:pPr>
        <w:adjustRightInd w:val="0"/>
        <w:snapToGrid w:val="0"/>
        <w:spacing w:before="100" w:after="100" w:line="360" w:lineRule="auto"/>
        <w:ind w:firstLine="630" w:firstLineChars="300"/>
        <w:jc w:val="left"/>
        <w:rPr>
          <w:rFonts w:hint="default" w:ascii="Times New Roman" w:hAnsi="Times New Roman" w:eastAsia="宋体" w:cs="Times New Roman"/>
          <w:color w:val="auto"/>
          <w:sz w:val="21"/>
          <w:szCs w:val="24"/>
          <w:highlight w:val="lightGray"/>
        </w:rPr>
      </w:pPr>
      <w:r>
        <w:rPr>
          <w:rFonts w:hint="default" w:ascii="Times New Roman" w:hAnsi="Times New Roman" w:eastAsia="宋体" w:cs="Times New Roman"/>
          <w:color w:val="auto"/>
          <w:sz w:val="21"/>
          <w:szCs w:val="24"/>
        </w:rPr>
        <w:t>HL</w:t>
      </w:r>
      <w:r>
        <w:rPr>
          <w:rFonts w:hint="default" w:ascii="Times New Roman" w:hAnsi="Times New Roman" w:eastAsia="宋体" w:cs="Times New Roman"/>
          <w:color w:val="auto"/>
          <w:sz w:val="21"/>
          <w:szCs w:val="24"/>
          <w:vertAlign w:val="subscript"/>
        </w:rPr>
        <w:t>m</w:t>
      </w:r>
      <w:r>
        <w:rPr>
          <w:rFonts w:hint="default" w:ascii="Times New Roman" w:hAnsi="Times New Roman" w:eastAsia="宋体" w:cs="Times New Roman"/>
          <w:color w:val="auto"/>
          <w:sz w:val="21"/>
          <w:szCs w:val="24"/>
        </w:rPr>
        <w:t>—非垂直向下检测时测区里氏硬度的平均值；</w:t>
      </w:r>
    </w:p>
    <w:p w14:paraId="5AA0C64D">
      <w:pPr>
        <w:adjustRightInd w:val="0"/>
        <w:snapToGrid w:val="0"/>
        <w:spacing w:before="100" w:after="100" w:line="360" w:lineRule="auto"/>
        <w:ind w:left="630" w:hanging="630" w:hangingChars="300"/>
        <w:jc w:val="left"/>
        <w:rPr>
          <w:rFonts w:hint="default" w:ascii="Times New Roman" w:hAnsi="Times New Roman" w:eastAsia="宋体" w:cs="Times New Roman"/>
          <w:color w:val="auto"/>
          <w:sz w:val="21"/>
          <w:szCs w:val="24"/>
        </w:rPr>
      </w:pPr>
      <w:r>
        <w:rPr>
          <w:rFonts w:hint="default" w:ascii="Times New Roman" w:hAnsi="Times New Roman" w:eastAsia="宋体" w:cs="Times New Roman"/>
          <w:color w:val="auto"/>
          <w:sz w:val="21"/>
          <w:szCs w:val="24"/>
        </w:rPr>
        <w:t>HL</w:t>
      </w:r>
      <w:r>
        <w:rPr>
          <w:rFonts w:hint="default" w:ascii="Times New Roman" w:hAnsi="Times New Roman" w:eastAsia="宋体" w:cs="Times New Roman"/>
          <w:color w:val="auto"/>
          <w:sz w:val="21"/>
          <w:szCs w:val="24"/>
          <w:vertAlign w:val="subscript"/>
        </w:rPr>
        <w:t>a</w:t>
      </w:r>
      <w:r>
        <w:rPr>
          <w:rFonts w:hint="default" w:ascii="Times New Roman" w:hAnsi="Times New Roman" w:eastAsia="宋体" w:cs="Times New Roman"/>
          <w:color w:val="auto"/>
          <w:sz w:val="21"/>
          <w:szCs w:val="24"/>
        </w:rPr>
        <w:t>—非垂直向下方向检测时里氏硬度修正值，按《建筑结构检测技术标准》（GB/T 50344-2019）表N.3.3采用。</w:t>
      </w:r>
    </w:p>
    <w:p w14:paraId="0BF15297">
      <w:pPr>
        <w:spacing w:before="100" w:after="100"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当测区钢材的厚度小于12mm时，应按下式对测区里氏硬度平均值进行修正：</w:t>
      </w:r>
    </w:p>
    <w:p w14:paraId="48B1476F">
      <w:pPr>
        <w:adjustRightInd w:val="0"/>
        <w:snapToGrid w:val="0"/>
        <w:spacing w:before="100" w:after="100" w:line="360" w:lineRule="auto"/>
        <w:ind w:firstLine="2205" w:firstLineChars="1050"/>
        <w:jc w:val="left"/>
        <w:rPr>
          <w:rFonts w:hint="default" w:ascii="Times New Roman" w:hAnsi="Times New Roman" w:eastAsia="宋体" w:cs="Times New Roman"/>
          <w:color w:val="auto"/>
          <w:sz w:val="21"/>
          <w:szCs w:val="24"/>
        </w:rPr>
      </w:pPr>
      <w:r>
        <w:rPr>
          <w:rFonts w:hint="default" w:ascii="Times New Roman" w:hAnsi="Times New Roman" w:eastAsia="宋体" w:cs="Times New Roman"/>
          <w:color w:val="auto"/>
          <w:sz w:val="21"/>
          <w:szCs w:val="24"/>
        </w:rPr>
        <w:t>HL</w:t>
      </w:r>
      <w:r>
        <w:rPr>
          <w:rFonts w:hint="default" w:ascii="Times New Roman" w:hAnsi="Times New Roman" w:eastAsia="宋体" w:cs="Times New Roman"/>
          <w:color w:val="auto"/>
          <w:sz w:val="21"/>
          <w:szCs w:val="24"/>
          <w:vertAlign w:val="subscript"/>
        </w:rPr>
        <w:t>dm</w:t>
      </w:r>
      <w:r>
        <w:rPr>
          <w:rFonts w:hint="default" w:ascii="Times New Roman" w:hAnsi="Times New Roman" w:eastAsia="宋体" w:cs="Times New Roman"/>
          <w:color w:val="auto"/>
          <w:sz w:val="21"/>
          <w:szCs w:val="24"/>
        </w:rPr>
        <w:t xml:space="preserve"> = HL</w:t>
      </w:r>
      <w:r>
        <w:rPr>
          <w:rFonts w:hint="default" w:ascii="Times New Roman" w:hAnsi="Times New Roman" w:eastAsia="宋体" w:cs="Times New Roman"/>
          <w:color w:val="auto"/>
          <w:sz w:val="21"/>
          <w:szCs w:val="24"/>
          <w:vertAlign w:val="subscript"/>
        </w:rPr>
        <w:t>m</w:t>
      </w:r>
      <w:r>
        <w:rPr>
          <w:rFonts w:hint="default" w:ascii="Times New Roman" w:hAnsi="Times New Roman" w:eastAsia="宋体" w:cs="Times New Roman"/>
          <w:color w:val="auto"/>
          <w:sz w:val="21"/>
          <w:szCs w:val="24"/>
        </w:rPr>
        <w:t xml:space="preserve"> + HL</w:t>
      </w:r>
      <w:r>
        <w:rPr>
          <w:rFonts w:hint="default" w:ascii="Times New Roman" w:hAnsi="Times New Roman" w:eastAsia="宋体" w:cs="Times New Roman"/>
          <w:color w:val="auto"/>
          <w:sz w:val="21"/>
          <w:szCs w:val="24"/>
          <w:vertAlign w:val="subscript"/>
        </w:rPr>
        <w:t>t</w:t>
      </w:r>
      <w:r>
        <w:rPr>
          <w:rFonts w:hint="default" w:ascii="Times New Roman" w:hAnsi="Times New Roman" w:eastAsia="宋体" w:cs="Times New Roman"/>
          <w:color w:val="auto"/>
          <w:sz w:val="21"/>
          <w:szCs w:val="24"/>
        </w:rPr>
        <w:t xml:space="preserve">                                 </w:t>
      </w:r>
    </w:p>
    <w:p w14:paraId="2A341ED9">
      <w:pPr>
        <w:adjustRightInd w:val="0"/>
        <w:snapToGrid w:val="0"/>
        <w:spacing w:before="100" w:after="100" w:line="360" w:lineRule="auto"/>
        <w:ind w:left="1155" w:hanging="1155" w:hangingChars="550"/>
        <w:jc w:val="left"/>
        <w:rPr>
          <w:rFonts w:hint="default" w:ascii="Times New Roman" w:hAnsi="Times New Roman" w:eastAsia="宋体" w:cs="Times New Roman"/>
          <w:color w:val="auto"/>
          <w:sz w:val="21"/>
          <w:szCs w:val="24"/>
        </w:rPr>
      </w:pPr>
      <w:r>
        <w:rPr>
          <w:rFonts w:hint="default" w:ascii="Times New Roman" w:hAnsi="Times New Roman" w:eastAsia="宋体" w:cs="Times New Roman"/>
          <w:color w:val="auto"/>
          <w:sz w:val="21"/>
          <w:szCs w:val="24"/>
        </w:rPr>
        <w:t>式中：HL</w:t>
      </w:r>
      <w:r>
        <w:rPr>
          <w:rFonts w:hint="default" w:ascii="Times New Roman" w:hAnsi="Times New Roman" w:eastAsia="宋体" w:cs="Times New Roman"/>
          <w:color w:val="auto"/>
          <w:sz w:val="21"/>
          <w:szCs w:val="24"/>
          <w:vertAlign w:val="subscript"/>
        </w:rPr>
        <w:t>t</w:t>
      </w:r>
      <w:r>
        <w:rPr>
          <w:rFonts w:hint="default" w:ascii="Times New Roman" w:hAnsi="Times New Roman" w:eastAsia="宋体" w:cs="Times New Roman"/>
          <w:color w:val="auto"/>
          <w:sz w:val="21"/>
          <w:szCs w:val="24"/>
        </w:rPr>
        <w:t>—检测不同的钢材厚度时里氏硬度修正值，按《建筑结构检测技术标准》（GB/T 50344-2019）表 N. 3.4采用。</w:t>
      </w:r>
    </w:p>
    <w:p w14:paraId="33589B60">
      <w:pPr>
        <w:spacing w:before="100" w:after="100"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根据测区修正后的里氏硬度的代表值HL</w:t>
      </w:r>
      <w:r>
        <w:rPr>
          <w:rFonts w:hint="default" w:ascii="Times New Roman" w:hAnsi="Times New Roman" w:eastAsia="宋体" w:cs="Times New Roman"/>
          <w:color w:val="auto"/>
          <w:sz w:val="24"/>
          <w:szCs w:val="24"/>
          <w:vertAlign w:val="subscript"/>
        </w:rPr>
        <w:t>dm</w:t>
      </w:r>
      <w:r>
        <w:rPr>
          <w:rFonts w:hint="default" w:ascii="Times New Roman" w:hAnsi="Times New Roman" w:eastAsia="宋体" w:cs="Times New Roman"/>
          <w:color w:val="auto"/>
          <w:sz w:val="24"/>
          <w:szCs w:val="24"/>
        </w:rPr>
        <w:t>，按《建筑结构检测技术标准》（GB/T 50344-2019）表N. 3. 5确定测区钢材抗拉强度的最小值</w:t>
      </w:r>
      <w:r>
        <w:rPr>
          <w:rFonts w:hint="default" w:ascii="Times New Roman" w:hAnsi="Times New Roman" w:eastAsia="宋体" w:cs="Times New Roman"/>
          <w:i/>
          <w:color w:val="auto"/>
          <w:sz w:val="24"/>
          <w:szCs w:val="24"/>
        </w:rPr>
        <w:t>f</w:t>
      </w:r>
      <w:r>
        <w:rPr>
          <w:rFonts w:hint="default" w:ascii="Times New Roman" w:hAnsi="Times New Roman" w:eastAsia="宋体" w:cs="Times New Roman"/>
          <w:color w:val="auto"/>
          <w:sz w:val="24"/>
          <w:szCs w:val="24"/>
          <w:vertAlign w:val="subscript"/>
        </w:rPr>
        <w:t>b,mim</w:t>
      </w:r>
      <w:r>
        <w:rPr>
          <w:rFonts w:hint="default" w:ascii="Times New Roman" w:hAnsi="Times New Roman" w:eastAsia="宋体" w:cs="Times New Roman"/>
          <w:color w:val="auto"/>
          <w:sz w:val="24"/>
          <w:szCs w:val="24"/>
        </w:rPr>
        <w:t>和最大值</w:t>
      </w:r>
      <w:r>
        <w:rPr>
          <w:rFonts w:hint="default" w:ascii="Times New Roman" w:hAnsi="Times New Roman" w:eastAsia="宋体" w:cs="Times New Roman"/>
          <w:i/>
          <w:color w:val="auto"/>
          <w:sz w:val="24"/>
          <w:szCs w:val="24"/>
        </w:rPr>
        <w:t>f</w:t>
      </w:r>
      <w:r>
        <w:rPr>
          <w:rFonts w:hint="default" w:ascii="Times New Roman" w:hAnsi="Times New Roman" w:eastAsia="宋体" w:cs="Times New Roman"/>
          <w:color w:val="auto"/>
          <w:sz w:val="24"/>
          <w:szCs w:val="24"/>
          <w:vertAlign w:val="subscript"/>
        </w:rPr>
        <w:t>b,max</w:t>
      </w:r>
      <w:r>
        <w:rPr>
          <w:rFonts w:hint="default" w:ascii="Times New Roman" w:hAnsi="Times New Roman" w:eastAsia="宋体" w:cs="Times New Roman"/>
          <w:color w:val="auto"/>
          <w:sz w:val="24"/>
          <w:szCs w:val="24"/>
        </w:rPr>
        <w:t>。</w:t>
      </w:r>
    </w:p>
    <w:p w14:paraId="58FB78BF">
      <w:pPr>
        <w:spacing w:before="120" w:after="120" w:line="360" w:lineRule="auto"/>
        <w:ind w:firstLine="480" w:firstLineChars="200"/>
        <w:rPr>
          <w:rFonts w:hint="default" w:ascii="Times New Roman" w:hAnsi="Times New Roman" w:eastAsia="宋体" w:cs="Times New Roman"/>
          <w:b/>
          <w:color w:val="auto"/>
          <w:kern w:val="2"/>
          <w:sz w:val="21"/>
          <w:szCs w:val="21"/>
          <w:lang w:val="zh-CN" w:eastAsia="zh-CN" w:bidi="ar-SA"/>
        </w:rPr>
      </w:pPr>
      <w:r>
        <w:rPr>
          <w:rFonts w:hint="default" w:ascii="Times New Roman" w:hAnsi="Times New Roman" w:eastAsia="宋体" w:cs="Times New Roman"/>
          <w:color w:val="auto"/>
          <w:sz w:val="24"/>
          <w:szCs w:val="24"/>
        </w:rPr>
        <w:t>检测结果表明：钢柱特征值的平均值为 478N/mm²、钢梁特征值的平均值为 481N/mm²（均满足低合金高强度结构钢（GBT1591-2018）Q345B最小抗拉强度为470 N/mm²的要求）。</w:t>
      </w:r>
    </w:p>
    <w:p w14:paraId="1193EF2E">
      <w:pPr>
        <w:widowControl w:val="0"/>
        <w:snapToGrid w:val="0"/>
        <w:spacing w:before="0" w:after="0" w:line="240" w:lineRule="auto"/>
        <w:ind w:firstLine="0" w:firstLineChars="0"/>
        <w:jc w:val="center"/>
        <w:rPr>
          <w:rFonts w:hint="default" w:ascii="Times New Roman" w:hAnsi="Times New Roman" w:eastAsia="宋体" w:cs="Times New Roman"/>
          <w:b/>
          <w:color w:val="auto"/>
          <w:kern w:val="2"/>
          <w:sz w:val="21"/>
          <w:szCs w:val="21"/>
          <w:lang w:val="zh-CN" w:eastAsia="zh-CN" w:bidi="ar-SA"/>
        </w:rPr>
      </w:pPr>
      <w:r>
        <w:rPr>
          <w:rFonts w:hint="default" w:ascii="Times New Roman" w:hAnsi="Times New Roman" w:eastAsia="宋体" w:cs="Times New Roman"/>
          <w:b/>
          <w:color w:val="auto"/>
          <w:kern w:val="2"/>
          <w:sz w:val="21"/>
          <w:szCs w:val="21"/>
          <w:lang w:val="zh-CN" w:eastAsia="zh-CN" w:bidi="ar-SA"/>
        </w:rPr>
        <w:t>表5.4-1 钢柱里氏硬度记录表</w:t>
      </w:r>
      <w:r>
        <w:rPr>
          <w:rFonts w:hint="eastAsia" w:ascii="Times New Roman" w:hAnsi="Times New Roman" w:eastAsia="宋体" w:cs="Times New Roman"/>
          <w:b/>
          <w:color w:val="auto"/>
          <w:kern w:val="2"/>
          <w:sz w:val="21"/>
          <w:szCs w:val="21"/>
          <w:lang w:val="en-US" w:eastAsia="zh-CN" w:bidi="ar-SA"/>
        </w:rPr>
        <w:t>(抽样比例满足鉴定要求)</w:t>
      </w:r>
    </w:p>
    <w:tbl>
      <w:tblPr>
        <w:tblStyle w:val="22"/>
        <w:tblW w:w="889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08"/>
        <w:gridCol w:w="558"/>
        <w:gridCol w:w="641"/>
        <w:gridCol w:w="641"/>
        <w:gridCol w:w="642"/>
        <w:gridCol w:w="641"/>
        <w:gridCol w:w="641"/>
        <w:gridCol w:w="642"/>
        <w:gridCol w:w="641"/>
        <w:gridCol w:w="641"/>
        <w:gridCol w:w="642"/>
        <w:gridCol w:w="709"/>
        <w:gridCol w:w="850"/>
      </w:tblGrid>
      <w:tr w14:paraId="1979D1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30" w:hRule="atLeast"/>
          <w:tblHeader/>
          <w:jc w:val="center"/>
        </w:trPr>
        <w:tc>
          <w:tcPr>
            <w:tcW w:w="1008" w:type="dxa"/>
            <w:vMerge w:val="restart"/>
            <w:vAlign w:val="center"/>
          </w:tcPr>
          <w:p w14:paraId="20F17ED1">
            <w:pPr>
              <w:spacing w:before="0" w:after="0"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轴线</w:t>
            </w:r>
          </w:p>
          <w:p w14:paraId="0669503A">
            <w:pPr>
              <w:spacing w:before="0" w:after="0"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位置</w:t>
            </w:r>
          </w:p>
        </w:tc>
        <w:tc>
          <w:tcPr>
            <w:tcW w:w="558" w:type="dxa"/>
            <w:vMerge w:val="restart"/>
            <w:tcBorders>
              <w:right w:val="single" w:color="auto" w:sz="4" w:space="0"/>
            </w:tcBorders>
            <w:vAlign w:val="center"/>
          </w:tcPr>
          <w:p w14:paraId="06D663C7">
            <w:pPr>
              <w:spacing w:before="0" w:after="0"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测区</w:t>
            </w:r>
          </w:p>
        </w:tc>
        <w:tc>
          <w:tcPr>
            <w:tcW w:w="5772" w:type="dxa"/>
            <w:gridSpan w:val="9"/>
            <w:tcBorders>
              <w:left w:val="single" w:color="auto" w:sz="4" w:space="0"/>
              <w:right w:val="single" w:color="auto" w:sz="4" w:space="0"/>
            </w:tcBorders>
            <w:vAlign w:val="center"/>
          </w:tcPr>
          <w:p w14:paraId="39E9A003">
            <w:pPr>
              <w:spacing w:before="0" w:after="0"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测点里氏硬度测量值（HL）</w:t>
            </w:r>
          </w:p>
        </w:tc>
        <w:tc>
          <w:tcPr>
            <w:tcW w:w="709" w:type="dxa"/>
            <w:vMerge w:val="restart"/>
            <w:tcBorders>
              <w:left w:val="single" w:color="auto" w:sz="4" w:space="0"/>
              <w:right w:val="single" w:color="auto" w:sz="4" w:space="0"/>
            </w:tcBorders>
            <w:vAlign w:val="center"/>
          </w:tcPr>
          <w:p w14:paraId="0A2359D5">
            <w:pPr>
              <w:spacing w:before="0" w:after="0"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均值</w:t>
            </w:r>
          </w:p>
          <w:p w14:paraId="06A718CF">
            <w:pPr>
              <w:spacing w:before="0" w:after="0"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HLm</w:t>
            </w:r>
          </w:p>
        </w:tc>
        <w:tc>
          <w:tcPr>
            <w:tcW w:w="850" w:type="dxa"/>
            <w:vMerge w:val="restart"/>
            <w:tcBorders>
              <w:left w:val="single" w:color="auto" w:sz="4" w:space="0"/>
            </w:tcBorders>
            <w:vAlign w:val="center"/>
          </w:tcPr>
          <w:p w14:paraId="0FEC986A">
            <w:pPr>
              <w:spacing w:before="0" w:after="0"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代表值</w:t>
            </w:r>
          </w:p>
          <w:p w14:paraId="49B82990">
            <w:pPr>
              <w:spacing w:before="0" w:after="0"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HLdm</w:t>
            </w:r>
          </w:p>
        </w:tc>
      </w:tr>
      <w:tr w14:paraId="3B7F21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70" w:hRule="atLeast"/>
          <w:tblHeader/>
          <w:jc w:val="center"/>
        </w:trPr>
        <w:tc>
          <w:tcPr>
            <w:tcW w:w="1008" w:type="dxa"/>
            <w:vMerge w:val="continue"/>
            <w:vAlign w:val="center"/>
          </w:tcPr>
          <w:p w14:paraId="22BFB154">
            <w:pPr>
              <w:spacing w:before="0" w:after="0" w:line="240" w:lineRule="auto"/>
              <w:jc w:val="center"/>
              <w:rPr>
                <w:rFonts w:hint="default" w:ascii="Times New Roman" w:hAnsi="Times New Roman" w:eastAsia="宋体" w:cs="Times New Roman"/>
                <w:color w:val="auto"/>
                <w:sz w:val="21"/>
                <w:szCs w:val="21"/>
              </w:rPr>
            </w:pPr>
          </w:p>
        </w:tc>
        <w:tc>
          <w:tcPr>
            <w:tcW w:w="558" w:type="dxa"/>
            <w:vMerge w:val="continue"/>
            <w:tcBorders>
              <w:right w:val="single" w:color="auto" w:sz="4" w:space="0"/>
            </w:tcBorders>
            <w:vAlign w:val="center"/>
          </w:tcPr>
          <w:p w14:paraId="4805F303">
            <w:pPr>
              <w:spacing w:before="0" w:after="0" w:line="240" w:lineRule="auto"/>
              <w:jc w:val="center"/>
              <w:rPr>
                <w:rFonts w:hint="default" w:ascii="Times New Roman" w:hAnsi="Times New Roman" w:eastAsia="宋体" w:cs="Times New Roman"/>
                <w:color w:val="auto"/>
                <w:sz w:val="21"/>
                <w:szCs w:val="21"/>
              </w:rPr>
            </w:pPr>
          </w:p>
        </w:tc>
        <w:tc>
          <w:tcPr>
            <w:tcW w:w="641" w:type="dxa"/>
            <w:tcBorders>
              <w:left w:val="single" w:color="auto" w:sz="4" w:space="0"/>
              <w:right w:val="single" w:color="auto" w:sz="4" w:space="0"/>
            </w:tcBorders>
            <w:vAlign w:val="center"/>
          </w:tcPr>
          <w:p w14:paraId="3CE8C93D">
            <w:pPr>
              <w:spacing w:before="0" w:after="0"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1</w:t>
            </w:r>
          </w:p>
        </w:tc>
        <w:tc>
          <w:tcPr>
            <w:tcW w:w="641" w:type="dxa"/>
            <w:tcBorders>
              <w:left w:val="single" w:color="auto" w:sz="4" w:space="0"/>
              <w:right w:val="single" w:color="auto" w:sz="4" w:space="0"/>
            </w:tcBorders>
            <w:vAlign w:val="center"/>
          </w:tcPr>
          <w:p w14:paraId="249B193D">
            <w:pPr>
              <w:spacing w:before="0" w:after="0"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2</w:t>
            </w:r>
          </w:p>
        </w:tc>
        <w:tc>
          <w:tcPr>
            <w:tcW w:w="642" w:type="dxa"/>
            <w:tcBorders>
              <w:left w:val="single" w:color="auto" w:sz="4" w:space="0"/>
              <w:right w:val="single" w:color="auto" w:sz="4" w:space="0"/>
            </w:tcBorders>
            <w:vAlign w:val="center"/>
          </w:tcPr>
          <w:p w14:paraId="6E180A56">
            <w:pPr>
              <w:spacing w:before="0" w:after="0"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3</w:t>
            </w:r>
          </w:p>
        </w:tc>
        <w:tc>
          <w:tcPr>
            <w:tcW w:w="641" w:type="dxa"/>
            <w:tcBorders>
              <w:left w:val="single" w:color="auto" w:sz="4" w:space="0"/>
              <w:right w:val="single" w:color="auto" w:sz="4" w:space="0"/>
            </w:tcBorders>
            <w:vAlign w:val="center"/>
          </w:tcPr>
          <w:p w14:paraId="1AEC36C4">
            <w:pPr>
              <w:spacing w:before="0" w:after="0"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4</w:t>
            </w:r>
          </w:p>
        </w:tc>
        <w:tc>
          <w:tcPr>
            <w:tcW w:w="641" w:type="dxa"/>
            <w:tcBorders>
              <w:left w:val="single" w:color="auto" w:sz="4" w:space="0"/>
              <w:right w:val="single" w:color="auto" w:sz="4" w:space="0"/>
            </w:tcBorders>
            <w:vAlign w:val="center"/>
          </w:tcPr>
          <w:p w14:paraId="690B9D2F">
            <w:pPr>
              <w:spacing w:before="0" w:after="0"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5</w:t>
            </w:r>
          </w:p>
        </w:tc>
        <w:tc>
          <w:tcPr>
            <w:tcW w:w="642" w:type="dxa"/>
            <w:tcBorders>
              <w:left w:val="single" w:color="auto" w:sz="4" w:space="0"/>
              <w:right w:val="single" w:color="auto" w:sz="4" w:space="0"/>
            </w:tcBorders>
            <w:vAlign w:val="center"/>
          </w:tcPr>
          <w:p w14:paraId="24184D03">
            <w:pPr>
              <w:spacing w:before="0" w:after="0"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6</w:t>
            </w:r>
          </w:p>
        </w:tc>
        <w:tc>
          <w:tcPr>
            <w:tcW w:w="641" w:type="dxa"/>
            <w:tcBorders>
              <w:left w:val="single" w:color="auto" w:sz="4" w:space="0"/>
              <w:right w:val="single" w:color="auto" w:sz="4" w:space="0"/>
            </w:tcBorders>
            <w:vAlign w:val="center"/>
          </w:tcPr>
          <w:p w14:paraId="1F48B9D8">
            <w:pPr>
              <w:spacing w:before="0" w:after="0"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7</w:t>
            </w:r>
          </w:p>
        </w:tc>
        <w:tc>
          <w:tcPr>
            <w:tcW w:w="641" w:type="dxa"/>
            <w:tcBorders>
              <w:left w:val="single" w:color="auto" w:sz="4" w:space="0"/>
              <w:right w:val="single" w:color="auto" w:sz="4" w:space="0"/>
            </w:tcBorders>
            <w:vAlign w:val="center"/>
          </w:tcPr>
          <w:p w14:paraId="3966CE0D">
            <w:pPr>
              <w:spacing w:before="0" w:after="0"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8</w:t>
            </w:r>
          </w:p>
        </w:tc>
        <w:tc>
          <w:tcPr>
            <w:tcW w:w="642" w:type="dxa"/>
            <w:tcBorders>
              <w:left w:val="single" w:color="auto" w:sz="4" w:space="0"/>
              <w:right w:val="single" w:color="auto" w:sz="4" w:space="0"/>
            </w:tcBorders>
            <w:vAlign w:val="center"/>
          </w:tcPr>
          <w:p w14:paraId="3E0D8A01">
            <w:pPr>
              <w:spacing w:before="0" w:after="0"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9</w:t>
            </w:r>
          </w:p>
        </w:tc>
        <w:tc>
          <w:tcPr>
            <w:tcW w:w="709" w:type="dxa"/>
            <w:vMerge w:val="continue"/>
            <w:tcBorders>
              <w:left w:val="single" w:color="auto" w:sz="4" w:space="0"/>
              <w:right w:val="single" w:color="auto" w:sz="4" w:space="0"/>
            </w:tcBorders>
            <w:vAlign w:val="center"/>
          </w:tcPr>
          <w:p w14:paraId="37576EBE">
            <w:pPr>
              <w:spacing w:before="0" w:after="0" w:line="240" w:lineRule="auto"/>
              <w:jc w:val="center"/>
              <w:rPr>
                <w:rFonts w:hint="default" w:ascii="Times New Roman" w:hAnsi="Times New Roman" w:eastAsia="宋体" w:cs="Times New Roman"/>
                <w:color w:val="auto"/>
                <w:sz w:val="21"/>
                <w:szCs w:val="21"/>
              </w:rPr>
            </w:pPr>
          </w:p>
        </w:tc>
        <w:tc>
          <w:tcPr>
            <w:tcW w:w="850" w:type="dxa"/>
            <w:vMerge w:val="continue"/>
            <w:tcBorders>
              <w:left w:val="single" w:color="auto" w:sz="4" w:space="0"/>
            </w:tcBorders>
            <w:vAlign w:val="center"/>
          </w:tcPr>
          <w:p w14:paraId="1E0F568A">
            <w:pPr>
              <w:spacing w:before="0" w:after="0" w:line="240" w:lineRule="auto"/>
              <w:jc w:val="center"/>
              <w:rPr>
                <w:rFonts w:hint="default" w:ascii="Times New Roman" w:hAnsi="Times New Roman" w:eastAsia="宋体" w:cs="Times New Roman"/>
                <w:color w:val="auto"/>
                <w:sz w:val="21"/>
                <w:szCs w:val="21"/>
              </w:rPr>
            </w:pPr>
          </w:p>
        </w:tc>
      </w:tr>
      <w:tr w14:paraId="0CFA65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1008" w:type="dxa"/>
            <w:vMerge w:val="restart"/>
            <w:vAlign w:val="center"/>
          </w:tcPr>
          <w:p w14:paraId="5AFBC8B2">
            <w:pPr>
              <w:spacing w:before="0" w:after="0" w:line="240" w:lineRule="auto"/>
              <w:jc w:val="center"/>
              <w:rPr>
                <w:rFonts w:hint="default" w:ascii="Times New Roman" w:hAnsi="Times New Roman" w:eastAsia="宋体" w:cs="Times New Roman"/>
                <w:color w:val="auto"/>
                <w:sz w:val="21"/>
                <w:szCs w:val="21"/>
              </w:rPr>
            </w:pPr>
          </w:p>
        </w:tc>
        <w:tc>
          <w:tcPr>
            <w:tcW w:w="558" w:type="dxa"/>
            <w:tcBorders>
              <w:right w:val="single" w:color="auto" w:sz="4" w:space="0"/>
            </w:tcBorders>
            <w:vAlign w:val="center"/>
          </w:tcPr>
          <w:p w14:paraId="0ACA40D3">
            <w:pPr>
              <w:widowControl/>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641" w:type="dxa"/>
            <w:tcBorders>
              <w:left w:val="single" w:color="auto" w:sz="4" w:space="0"/>
              <w:right w:val="single" w:color="auto" w:sz="4" w:space="0"/>
            </w:tcBorders>
            <w:vAlign w:val="center"/>
          </w:tcPr>
          <w:p w14:paraId="60CF2756">
            <w:pPr>
              <w:widowControl/>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641" w:type="dxa"/>
            <w:tcBorders>
              <w:left w:val="single" w:color="auto" w:sz="4" w:space="0"/>
              <w:right w:val="single" w:color="auto" w:sz="4" w:space="0"/>
            </w:tcBorders>
            <w:vAlign w:val="center"/>
          </w:tcPr>
          <w:p w14:paraId="782E2E34">
            <w:pPr>
              <w:widowControl/>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642" w:type="dxa"/>
            <w:tcBorders>
              <w:left w:val="single" w:color="auto" w:sz="4" w:space="0"/>
              <w:right w:val="single" w:color="auto" w:sz="4" w:space="0"/>
            </w:tcBorders>
            <w:vAlign w:val="center"/>
          </w:tcPr>
          <w:p w14:paraId="6B3B364B">
            <w:pPr>
              <w:widowControl/>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641" w:type="dxa"/>
            <w:tcBorders>
              <w:left w:val="single" w:color="auto" w:sz="4" w:space="0"/>
              <w:right w:val="single" w:color="auto" w:sz="4" w:space="0"/>
            </w:tcBorders>
            <w:vAlign w:val="center"/>
          </w:tcPr>
          <w:p w14:paraId="13BF8C60">
            <w:pPr>
              <w:widowControl/>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641" w:type="dxa"/>
            <w:tcBorders>
              <w:left w:val="single" w:color="auto" w:sz="4" w:space="0"/>
              <w:right w:val="single" w:color="auto" w:sz="4" w:space="0"/>
            </w:tcBorders>
            <w:vAlign w:val="center"/>
          </w:tcPr>
          <w:p w14:paraId="2C7C0397">
            <w:pPr>
              <w:widowControl/>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642" w:type="dxa"/>
            <w:tcBorders>
              <w:left w:val="single" w:color="auto" w:sz="4" w:space="0"/>
              <w:right w:val="single" w:color="auto" w:sz="4" w:space="0"/>
            </w:tcBorders>
            <w:vAlign w:val="center"/>
          </w:tcPr>
          <w:p w14:paraId="2F726F40">
            <w:pPr>
              <w:widowControl/>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641" w:type="dxa"/>
            <w:tcBorders>
              <w:left w:val="single" w:color="auto" w:sz="4" w:space="0"/>
              <w:right w:val="single" w:color="auto" w:sz="4" w:space="0"/>
            </w:tcBorders>
            <w:vAlign w:val="center"/>
          </w:tcPr>
          <w:p w14:paraId="674F345B">
            <w:pPr>
              <w:widowControl/>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641" w:type="dxa"/>
            <w:tcBorders>
              <w:left w:val="single" w:color="auto" w:sz="4" w:space="0"/>
              <w:right w:val="single" w:color="auto" w:sz="4" w:space="0"/>
            </w:tcBorders>
            <w:vAlign w:val="center"/>
          </w:tcPr>
          <w:p w14:paraId="0AEEC107">
            <w:pPr>
              <w:widowControl/>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642" w:type="dxa"/>
            <w:tcBorders>
              <w:left w:val="single" w:color="auto" w:sz="4" w:space="0"/>
              <w:right w:val="single" w:color="auto" w:sz="4" w:space="0"/>
            </w:tcBorders>
            <w:vAlign w:val="center"/>
          </w:tcPr>
          <w:p w14:paraId="6AD173A0">
            <w:pPr>
              <w:widowControl/>
              <w:spacing w:before="0" w:after="0" w:line="240" w:lineRule="auto"/>
              <w:jc w:val="center"/>
              <w:rPr>
                <w:rFonts w:hint="default" w:ascii="Times New Roman" w:hAnsi="Times New Roman" w:eastAsia="宋体" w:cs="Times New Roman"/>
                <w:color w:val="auto"/>
                <w:sz w:val="21"/>
                <w:szCs w:val="21"/>
              </w:rPr>
            </w:pPr>
          </w:p>
        </w:tc>
        <w:tc>
          <w:tcPr>
            <w:tcW w:w="709" w:type="dxa"/>
            <w:tcBorders>
              <w:left w:val="single" w:color="auto" w:sz="4" w:space="0"/>
              <w:right w:val="single" w:color="auto" w:sz="4" w:space="0"/>
            </w:tcBorders>
            <w:vAlign w:val="center"/>
          </w:tcPr>
          <w:p w14:paraId="36F00233">
            <w:pPr>
              <w:widowControl/>
              <w:spacing w:before="0" w:after="0" w:line="240" w:lineRule="auto"/>
              <w:jc w:val="center"/>
              <w:rPr>
                <w:rFonts w:hint="default" w:ascii="Times New Roman" w:hAnsi="Times New Roman" w:eastAsia="宋体" w:cs="Times New Roman"/>
                <w:color w:val="auto"/>
                <w:sz w:val="21"/>
                <w:szCs w:val="21"/>
              </w:rPr>
            </w:pPr>
          </w:p>
        </w:tc>
        <w:tc>
          <w:tcPr>
            <w:tcW w:w="850" w:type="dxa"/>
            <w:tcBorders>
              <w:left w:val="single" w:color="auto" w:sz="4" w:space="0"/>
            </w:tcBorders>
            <w:vAlign w:val="center"/>
          </w:tcPr>
          <w:p w14:paraId="00C9E947">
            <w:pPr>
              <w:widowControl/>
              <w:spacing w:before="0" w:after="0" w:line="240" w:lineRule="auto"/>
              <w:jc w:val="center"/>
              <w:rPr>
                <w:rFonts w:hint="default" w:ascii="Times New Roman" w:hAnsi="Times New Roman" w:eastAsia="宋体" w:cs="Times New Roman"/>
                <w:color w:val="auto"/>
                <w:sz w:val="21"/>
                <w:szCs w:val="21"/>
              </w:rPr>
            </w:pPr>
          </w:p>
        </w:tc>
      </w:tr>
      <w:tr w14:paraId="4AEF58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1008" w:type="dxa"/>
            <w:vMerge w:val="continue"/>
            <w:vAlign w:val="center"/>
          </w:tcPr>
          <w:p w14:paraId="0B0C0673">
            <w:pPr>
              <w:spacing w:before="0" w:after="0" w:line="240" w:lineRule="auto"/>
              <w:jc w:val="center"/>
              <w:rPr>
                <w:rFonts w:hint="default" w:ascii="Times New Roman" w:hAnsi="Times New Roman" w:eastAsia="宋体" w:cs="Times New Roman"/>
                <w:color w:val="auto"/>
                <w:sz w:val="21"/>
                <w:szCs w:val="21"/>
              </w:rPr>
            </w:pPr>
          </w:p>
        </w:tc>
        <w:tc>
          <w:tcPr>
            <w:tcW w:w="558" w:type="dxa"/>
            <w:tcBorders>
              <w:right w:val="single" w:color="auto" w:sz="4" w:space="0"/>
            </w:tcBorders>
            <w:vAlign w:val="center"/>
          </w:tcPr>
          <w:p w14:paraId="277F0745">
            <w:pPr>
              <w:widowControl/>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641" w:type="dxa"/>
            <w:tcBorders>
              <w:left w:val="single" w:color="auto" w:sz="4" w:space="0"/>
              <w:right w:val="single" w:color="auto" w:sz="4" w:space="0"/>
            </w:tcBorders>
            <w:vAlign w:val="center"/>
          </w:tcPr>
          <w:p w14:paraId="48E25E3D">
            <w:pPr>
              <w:widowControl/>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641" w:type="dxa"/>
            <w:tcBorders>
              <w:left w:val="single" w:color="auto" w:sz="4" w:space="0"/>
              <w:right w:val="single" w:color="auto" w:sz="4" w:space="0"/>
            </w:tcBorders>
            <w:vAlign w:val="center"/>
          </w:tcPr>
          <w:p w14:paraId="612C07A4">
            <w:pPr>
              <w:widowControl/>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642" w:type="dxa"/>
            <w:tcBorders>
              <w:left w:val="single" w:color="auto" w:sz="4" w:space="0"/>
              <w:right w:val="single" w:color="auto" w:sz="4" w:space="0"/>
            </w:tcBorders>
            <w:vAlign w:val="center"/>
          </w:tcPr>
          <w:p w14:paraId="3F8E8954">
            <w:pPr>
              <w:widowControl/>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641" w:type="dxa"/>
            <w:tcBorders>
              <w:left w:val="single" w:color="auto" w:sz="4" w:space="0"/>
              <w:right w:val="single" w:color="auto" w:sz="4" w:space="0"/>
            </w:tcBorders>
            <w:vAlign w:val="center"/>
          </w:tcPr>
          <w:p w14:paraId="67636A67">
            <w:pPr>
              <w:widowControl/>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641" w:type="dxa"/>
            <w:tcBorders>
              <w:left w:val="single" w:color="auto" w:sz="4" w:space="0"/>
              <w:right w:val="single" w:color="auto" w:sz="4" w:space="0"/>
            </w:tcBorders>
            <w:vAlign w:val="center"/>
          </w:tcPr>
          <w:p w14:paraId="07D8EB9C">
            <w:pPr>
              <w:widowControl/>
              <w:spacing w:before="0" w:after="0" w:line="240" w:lineRule="auto"/>
              <w:jc w:val="center"/>
              <w:rPr>
                <w:rFonts w:hint="default" w:ascii="Times New Roman" w:hAnsi="Times New Roman" w:eastAsia="宋体" w:cs="Times New Roman"/>
                <w:color w:val="auto"/>
                <w:sz w:val="21"/>
                <w:szCs w:val="21"/>
              </w:rPr>
            </w:pPr>
          </w:p>
        </w:tc>
        <w:tc>
          <w:tcPr>
            <w:tcW w:w="642" w:type="dxa"/>
            <w:tcBorders>
              <w:left w:val="single" w:color="auto" w:sz="4" w:space="0"/>
              <w:right w:val="single" w:color="auto" w:sz="4" w:space="0"/>
            </w:tcBorders>
            <w:vAlign w:val="center"/>
          </w:tcPr>
          <w:p w14:paraId="13746FFD">
            <w:pPr>
              <w:widowControl/>
              <w:spacing w:before="0" w:after="0" w:line="240" w:lineRule="auto"/>
              <w:jc w:val="center"/>
              <w:rPr>
                <w:rFonts w:hint="default" w:ascii="Times New Roman" w:hAnsi="Times New Roman" w:eastAsia="宋体" w:cs="Times New Roman"/>
                <w:color w:val="auto"/>
                <w:sz w:val="21"/>
                <w:szCs w:val="21"/>
              </w:rPr>
            </w:pPr>
          </w:p>
        </w:tc>
        <w:tc>
          <w:tcPr>
            <w:tcW w:w="641" w:type="dxa"/>
            <w:tcBorders>
              <w:left w:val="single" w:color="auto" w:sz="4" w:space="0"/>
              <w:right w:val="single" w:color="auto" w:sz="4" w:space="0"/>
            </w:tcBorders>
            <w:vAlign w:val="center"/>
          </w:tcPr>
          <w:p w14:paraId="639154C9">
            <w:pPr>
              <w:widowControl/>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641" w:type="dxa"/>
            <w:tcBorders>
              <w:left w:val="single" w:color="auto" w:sz="4" w:space="0"/>
              <w:right w:val="single" w:color="auto" w:sz="4" w:space="0"/>
            </w:tcBorders>
            <w:vAlign w:val="center"/>
          </w:tcPr>
          <w:p w14:paraId="78008F86">
            <w:pPr>
              <w:widowControl/>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642" w:type="dxa"/>
            <w:tcBorders>
              <w:left w:val="single" w:color="auto" w:sz="4" w:space="0"/>
              <w:right w:val="single" w:color="auto" w:sz="4" w:space="0"/>
            </w:tcBorders>
            <w:vAlign w:val="center"/>
          </w:tcPr>
          <w:p w14:paraId="31DD0682">
            <w:pPr>
              <w:widowControl/>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709" w:type="dxa"/>
            <w:tcBorders>
              <w:left w:val="single" w:color="auto" w:sz="4" w:space="0"/>
              <w:right w:val="single" w:color="auto" w:sz="4" w:space="0"/>
            </w:tcBorders>
            <w:vAlign w:val="center"/>
          </w:tcPr>
          <w:p w14:paraId="4C09121A">
            <w:pPr>
              <w:widowControl/>
              <w:spacing w:before="0" w:after="0" w:line="240" w:lineRule="auto"/>
              <w:jc w:val="center"/>
              <w:rPr>
                <w:rFonts w:hint="default" w:ascii="Times New Roman" w:hAnsi="Times New Roman" w:eastAsia="宋体" w:cs="Times New Roman"/>
                <w:color w:val="auto"/>
                <w:sz w:val="21"/>
                <w:szCs w:val="21"/>
              </w:rPr>
            </w:pPr>
          </w:p>
        </w:tc>
        <w:tc>
          <w:tcPr>
            <w:tcW w:w="850" w:type="dxa"/>
            <w:tcBorders>
              <w:left w:val="single" w:color="auto" w:sz="4" w:space="0"/>
            </w:tcBorders>
            <w:vAlign w:val="center"/>
          </w:tcPr>
          <w:p w14:paraId="542424E6">
            <w:pPr>
              <w:widowControl/>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r>
      <w:tr w14:paraId="0DACB7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1008" w:type="dxa"/>
            <w:vMerge w:val="continue"/>
            <w:vAlign w:val="center"/>
          </w:tcPr>
          <w:p w14:paraId="142F3462">
            <w:pPr>
              <w:spacing w:before="0" w:after="0" w:line="240" w:lineRule="auto"/>
              <w:jc w:val="center"/>
              <w:rPr>
                <w:rFonts w:hint="default" w:ascii="Times New Roman" w:hAnsi="Times New Roman" w:eastAsia="宋体" w:cs="Times New Roman"/>
                <w:color w:val="auto"/>
                <w:sz w:val="21"/>
                <w:szCs w:val="21"/>
              </w:rPr>
            </w:pPr>
          </w:p>
        </w:tc>
        <w:tc>
          <w:tcPr>
            <w:tcW w:w="558" w:type="dxa"/>
            <w:tcBorders>
              <w:right w:val="single" w:color="auto" w:sz="4" w:space="0"/>
            </w:tcBorders>
            <w:vAlign w:val="center"/>
          </w:tcPr>
          <w:p w14:paraId="0EDDBCF7">
            <w:pPr>
              <w:widowControl/>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641" w:type="dxa"/>
            <w:tcBorders>
              <w:left w:val="single" w:color="auto" w:sz="4" w:space="0"/>
              <w:right w:val="single" w:color="auto" w:sz="4" w:space="0"/>
            </w:tcBorders>
            <w:vAlign w:val="center"/>
          </w:tcPr>
          <w:p w14:paraId="6ED2347E">
            <w:pPr>
              <w:widowControl/>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641" w:type="dxa"/>
            <w:tcBorders>
              <w:left w:val="single" w:color="auto" w:sz="4" w:space="0"/>
              <w:right w:val="single" w:color="auto" w:sz="4" w:space="0"/>
            </w:tcBorders>
            <w:vAlign w:val="center"/>
          </w:tcPr>
          <w:p w14:paraId="2FDC132E">
            <w:pPr>
              <w:widowControl/>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642" w:type="dxa"/>
            <w:tcBorders>
              <w:left w:val="single" w:color="auto" w:sz="4" w:space="0"/>
              <w:right w:val="single" w:color="auto" w:sz="4" w:space="0"/>
            </w:tcBorders>
            <w:vAlign w:val="center"/>
          </w:tcPr>
          <w:p w14:paraId="081AA409">
            <w:pPr>
              <w:widowControl/>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641" w:type="dxa"/>
            <w:tcBorders>
              <w:left w:val="single" w:color="auto" w:sz="4" w:space="0"/>
              <w:right w:val="single" w:color="auto" w:sz="4" w:space="0"/>
            </w:tcBorders>
            <w:vAlign w:val="center"/>
          </w:tcPr>
          <w:p w14:paraId="4957BFFE">
            <w:pPr>
              <w:widowControl/>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641" w:type="dxa"/>
            <w:tcBorders>
              <w:left w:val="single" w:color="auto" w:sz="4" w:space="0"/>
              <w:right w:val="single" w:color="auto" w:sz="4" w:space="0"/>
            </w:tcBorders>
            <w:vAlign w:val="center"/>
          </w:tcPr>
          <w:p w14:paraId="00A3B6C1">
            <w:pPr>
              <w:widowControl/>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642" w:type="dxa"/>
            <w:tcBorders>
              <w:left w:val="single" w:color="auto" w:sz="4" w:space="0"/>
              <w:right w:val="single" w:color="auto" w:sz="4" w:space="0"/>
            </w:tcBorders>
            <w:vAlign w:val="center"/>
          </w:tcPr>
          <w:p w14:paraId="74535C17">
            <w:pPr>
              <w:widowControl/>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641" w:type="dxa"/>
            <w:tcBorders>
              <w:left w:val="single" w:color="auto" w:sz="4" w:space="0"/>
              <w:right w:val="single" w:color="auto" w:sz="4" w:space="0"/>
            </w:tcBorders>
            <w:vAlign w:val="center"/>
          </w:tcPr>
          <w:p w14:paraId="7E412299">
            <w:pPr>
              <w:widowControl/>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641" w:type="dxa"/>
            <w:tcBorders>
              <w:left w:val="single" w:color="auto" w:sz="4" w:space="0"/>
              <w:right w:val="single" w:color="auto" w:sz="4" w:space="0"/>
            </w:tcBorders>
            <w:vAlign w:val="center"/>
          </w:tcPr>
          <w:p w14:paraId="6E620871">
            <w:pPr>
              <w:widowControl/>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642" w:type="dxa"/>
            <w:tcBorders>
              <w:left w:val="single" w:color="auto" w:sz="4" w:space="0"/>
              <w:right w:val="single" w:color="auto" w:sz="4" w:space="0"/>
            </w:tcBorders>
            <w:vAlign w:val="center"/>
          </w:tcPr>
          <w:p w14:paraId="5F9FF943">
            <w:pPr>
              <w:widowControl/>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709" w:type="dxa"/>
            <w:tcBorders>
              <w:left w:val="single" w:color="auto" w:sz="4" w:space="0"/>
              <w:right w:val="single" w:color="auto" w:sz="4" w:space="0"/>
            </w:tcBorders>
            <w:vAlign w:val="center"/>
          </w:tcPr>
          <w:p w14:paraId="0BB8225D">
            <w:pPr>
              <w:widowControl/>
              <w:spacing w:before="0" w:after="0" w:line="240" w:lineRule="auto"/>
              <w:jc w:val="center"/>
              <w:rPr>
                <w:rFonts w:hint="default" w:ascii="Times New Roman" w:hAnsi="Times New Roman" w:eastAsia="宋体" w:cs="Times New Roman"/>
                <w:color w:val="auto"/>
                <w:sz w:val="21"/>
                <w:szCs w:val="21"/>
              </w:rPr>
            </w:pPr>
          </w:p>
        </w:tc>
        <w:tc>
          <w:tcPr>
            <w:tcW w:w="850" w:type="dxa"/>
            <w:tcBorders>
              <w:left w:val="single" w:color="auto" w:sz="4" w:space="0"/>
            </w:tcBorders>
            <w:vAlign w:val="center"/>
          </w:tcPr>
          <w:p w14:paraId="4A45708E">
            <w:pPr>
              <w:widowControl/>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r>
      <w:tr w14:paraId="5796EA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1008" w:type="dxa"/>
            <w:vMerge w:val="restart"/>
            <w:vAlign w:val="center"/>
          </w:tcPr>
          <w:p w14:paraId="49C29BEA">
            <w:pPr>
              <w:spacing w:before="0" w:after="0" w:line="240" w:lineRule="auto"/>
              <w:jc w:val="center"/>
              <w:rPr>
                <w:rFonts w:hint="default" w:ascii="Times New Roman" w:hAnsi="Times New Roman" w:eastAsia="宋体" w:cs="Times New Roman"/>
                <w:color w:val="auto"/>
                <w:sz w:val="21"/>
                <w:szCs w:val="21"/>
              </w:rPr>
            </w:pPr>
          </w:p>
        </w:tc>
        <w:tc>
          <w:tcPr>
            <w:tcW w:w="558" w:type="dxa"/>
            <w:tcBorders>
              <w:right w:val="single" w:color="auto" w:sz="4" w:space="0"/>
            </w:tcBorders>
            <w:vAlign w:val="center"/>
          </w:tcPr>
          <w:p w14:paraId="3CE6B0E7">
            <w:pPr>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641" w:type="dxa"/>
            <w:tcBorders>
              <w:left w:val="single" w:color="auto" w:sz="4" w:space="0"/>
              <w:right w:val="single" w:color="auto" w:sz="4" w:space="0"/>
            </w:tcBorders>
            <w:vAlign w:val="center"/>
          </w:tcPr>
          <w:p w14:paraId="7498537B">
            <w:pPr>
              <w:widowControl/>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641" w:type="dxa"/>
            <w:tcBorders>
              <w:left w:val="single" w:color="auto" w:sz="4" w:space="0"/>
              <w:right w:val="single" w:color="auto" w:sz="4" w:space="0"/>
            </w:tcBorders>
            <w:vAlign w:val="center"/>
          </w:tcPr>
          <w:p w14:paraId="28926F2F">
            <w:pPr>
              <w:widowControl/>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642" w:type="dxa"/>
            <w:tcBorders>
              <w:left w:val="single" w:color="auto" w:sz="4" w:space="0"/>
              <w:right w:val="single" w:color="auto" w:sz="4" w:space="0"/>
            </w:tcBorders>
            <w:vAlign w:val="center"/>
          </w:tcPr>
          <w:p w14:paraId="5CBAD26A">
            <w:pPr>
              <w:widowControl/>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641" w:type="dxa"/>
            <w:tcBorders>
              <w:left w:val="single" w:color="auto" w:sz="4" w:space="0"/>
              <w:right w:val="single" w:color="auto" w:sz="4" w:space="0"/>
            </w:tcBorders>
            <w:vAlign w:val="center"/>
          </w:tcPr>
          <w:p w14:paraId="20CCF4FA">
            <w:pPr>
              <w:widowControl/>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641" w:type="dxa"/>
            <w:tcBorders>
              <w:left w:val="single" w:color="auto" w:sz="4" w:space="0"/>
              <w:right w:val="single" w:color="auto" w:sz="4" w:space="0"/>
            </w:tcBorders>
            <w:vAlign w:val="center"/>
          </w:tcPr>
          <w:p w14:paraId="4E37F373">
            <w:pPr>
              <w:widowControl/>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642" w:type="dxa"/>
            <w:tcBorders>
              <w:left w:val="single" w:color="auto" w:sz="4" w:space="0"/>
              <w:right w:val="single" w:color="auto" w:sz="4" w:space="0"/>
            </w:tcBorders>
            <w:vAlign w:val="center"/>
          </w:tcPr>
          <w:p w14:paraId="1AE6B704">
            <w:pPr>
              <w:widowControl/>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641" w:type="dxa"/>
            <w:tcBorders>
              <w:left w:val="single" w:color="auto" w:sz="4" w:space="0"/>
              <w:right w:val="single" w:color="auto" w:sz="4" w:space="0"/>
            </w:tcBorders>
            <w:vAlign w:val="center"/>
          </w:tcPr>
          <w:p w14:paraId="5CD7EA2E">
            <w:pPr>
              <w:widowControl/>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641" w:type="dxa"/>
            <w:tcBorders>
              <w:left w:val="single" w:color="auto" w:sz="4" w:space="0"/>
              <w:right w:val="single" w:color="auto" w:sz="4" w:space="0"/>
            </w:tcBorders>
            <w:vAlign w:val="center"/>
          </w:tcPr>
          <w:p w14:paraId="497253DC">
            <w:pPr>
              <w:widowControl/>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642" w:type="dxa"/>
            <w:tcBorders>
              <w:left w:val="single" w:color="auto" w:sz="4" w:space="0"/>
              <w:right w:val="single" w:color="auto" w:sz="4" w:space="0"/>
            </w:tcBorders>
            <w:vAlign w:val="center"/>
          </w:tcPr>
          <w:p w14:paraId="05D91856">
            <w:pPr>
              <w:widowControl/>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709" w:type="dxa"/>
            <w:tcBorders>
              <w:left w:val="single" w:color="auto" w:sz="4" w:space="0"/>
              <w:right w:val="single" w:color="auto" w:sz="4" w:space="0"/>
            </w:tcBorders>
            <w:vAlign w:val="center"/>
          </w:tcPr>
          <w:p w14:paraId="11B911F6">
            <w:pPr>
              <w:widowControl/>
              <w:spacing w:before="0" w:after="0" w:line="240" w:lineRule="auto"/>
              <w:jc w:val="center"/>
              <w:rPr>
                <w:rFonts w:hint="default" w:ascii="Times New Roman" w:hAnsi="Times New Roman" w:eastAsia="宋体" w:cs="Times New Roman"/>
                <w:color w:val="auto"/>
                <w:sz w:val="21"/>
                <w:szCs w:val="21"/>
              </w:rPr>
            </w:pPr>
          </w:p>
        </w:tc>
        <w:tc>
          <w:tcPr>
            <w:tcW w:w="850" w:type="dxa"/>
            <w:tcBorders>
              <w:left w:val="single" w:color="auto" w:sz="4" w:space="0"/>
            </w:tcBorders>
            <w:vAlign w:val="center"/>
          </w:tcPr>
          <w:p w14:paraId="65D1A945">
            <w:pPr>
              <w:widowControl/>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r>
      <w:tr w14:paraId="2BE8D9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1008" w:type="dxa"/>
            <w:vMerge w:val="continue"/>
            <w:vAlign w:val="center"/>
          </w:tcPr>
          <w:p w14:paraId="39D18474">
            <w:pPr>
              <w:spacing w:before="0" w:after="0" w:line="240" w:lineRule="auto"/>
              <w:jc w:val="center"/>
              <w:rPr>
                <w:rFonts w:hint="default" w:ascii="Times New Roman" w:hAnsi="Times New Roman" w:eastAsia="宋体" w:cs="Times New Roman"/>
                <w:color w:val="auto"/>
                <w:sz w:val="21"/>
                <w:szCs w:val="21"/>
              </w:rPr>
            </w:pPr>
          </w:p>
        </w:tc>
        <w:tc>
          <w:tcPr>
            <w:tcW w:w="558" w:type="dxa"/>
            <w:tcBorders>
              <w:right w:val="single" w:color="auto" w:sz="4" w:space="0"/>
            </w:tcBorders>
            <w:vAlign w:val="center"/>
          </w:tcPr>
          <w:p w14:paraId="03A44227">
            <w:pPr>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641" w:type="dxa"/>
            <w:tcBorders>
              <w:left w:val="single" w:color="auto" w:sz="4" w:space="0"/>
              <w:right w:val="single" w:color="auto" w:sz="4" w:space="0"/>
            </w:tcBorders>
            <w:vAlign w:val="center"/>
          </w:tcPr>
          <w:p w14:paraId="52A841A4">
            <w:pPr>
              <w:widowControl/>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641" w:type="dxa"/>
            <w:tcBorders>
              <w:left w:val="single" w:color="auto" w:sz="4" w:space="0"/>
              <w:right w:val="single" w:color="auto" w:sz="4" w:space="0"/>
            </w:tcBorders>
            <w:vAlign w:val="center"/>
          </w:tcPr>
          <w:p w14:paraId="5B6438BA">
            <w:pPr>
              <w:widowControl/>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642" w:type="dxa"/>
            <w:tcBorders>
              <w:left w:val="single" w:color="auto" w:sz="4" w:space="0"/>
              <w:right w:val="single" w:color="auto" w:sz="4" w:space="0"/>
            </w:tcBorders>
            <w:vAlign w:val="center"/>
          </w:tcPr>
          <w:p w14:paraId="4E15149B">
            <w:pPr>
              <w:widowControl/>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641" w:type="dxa"/>
            <w:tcBorders>
              <w:left w:val="single" w:color="auto" w:sz="4" w:space="0"/>
              <w:right w:val="single" w:color="auto" w:sz="4" w:space="0"/>
            </w:tcBorders>
            <w:vAlign w:val="center"/>
          </w:tcPr>
          <w:p w14:paraId="2FF0F654">
            <w:pPr>
              <w:widowControl/>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641" w:type="dxa"/>
            <w:tcBorders>
              <w:left w:val="single" w:color="auto" w:sz="4" w:space="0"/>
              <w:right w:val="single" w:color="auto" w:sz="4" w:space="0"/>
            </w:tcBorders>
            <w:vAlign w:val="center"/>
          </w:tcPr>
          <w:p w14:paraId="51C485A5">
            <w:pPr>
              <w:widowControl/>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642" w:type="dxa"/>
            <w:tcBorders>
              <w:left w:val="single" w:color="auto" w:sz="4" w:space="0"/>
              <w:right w:val="single" w:color="auto" w:sz="4" w:space="0"/>
            </w:tcBorders>
            <w:vAlign w:val="center"/>
          </w:tcPr>
          <w:p w14:paraId="0A79B84C">
            <w:pPr>
              <w:widowControl/>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641" w:type="dxa"/>
            <w:tcBorders>
              <w:left w:val="single" w:color="auto" w:sz="4" w:space="0"/>
              <w:right w:val="single" w:color="auto" w:sz="4" w:space="0"/>
            </w:tcBorders>
            <w:vAlign w:val="center"/>
          </w:tcPr>
          <w:p w14:paraId="47478D68">
            <w:pPr>
              <w:widowControl/>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641" w:type="dxa"/>
            <w:tcBorders>
              <w:left w:val="single" w:color="auto" w:sz="4" w:space="0"/>
              <w:right w:val="single" w:color="auto" w:sz="4" w:space="0"/>
            </w:tcBorders>
            <w:vAlign w:val="center"/>
          </w:tcPr>
          <w:p w14:paraId="354642CD">
            <w:pPr>
              <w:widowControl/>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642" w:type="dxa"/>
            <w:tcBorders>
              <w:left w:val="single" w:color="auto" w:sz="4" w:space="0"/>
              <w:right w:val="single" w:color="auto" w:sz="4" w:space="0"/>
            </w:tcBorders>
            <w:vAlign w:val="center"/>
          </w:tcPr>
          <w:p w14:paraId="734C9D57">
            <w:pPr>
              <w:widowControl/>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709" w:type="dxa"/>
            <w:tcBorders>
              <w:left w:val="single" w:color="auto" w:sz="4" w:space="0"/>
              <w:right w:val="single" w:color="auto" w:sz="4" w:space="0"/>
            </w:tcBorders>
            <w:vAlign w:val="center"/>
          </w:tcPr>
          <w:p w14:paraId="278436F0">
            <w:pPr>
              <w:widowControl/>
              <w:spacing w:before="0" w:after="0" w:line="240" w:lineRule="auto"/>
              <w:jc w:val="center"/>
              <w:rPr>
                <w:rFonts w:hint="default" w:ascii="Times New Roman" w:hAnsi="Times New Roman" w:eastAsia="宋体" w:cs="Times New Roman"/>
                <w:color w:val="auto"/>
                <w:sz w:val="21"/>
                <w:szCs w:val="21"/>
              </w:rPr>
            </w:pPr>
          </w:p>
        </w:tc>
        <w:tc>
          <w:tcPr>
            <w:tcW w:w="850" w:type="dxa"/>
            <w:tcBorders>
              <w:left w:val="single" w:color="auto" w:sz="4" w:space="0"/>
            </w:tcBorders>
            <w:vAlign w:val="center"/>
          </w:tcPr>
          <w:p w14:paraId="4A8EA2BE">
            <w:pPr>
              <w:widowControl/>
              <w:spacing w:before="0" w:after="0" w:line="240" w:lineRule="auto"/>
              <w:jc w:val="center"/>
              <w:rPr>
                <w:rFonts w:hint="default" w:ascii="Times New Roman" w:hAnsi="Times New Roman" w:eastAsia="宋体" w:cs="Times New Roman"/>
                <w:color w:val="auto"/>
                <w:sz w:val="21"/>
                <w:szCs w:val="21"/>
              </w:rPr>
            </w:pPr>
          </w:p>
        </w:tc>
      </w:tr>
      <w:tr w14:paraId="39BA69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1008" w:type="dxa"/>
            <w:vMerge w:val="continue"/>
            <w:vAlign w:val="center"/>
          </w:tcPr>
          <w:p w14:paraId="187DE7DF">
            <w:pPr>
              <w:spacing w:before="0" w:after="0" w:line="240" w:lineRule="auto"/>
              <w:jc w:val="center"/>
              <w:rPr>
                <w:rFonts w:hint="default" w:ascii="Times New Roman" w:hAnsi="Times New Roman" w:eastAsia="宋体" w:cs="Times New Roman"/>
                <w:color w:val="auto"/>
                <w:sz w:val="21"/>
                <w:szCs w:val="21"/>
              </w:rPr>
            </w:pPr>
          </w:p>
        </w:tc>
        <w:tc>
          <w:tcPr>
            <w:tcW w:w="558" w:type="dxa"/>
            <w:tcBorders>
              <w:right w:val="single" w:color="auto" w:sz="4" w:space="0"/>
            </w:tcBorders>
            <w:vAlign w:val="center"/>
          </w:tcPr>
          <w:p w14:paraId="55D682D0">
            <w:pPr>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641" w:type="dxa"/>
            <w:tcBorders>
              <w:left w:val="single" w:color="auto" w:sz="4" w:space="0"/>
              <w:right w:val="single" w:color="auto" w:sz="4" w:space="0"/>
            </w:tcBorders>
            <w:vAlign w:val="center"/>
          </w:tcPr>
          <w:p w14:paraId="0FE9034F">
            <w:pPr>
              <w:widowControl/>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641" w:type="dxa"/>
            <w:tcBorders>
              <w:left w:val="single" w:color="auto" w:sz="4" w:space="0"/>
              <w:right w:val="single" w:color="auto" w:sz="4" w:space="0"/>
            </w:tcBorders>
            <w:vAlign w:val="center"/>
          </w:tcPr>
          <w:p w14:paraId="33BC2B6C">
            <w:pPr>
              <w:widowControl/>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642" w:type="dxa"/>
            <w:tcBorders>
              <w:left w:val="single" w:color="auto" w:sz="4" w:space="0"/>
              <w:right w:val="single" w:color="auto" w:sz="4" w:space="0"/>
            </w:tcBorders>
            <w:vAlign w:val="center"/>
          </w:tcPr>
          <w:p w14:paraId="243AA459">
            <w:pPr>
              <w:widowControl/>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641" w:type="dxa"/>
            <w:tcBorders>
              <w:left w:val="single" w:color="auto" w:sz="4" w:space="0"/>
              <w:right w:val="single" w:color="auto" w:sz="4" w:space="0"/>
            </w:tcBorders>
            <w:vAlign w:val="center"/>
          </w:tcPr>
          <w:p w14:paraId="750E273D">
            <w:pPr>
              <w:widowControl/>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641" w:type="dxa"/>
            <w:tcBorders>
              <w:left w:val="single" w:color="auto" w:sz="4" w:space="0"/>
              <w:right w:val="single" w:color="auto" w:sz="4" w:space="0"/>
            </w:tcBorders>
            <w:vAlign w:val="center"/>
          </w:tcPr>
          <w:p w14:paraId="2341760C">
            <w:pPr>
              <w:widowControl/>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642" w:type="dxa"/>
            <w:tcBorders>
              <w:left w:val="single" w:color="auto" w:sz="4" w:space="0"/>
              <w:right w:val="single" w:color="auto" w:sz="4" w:space="0"/>
            </w:tcBorders>
            <w:vAlign w:val="center"/>
          </w:tcPr>
          <w:p w14:paraId="59D8006A">
            <w:pPr>
              <w:widowControl/>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641" w:type="dxa"/>
            <w:tcBorders>
              <w:left w:val="single" w:color="auto" w:sz="4" w:space="0"/>
              <w:right w:val="single" w:color="auto" w:sz="4" w:space="0"/>
            </w:tcBorders>
            <w:vAlign w:val="center"/>
          </w:tcPr>
          <w:p w14:paraId="5E8EBE3C">
            <w:pPr>
              <w:widowControl/>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641" w:type="dxa"/>
            <w:tcBorders>
              <w:left w:val="single" w:color="auto" w:sz="4" w:space="0"/>
              <w:right w:val="single" w:color="auto" w:sz="4" w:space="0"/>
            </w:tcBorders>
            <w:vAlign w:val="center"/>
          </w:tcPr>
          <w:p w14:paraId="5B176205">
            <w:pPr>
              <w:widowControl/>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642" w:type="dxa"/>
            <w:tcBorders>
              <w:left w:val="single" w:color="auto" w:sz="4" w:space="0"/>
              <w:right w:val="single" w:color="auto" w:sz="4" w:space="0"/>
            </w:tcBorders>
            <w:vAlign w:val="center"/>
          </w:tcPr>
          <w:p w14:paraId="019EBDE9">
            <w:pPr>
              <w:widowControl/>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709" w:type="dxa"/>
            <w:tcBorders>
              <w:left w:val="single" w:color="auto" w:sz="4" w:space="0"/>
              <w:right w:val="single" w:color="auto" w:sz="4" w:space="0"/>
            </w:tcBorders>
            <w:vAlign w:val="center"/>
          </w:tcPr>
          <w:p w14:paraId="6468F3FE">
            <w:pPr>
              <w:widowControl/>
              <w:spacing w:before="0" w:after="0" w:line="240" w:lineRule="auto"/>
              <w:jc w:val="center"/>
              <w:rPr>
                <w:rFonts w:hint="default" w:ascii="Times New Roman" w:hAnsi="Times New Roman" w:eastAsia="宋体" w:cs="Times New Roman"/>
                <w:color w:val="auto"/>
                <w:sz w:val="21"/>
                <w:szCs w:val="21"/>
              </w:rPr>
            </w:pPr>
          </w:p>
        </w:tc>
        <w:tc>
          <w:tcPr>
            <w:tcW w:w="850" w:type="dxa"/>
            <w:tcBorders>
              <w:left w:val="single" w:color="auto" w:sz="4" w:space="0"/>
            </w:tcBorders>
            <w:vAlign w:val="center"/>
          </w:tcPr>
          <w:p w14:paraId="5B7D15D1">
            <w:pPr>
              <w:widowControl/>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r>
    </w:tbl>
    <w:p w14:paraId="6AB12702">
      <w:pPr>
        <w:widowControl w:val="0"/>
        <w:snapToGrid w:val="0"/>
        <w:spacing w:before="0" w:after="0" w:line="240" w:lineRule="auto"/>
        <w:ind w:firstLine="0" w:firstLineChars="0"/>
        <w:jc w:val="both"/>
        <w:rPr>
          <w:rFonts w:hint="default" w:ascii="Times New Roman" w:hAnsi="Times New Roman" w:eastAsia="宋体" w:cs="Times New Roman"/>
          <w:b/>
          <w:color w:val="auto"/>
          <w:kern w:val="2"/>
          <w:sz w:val="24"/>
          <w:szCs w:val="21"/>
          <w:lang w:val="zh-CN" w:eastAsia="zh-CN" w:bidi="ar-SA"/>
        </w:rPr>
      </w:pPr>
    </w:p>
    <w:p w14:paraId="683C5087">
      <w:pPr>
        <w:widowControl w:val="0"/>
        <w:snapToGrid w:val="0"/>
        <w:spacing w:before="0" w:after="0" w:line="240" w:lineRule="auto"/>
        <w:ind w:firstLine="0" w:firstLineChars="0"/>
        <w:jc w:val="center"/>
        <w:rPr>
          <w:rFonts w:hint="default" w:ascii="Times New Roman" w:hAnsi="Times New Roman" w:eastAsia="宋体" w:cs="Times New Roman"/>
          <w:b/>
          <w:color w:val="auto"/>
          <w:kern w:val="2"/>
          <w:sz w:val="21"/>
          <w:szCs w:val="21"/>
          <w:lang w:val="zh-CN" w:eastAsia="zh-CN" w:bidi="ar-SA"/>
        </w:rPr>
      </w:pPr>
      <w:r>
        <w:rPr>
          <w:rFonts w:hint="default" w:ascii="Times New Roman" w:hAnsi="Times New Roman" w:eastAsia="宋体" w:cs="Times New Roman"/>
          <w:b/>
          <w:color w:val="auto"/>
          <w:kern w:val="2"/>
          <w:sz w:val="21"/>
          <w:szCs w:val="21"/>
          <w:lang w:val="zh-CN" w:eastAsia="zh-CN" w:bidi="ar-SA"/>
        </w:rPr>
        <w:t>表5.4-2 钢柱强度等级</w:t>
      </w:r>
    </w:p>
    <w:tbl>
      <w:tblPr>
        <w:tblStyle w:val="22"/>
        <w:tblW w:w="893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98"/>
        <w:gridCol w:w="1842"/>
        <w:gridCol w:w="1843"/>
        <w:gridCol w:w="1843"/>
        <w:gridCol w:w="1134"/>
        <w:gridCol w:w="1071"/>
      </w:tblGrid>
      <w:tr w14:paraId="39C6B0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33" w:hRule="atLeast"/>
          <w:tblHeader/>
          <w:jc w:val="center"/>
        </w:trPr>
        <w:tc>
          <w:tcPr>
            <w:tcW w:w="1198" w:type="dxa"/>
            <w:vMerge w:val="restart"/>
            <w:vAlign w:val="center"/>
          </w:tcPr>
          <w:p w14:paraId="534BFC3A">
            <w:pPr>
              <w:spacing w:before="0" w:after="0" w:line="32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轴线</w:t>
            </w:r>
          </w:p>
          <w:p w14:paraId="1C2470D8">
            <w:pPr>
              <w:spacing w:before="0" w:after="0" w:line="32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位置</w:t>
            </w:r>
          </w:p>
        </w:tc>
        <w:tc>
          <w:tcPr>
            <w:tcW w:w="5528" w:type="dxa"/>
            <w:gridSpan w:val="3"/>
            <w:tcBorders>
              <w:bottom w:val="single" w:color="auto" w:sz="4" w:space="0"/>
              <w:right w:val="single" w:color="auto" w:sz="4" w:space="0"/>
            </w:tcBorders>
            <w:vAlign w:val="center"/>
          </w:tcPr>
          <w:p w14:paraId="360F3847">
            <w:pPr>
              <w:spacing w:before="0" w:after="0" w:line="32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测区抗拉强度最小值</w:t>
            </w:r>
          </w:p>
          <w:p w14:paraId="3D71418E">
            <w:pPr>
              <w:spacing w:before="0" w:after="0" w:line="32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 xml:space="preserve"> N/mm² </w:t>
            </w:r>
          </w:p>
        </w:tc>
        <w:tc>
          <w:tcPr>
            <w:tcW w:w="1134" w:type="dxa"/>
            <w:vMerge w:val="restart"/>
            <w:tcBorders>
              <w:left w:val="single" w:color="auto" w:sz="4" w:space="0"/>
              <w:right w:val="single" w:color="auto" w:sz="4" w:space="0"/>
            </w:tcBorders>
            <w:vAlign w:val="center"/>
          </w:tcPr>
          <w:p w14:paraId="14F74A97">
            <w:pPr>
              <w:spacing w:before="0" w:after="0" w:line="32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特征值</w:t>
            </w:r>
          </w:p>
          <w:p w14:paraId="5C579BF0">
            <w:pPr>
              <w:spacing w:before="0" w:after="0" w:line="32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 xml:space="preserve"> N/mm²</w:t>
            </w:r>
          </w:p>
        </w:tc>
        <w:tc>
          <w:tcPr>
            <w:tcW w:w="1071" w:type="dxa"/>
            <w:vMerge w:val="restart"/>
            <w:tcBorders>
              <w:left w:val="single" w:color="auto" w:sz="4" w:space="0"/>
            </w:tcBorders>
            <w:vAlign w:val="center"/>
          </w:tcPr>
          <w:p w14:paraId="5932D146">
            <w:pPr>
              <w:spacing w:before="0" w:after="0" w:line="32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特征值</w:t>
            </w:r>
          </w:p>
          <w:p w14:paraId="7E5B1116">
            <w:pPr>
              <w:spacing w:before="0" w:after="0" w:line="32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平均值</w:t>
            </w:r>
          </w:p>
          <w:p w14:paraId="76DA1BDE">
            <w:pPr>
              <w:spacing w:before="0" w:after="0" w:line="32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N/mm²</w:t>
            </w:r>
          </w:p>
        </w:tc>
      </w:tr>
      <w:tr w14:paraId="6EC981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91" w:hRule="atLeast"/>
          <w:tblHeader/>
          <w:jc w:val="center"/>
        </w:trPr>
        <w:tc>
          <w:tcPr>
            <w:tcW w:w="1198" w:type="dxa"/>
            <w:vMerge w:val="continue"/>
            <w:vAlign w:val="center"/>
          </w:tcPr>
          <w:p w14:paraId="13C358E0">
            <w:pPr>
              <w:spacing w:before="120" w:after="120" w:line="360" w:lineRule="auto"/>
              <w:jc w:val="center"/>
              <w:rPr>
                <w:rFonts w:hint="default" w:ascii="Times New Roman" w:hAnsi="Times New Roman" w:eastAsia="宋体" w:cs="Times New Roman"/>
                <w:color w:val="auto"/>
                <w:sz w:val="21"/>
                <w:szCs w:val="21"/>
              </w:rPr>
            </w:pPr>
          </w:p>
        </w:tc>
        <w:tc>
          <w:tcPr>
            <w:tcW w:w="1842" w:type="dxa"/>
            <w:tcBorders>
              <w:top w:val="single" w:color="auto" w:sz="4" w:space="0"/>
              <w:right w:val="single" w:color="auto" w:sz="4" w:space="0"/>
            </w:tcBorders>
            <w:vAlign w:val="center"/>
          </w:tcPr>
          <w:p w14:paraId="4B4DFA54">
            <w:pPr>
              <w:spacing w:before="0" w:after="0" w:line="32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1</w:t>
            </w:r>
          </w:p>
        </w:tc>
        <w:tc>
          <w:tcPr>
            <w:tcW w:w="1843" w:type="dxa"/>
            <w:tcBorders>
              <w:top w:val="single" w:color="auto" w:sz="4" w:space="0"/>
              <w:right w:val="single" w:color="auto" w:sz="4" w:space="0"/>
            </w:tcBorders>
            <w:vAlign w:val="center"/>
          </w:tcPr>
          <w:p w14:paraId="1E5E9B09">
            <w:pPr>
              <w:spacing w:before="0" w:after="0" w:line="32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2</w:t>
            </w:r>
          </w:p>
        </w:tc>
        <w:tc>
          <w:tcPr>
            <w:tcW w:w="1843" w:type="dxa"/>
            <w:tcBorders>
              <w:top w:val="single" w:color="auto" w:sz="4" w:space="0"/>
              <w:right w:val="single" w:color="auto" w:sz="4" w:space="0"/>
            </w:tcBorders>
            <w:vAlign w:val="center"/>
          </w:tcPr>
          <w:p w14:paraId="4679E000">
            <w:pPr>
              <w:spacing w:before="0" w:after="0" w:line="32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3</w:t>
            </w:r>
          </w:p>
        </w:tc>
        <w:tc>
          <w:tcPr>
            <w:tcW w:w="1134" w:type="dxa"/>
            <w:vMerge w:val="continue"/>
            <w:tcBorders>
              <w:left w:val="single" w:color="auto" w:sz="4" w:space="0"/>
              <w:right w:val="single" w:color="auto" w:sz="4" w:space="0"/>
            </w:tcBorders>
            <w:vAlign w:val="center"/>
          </w:tcPr>
          <w:p w14:paraId="23897D96">
            <w:pPr>
              <w:spacing w:before="120" w:after="120" w:line="360" w:lineRule="auto"/>
              <w:jc w:val="center"/>
              <w:rPr>
                <w:rFonts w:hint="default" w:ascii="Times New Roman" w:hAnsi="Times New Roman" w:eastAsia="宋体" w:cs="Times New Roman"/>
                <w:color w:val="auto"/>
                <w:sz w:val="21"/>
                <w:szCs w:val="21"/>
              </w:rPr>
            </w:pPr>
          </w:p>
        </w:tc>
        <w:tc>
          <w:tcPr>
            <w:tcW w:w="1071" w:type="dxa"/>
            <w:vMerge w:val="continue"/>
            <w:tcBorders>
              <w:left w:val="single" w:color="auto" w:sz="4" w:space="0"/>
            </w:tcBorders>
            <w:vAlign w:val="center"/>
          </w:tcPr>
          <w:p w14:paraId="4CA817E2">
            <w:pPr>
              <w:spacing w:before="120" w:after="120" w:line="360" w:lineRule="auto"/>
              <w:jc w:val="center"/>
              <w:rPr>
                <w:rFonts w:hint="default" w:ascii="Times New Roman" w:hAnsi="Times New Roman" w:eastAsia="宋体" w:cs="Times New Roman"/>
                <w:color w:val="auto"/>
                <w:sz w:val="21"/>
                <w:szCs w:val="21"/>
              </w:rPr>
            </w:pPr>
          </w:p>
        </w:tc>
      </w:tr>
      <w:tr w14:paraId="5E9D06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198" w:type="dxa"/>
            <w:vAlign w:val="center"/>
          </w:tcPr>
          <w:p w14:paraId="191892B8">
            <w:pPr>
              <w:spacing w:before="0" w:after="0" w:line="240" w:lineRule="auto"/>
              <w:jc w:val="center"/>
              <w:rPr>
                <w:rFonts w:hint="default" w:ascii="Times New Roman" w:hAnsi="Times New Roman" w:eastAsia="宋体" w:cs="Times New Roman"/>
                <w:color w:val="auto"/>
                <w:sz w:val="21"/>
                <w:szCs w:val="21"/>
                <w:lang w:val="zh-CN"/>
              </w:rPr>
            </w:pPr>
          </w:p>
        </w:tc>
        <w:tc>
          <w:tcPr>
            <w:tcW w:w="1842" w:type="dxa"/>
            <w:tcBorders>
              <w:right w:val="single" w:color="auto" w:sz="4" w:space="0"/>
            </w:tcBorders>
            <w:vAlign w:val="center"/>
          </w:tcPr>
          <w:p w14:paraId="695A9A53">
            <w:pPr>
              <w:widowControl/>
              <w:spacing w:before="0" w:after="0" w:line="240" w:lineRule="auto"/>
              <w:jc w:val="center"/>
              <w:rPr>
                <w:rFonts w:hint="default" w:ascii="Times New Roman" w:hAnsi="Times New Roman" w:eastAsia="宋体" w:cs="Times New Roman"/>
                <w:color w:val="auto"/>
                <w:sz w:val="21"/>
                <w:szCs w:val="21"/>
              </w:rPr>
            </w:pPr>
          </w:p>
        </w:tc>
        <w:tc>
          <w:tcPr>
            <w:tcW w:w="1843" w:type="dxa"/>
            <w:tcBorders>
              <w:right w:val="single" w:color="auto" w:sz="4" w:space="0"/>
            </w:tcBorders>
            <w:vAlign w:val="center"/>
          </w:tcPr>
          <w:p w14:paraId="134DC4EC">
            <w:pPr>
              <w:widowControl/>
              <w:spacing w:before="0" w:after="0" w:line="240" w:lineRule="auto"/>
              <w:jc w:val="center"/>
              <w:rPr>
                <w:rFonts w:hint="default" w:ascii="Times New Roman" w:hAnsi="Times New Roman" w:eastAsia="宋体" w:cs="Times New Roman"/>
                <w:color w:val="auto"/>
                <w:sz w:val="21"/>
                <w:szCs w:val="21"/>
              </w:rPr>
            </w:pPr>
          </w:p>
        </w:tc>
        <w:tc>
          <w:tcPr>
            <w:tcW w:w="1843" w:type="dxa"/>
            <w:tcBorders>
              <w:right w:val="single" w:color="auto" w:sz="4" w:space="0"/>
            </w:tcBorders>
            <w:vAlign w:val="center"/>
          </w:tcPr>
          <w:p w14:paraId="1DF142EC">
            <w:pPr>
              <w:widowControl/>
              <w:spacing w:before="0" w:after="0" w:line="240" w:lineRule="auto"/>
              <w:jc w:val="center"/>
              <w:rPr>
                <w:rFonts w:hint="default" w:ascii="Times New Roman" w:hAnsi="Times New Roman" w:eastAsia="宋体" w:cs="Times New Roman"/>
                <w:color w:val="auto"/>
                <w:sz w:val="21"/>
                <w:szCs w:val="21"/>
              </w:rPr>
            </w:pPr>
          </w:p>
        </w:tc>
        <w:tc>
          <w:tcPr>
            <w:tcW w:w="1134" w:type="dxa"/>
            <w:tcBorders>
              <w:left w:val="single" w:color="auto" w:sz="4" w:space="0"/>
              <w:right w:val="single" w:color="auto" w:sz="4" w:space="0"/>
            </w:tcBorders>
            <w:vAlign w:val="center"/>
          </w:tcPr>
          <w:p w14:paraId="692E56FA">
            <w:pPr>
              <w:widowControl/>
              <w:spacing w:before="0" w:after="0" w:line="240" w:lineRule="auto"/>
              <w:jc w:val="center"/>
              <w:rPr>
                <w:rFonts w:hint="default" w:ascii="Times New Roman" w:hAnsi="Times New Roman" w:eastAsia="宋体" w:cs="Times New Roman"/>
                <w:color w:val="auto"/>
                <w:sz w:val="21"/>
                <w:szCs w:val="21"/>
              </w:rPr>
            </w:pPr>
          </w:p>
        </w:tc>
        <w:tc>
          <w:tcPr>
            <w:tcW w:w="1071" w:type="dxa"/>
            <w:vMerge w:val="restart"/>
            <w:tcBorders>
              <w:left w:val="single" w:color="auto" w:sz="4" w:space="0"/>
            </w:tcBorders>
            <w:vAlign w:val="center"/>
          </w:tcPr>
          <w:p w14:paraId="7C6095ED">
            <w:pPr>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478</w:t>
            </w:r>
          </w:p>
        </w:tc>
      </w:tr>
      <w:tr w14:paraId="273AAA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198" w:type="dxa"/>
            <w:vAlign w:val="center"/>
          </w:tcPr>
          <w:p w14:paraId="592A77C8">
            <w:pPr>
              <w:spacing w:before="0" w:after="0" w:line="240" w:lineRule="auto"/>
              <w:jc w:val="center"/>
              <w:rPr>
                <w:rFonts w:hint="default" w:ascii="Times New Roman" w:hAnsi="Times New Roman" w:eastAsia="宋体" w:cs="Times New Roman"/>
                <w:color w:val="auto"/>
                <w:sz w:val="21"/>
                <w:szCs w:val="21"/>
                <w:lang w:val="zh-CN"/>
              </w:rPr>
            </w:pPr>
          </w:p>
        </w:tc>
        <w:tc>
          <w:tcPr>
            <w:tcW w:w="1842" w:type="dxa"/>
            <w:tcBorders>
              <w:right w:val="single" w:color="auto" w:sz="4" w:space="0"/>
            </w:tcBorders>
            <w:vAlign w:val="center"/>
          </w:tcPr>
          <w:p w14:paraId="633CED60">
            <w:pPr>
              <w:widowControl/>
              <w:spacing w:before="0" w:after="0" w:line="240" w:lineRule="auto"/>
              <w:jc w:val="center"/>
              <w:rPr>
                <w:rFonts w:hint="default" w:ascii="Times New Roman" w:hAnsi="Times New Roman" w:eastAsia="宋体" w:cs="Times New Roman"/>
                <w:color w:val="auto"/>
                <w:sz w:val="21"/>
                <w:szCs w:val="21"/>
              </w:rPr>
            </w:pPr>
          </w:p>
        </w:tc>
        <w:tc>
          <w:tcPr>
            <w:tcW w:w="1843" w:type="dxa"/>
            <w:tcBorders>
              <w:right w:val="single" w:color="auto" w:sz="4" w:space="0"/>
            </w:tcBorders>
            <w:vAlign w:val="center"/>
          </w:tcPr>
          <w:p w14:paraId="241EEDFB">
            <w:pPr>
              <w:widowControl/>
              <w:spacing w:before="0" w:after="0" w:line="240" w:lineRule="auto"/>
              <w:jc w:val="center"/>
              <w:rPr>
                <w:rFonts w:hint="default" w:ascii="Times New Roman" w:hAnsi="Times New Roman" w:eastAsia="宋体" w:cs="Times New Roman"/>
                <w:color w:val="auto"/>
                <w:sz w:val="21"/>
                <w:szCs w:val="21"/>
              </w:rPr>
            </w:pPr>
          </w:p>
        </w:tc>
        <w:tc>
          <w:tcPr>
            <w:tcW w:w="1843" w:type="dxa"/>
            <w:tcBorders>
              <w:right w:val="single" w:color="auto" w:sz="4" w:space="0"/>
            </w:tcBorders>
            <w:vAlign w:val="center"/>
          </w:tcPr>
          <w:p w14:paraId="7BB99C64">
            <w:pPr>
              <w:widowControl/>
              <w:spacing w:before="0" w:after="0" w:line="240" w:lineRule="auto"/>
              <w:jc w:val="center"/>
              <w:rPr>
                <w:rFonts w:hint="default" w:ascii="Times New Roman" w:hAnsi="Times New Roman" w:eastAsia="宋体" w:cs="Times New Roman"/>
                <w:color w:val="auto"/>
                <w:sz w:val="21"/>
                <w:szCs w:val="21"/>
              </w:rPr>
            </w:pPr>
          </w:p>
        </w:tc>
        <w:tc>
          <w:tcPr>
            <w:tcW w:w="1134" w:type="dxa"/>
            <w:tcBorders>
              <w:left w:val="single" w:color="auto" w:sz="4" w:space="0"/>
              <w:right w:val="single" w:color="auto" w:sz="4" w:space="0"/>
            </w:tcBorders>
            <w:vAlign w:val="center"/>
          </w:tcPr>
          <w:p w14:paraId="69DE973B">
            <w:pPr>
              <w:widowControl/>
              <w:spacing w:before="0" w:after="0" w:line="240" w:lineRule="auto"/>
              <w:jc w:val="center"/>
              <w:rPr>
                <w:rFonts w:hint="default" w:ascii="Times New Roman" w:hAnsi="Times New Roman" w:eastAsia="宋体" w:cs="Times New Roman"/>
                <w:color w:val="auto"/>
                <w:sz w:val="21"/>
                <w:szCs w:val="21"/>
              </w:rPr>
            </w:pPr>
          </w:p>
        </w:tc>
        <w:tc>
          <w:tcPr>
            <w:tcW w:w="1071" w:type="dxa"/>
            <w:vMerge w:val="continue"/>
            <w:tcBorders>
              <w:left w:val="single" w:color="auto" w:sz="4" w:space="0"/>
            </w:tcBorders>
            <w:vAlign w:val="center"/>
          </w:tcPr>
          <w:p w14:paraId="1FC8E056">
            <w:pPr>
              <w:spacing w:before="0" w:after="0" w:line="240" w:lineRule="auto"/>
              <w:jc w:val="center"/>
              <w:rPr>
                <w:rFonts w:hint="default" w:ascii="Times New Roman" w:hAnsi="Times New Roman" w:eastAsia="宋体" w:cs="Times New Roman"/>
                <w:color w:val="auto"/>
                <w:sz w:val="21"/>
                <w:szCs w:val="21"/>
              </w:rPr>
            </w:pPr>
          </w:p>
        </w:tc>
      </w:tr>
    </w:tbl>
    <w:p w14:paraId="7C57E0B7">
      <w:pPr>
        <w:widowControl w:val="0"/>
        <w:snapToGrid w:val="0"/>
        <w:spacing w:before="0" w:after="0" w:line="240" w:lineRule="auto"/>
        <w:ind w:firstLine="0" w:firstLineChars="0"/>
        <w:jc w:val="center"/>
        <w:rPr>
          <w:rFonts w:hint="default" w:ascii="Times New Roman" w:hAnsi="Times New Roman" w:eastAsia="宋体" w:cs="Times New Roman"/>
          <w:b/>
          <w:color w:val="auto"/>
          <w:kern w:val="2"/>
          <w:sz w:val="21"/>
          <w:szCs w:val="21"/>
          <w:lang w:val="zh-CN" w:eastAsia="zh-CN" w:bidi="ar-SA"/>
        </w:rPr>
      </w:pPr>
    </w:p>
    <w:p w14:paraId="1FA1B7DA">
      <w:pPr>
        <w:widowControl w:val="0"/>
        <w:snapToGrid w:val="0"/>
        <w:spacing w:before="0" w:after="0" w:line="240" w:lineRule="auto"/>
        <w:ind w:firstLine="0" w:firstLineChars="0"/>
        <w:jc w:val="center"/>
        <w:rPr>
          <w:rFonts w:hint="default" w:ascii="Times New Roman" w:hAnsi="Times New Roman" w:eastAsia="宋体" w:cs="Times New Roman"/>
          <w:b/>
          <w:color w:val="auto"/>
          <w:kern w:val="2"/>
          <w:sz w:val="21"/>
          <w:szCs w:val="21"/>
          <w:lang w:val="zh-CN" w:eastAsia="zh-CN" w:bidi="ar-SA"/>
        </w:rPr>
      </w:pPr>
      <w:r>
        <w:rPr>
          <w:rFonts w:hint="default" w:ascii="Times New Roman" w:hAnsi="Times New Roman" w:eastAsia="宋体" w:cs="Times New Roman"/>
          <w:b/>
          <w:color w:val="auto"/>
          <w:kern w:val="2"/>
          <w:sz w:val="21"/>
          <w:szCs w:val="21"/>
          <w:lang w:val="zh-CN" w:eastAsia="zh-CN" w:bidi="ar-SA"/>
        </w:rPr>
        <w:t>表5.4-3 钢梁里氏硬度记录表</w:t>
      </w:r>
      <w:r>
        <w:rPr>
          <w:rFonts w:hint="eastAsia" w:ascii="Times New Roman" w:hAnsi="Times New Roman" w:eastAsia="宋体" w:cs="Times New Roman"/>
          <w:b/>
          <w:color w:val="auto"/>
          <w:kern w:val="2"/>
          <w:sz w:val="21"/>
          <w:szCs w:val="21"/>
          <w:lang w:val="en-US" w:eastAsia="zh-CN" w:bidi="ar-SA"/>
        </w:rPr>
        <w:t>(抽样比例满足鉴定要求)</w:t>
      </w:r>
    </w:p>
    <w:tbl>
      <w:tblPr>
        <w:tblStyle w:val="22"/>
        <w:tblW w:w="889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08"/>
        <w:gridCol w:w="558"/>
        <w:gridCol w:w="641"/>
        <w:gridCol w:w="641"/>
        <w:gridCol w:w="642"/>
        <w:gridCol w:w="641"/>
        <w:gridCol w:w="641"/>
        <w:gridCol w:w="642"/>
        <w:gridCol w:w="641"/>
        <w:gridCol w:w="641"/>
        <w:gridCol w:w="642"/>
        <w:gridCol w:w="709"/>
        <w:gridCol w:w="850"/>
      </w:tblGrid>
      <w:tr w14:paraId="1FA8AB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30" w:hRule="atLeast"/>
          <w:tblHeader/>
          <w:jc w:val="center"/>
        </w:trPr>
        <w:tc>
          <w:tcPr>
            <w:tcW w:w="1008" w:type="dxa"/>
            <w:vMerge w:val="restart"/>
            <w:vAlign w:val="center"/>
          </w:tcPr>
          <w:p w14:paraId="7762F6B4">
            <w:pPr>
              <w:spacing w:before="0" w:after="0" w:line="32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轴线</w:t>
            </w:r>
          </w:p>
          <w:p w14:paraId="04F30955">
            <w:pPr>
              <w:spacing w:before="0" w:after="0" w:line="32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位置</w:t>
            </w:r>
          </w:p>
        </w:tc>
        <w:tc>
          <w:tcPr>
            <w:tcW w:w="558" w:type="dxa"/>
            <w:vMerge w:val="restart"/>
            <w:tcBorders>
              <w:right w:val="single" w:color="auto" w:sz="4" w:space="0"/>
            </w:tcBorders>
            <w:vAlign w:val="center"/>
          </w:tcPr>
          <w:p w14:paraId="49004057">
            <w:pPr>
              <w:spacing w:before="0" w:after="0" w:line="32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测区</w:t>
            </w:r>
          </w:p>
        </w:tc>
        <w:tc>
          <w:tcPr>
            <w:tcW w:w="5772" w:type="dxa"/>
            <w:gridSpan w:val="9"/>
            <w:tcBorders>
              <w:left w:val="single" w:color="auto" w:sz="4" w:space="0"/>
              <w:right w:val="single" w:color="auto" w:sz="4" w:space="0"/>
            </w:tcBorders>
            <w:vAlign w:val="center"/>
          </w:tcPr>
          <w:p w14:paraId="0747A78E">
            <w:pPr>
              <w:spacing w:before="0" w:after="0" w:line="32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测点里氏硬度测量值（HL）</w:t>
            </w:r>
          </w:p>
        </w:tc>
        <w:tc>
          <w:tcPr>
            <w:tcW w:w="709" w:type="dxa"/>
            <w:vMerge w:val="restart"/>
            <w:tcBorders>
              <w:left w:val="single" w:color="auto" w:sz="4" w:space="0"/>
              <w:right w:val="single" w:color="auto" w:sz="4" w:space="0"/>
            </w:tcBorders>
            <w:vAlign w:val="center"/>
          </w:tcPr>
          <w:p w14:paraId="3599B96C">
            <w:pPr>
              <w:spacing w:before="0" w:after="0" w:line="32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均值</w:t>
            </w:r>
          </w:p>
          <w:p w14:paraId="09C84DF4">
            <w:pPr>
              <w:spacing w:before="0" w:after="0" w:line="32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HLm</w:t>
            </w:r>
          </w:p>
        </w:tc>
        <w:tc>
          <w:tcPr>
            <w:tcW w:w="850" w:type="dxa"/>
            <w:vMerge w:val="restart"/>
            <w:tcBorders>
              <w:left w:val="single" w:color="auto" w:sz="4" w:space="0"/>
            </w:tcBorders>
            <w:vAlign w:val="center"/>
          </w:tcPr>
          <w:p w14:paraId="192ADFE4">
            <w:pPr>
              <w:spacing w:before="0" w:after="0" w:line="32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代表值</w:t>
            </w:r>
          </w:p>
          <w:p w14:paraId="749A6BDA">
            <w:pPr>
              <w:spacing w:before="0" w:after="0" w:line="32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HLdm</w:t>
            </w:r>
          </w:p>
        </w:tc>
      </w:tr>
      <w:tr w14:paraId="7FBFE5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70" w:hRule="atLeast"/>
          <w:tblHeader/>
          <w:jc w:val="center"/>
        </w:trPr>
        <w:tc>
          <w:tcPr>
            <w:tcW w:w="1008" w:type="dxa"/>
            <w:vMerge w:val="continue"/>
            <w:vAlign w:val="center"/>
          </w:tcPr>
          <w:p w14:paraId="654916D7">
            <w:pPr>
              <w:spacing w:before="120" w:after="120" w:line="360" w:lineRule="auto"/>
              <w:jc w:val="center"/>
              <w:rPr>
                <w:rFonts w:hint="default" w:ascii="Times New Roman" w:hAnsi="Times New Roman" w:eastAsia="宋体" w:cs="Times New Roman"/>
                <w:color w:val="auto"/>
                <w:sz w:val="24"/>
                <w:szCs w:val="21"/>
              </w:rPr>
            </w:pPr>
          </w:p>
        </w:tc>
        <w:tc>
          <w:tcPr>
            <w:tcW w:w="558" w:type="dxa"/>
            <w:vMerge w:val="continue"/>
            <w:tcBorders>
              <w:right w:val="single" w:color="auto" w:sz="4" w:space="0"/>
            </w:tcBorders>
            <w:vAlign w:val="center"/>
          </w:tcPr>
          <w:p w14:paraId="2F873333">
            <w:pPr>
              <w:spacing w:before="0" w:after="0" w:line="240" w:lineRule="auto"/>
              <w:jc w:val="center"/>
              <w:rPr>
                <w:rFonts w:hint="default" w:ascii="Times New Roman" w:hAnsi="Times New Roman" w:eastAsia="宋体" w:cs="Times New Roman"/>
                <w:color w:val="auto"/>
                <w:sz w:val="21"/>
                <w:szCs w:val="24"/>
              </w:rPr>
            </w:pPr>
          </w:p>
        </w:tc>
        <w:tc>
          <w:tcPr>
            <w:tcW w:w="641" w:type="dxa"/>
            <w:tcBorders>
              <w:left w:val="single" w:color="auto" w:sz="4" w:space="0"/>
              <w:right w:val="single" w:color="auto" w:sz="4" w:space="0"/>
            </w:tcBorders>
            <w:vAlign w:val="center"/>
          </w:tcPr>
          <w:p w14:paraId="34C04D4F">
            <w:pPr>
              <w:spacing w:before="0" w:after="0" w:line="32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1</w:t>
            </w:r>
          </w:p>
        </w:tc>
        <w:tc>
          <w:tcPr>
            <w:tcW w:w="641" w:type="dxa"/>
            <w:tcBorders>
              <w:left w:val="single" w:color="auto" w:sz="4" w:space="0"/>
              <w:right w:val="single" w:color="auto" w:sz="4" w:space="0"/>
            </w:tcBorders>
            <w:vAlign w:val="center"/>
          </w:tcPr>
          <w:p w14:paraId="3D643F98">
            <w:pPr>
              <w:spacing w:before="0" w:after="0" w:line="32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2</w:t>
            </w:r>
          </w:p>
        </w:tc>
        <w:tc>
          <w:tcPr>
            <w:tcW w:w="642" w:type="dxa"/>
            <w:tcBorders>
              <w:left w:val="single" w:color="auto" w:sz="4" w:space="0"/>
              <w:right w:val="single" w:color="auto" w:sz="4" w:space="0"/>
            </w:tcBorders>
            <w:vAlign w:val="center"/>
          </w:tcPr>
          <w:p w14:paraId="57FAF9AA">
            <w:pPr>
              <w:spacing w:before="0" w:after="0" w:line="32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3</w:t>
            </w:r>
          </w:p>
        </w:tc>
        <w:tc>
          <w:tcPr>
            <w:tcW w:w="641" w:type="dxa"/>
            <w:tcBorders>
              <w:left w:val="single" w:color="auto" w:sz="4" w:space="0"/>
              <w:right w:val="single" w:color="auto" w:sz="4" w:space="0"/>
            </w:tcBorders>
            <w:vAlign w:val="center"/>
          </w:tcPr>
          <w:p w14:paraId="703BCC74">
            <w:pPr>
              <w:spacing w:before="0" w:after="0" w:line="32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4</w:t>
            </w:r>
          </w:p>
        </w:tc>
        <w:tc>
          <w:tcPr>
            <w:tcW w:w="641" w:type="dxa"/>
            <w:tcBorders>
              <w:left w:val="single" w:color="auto" w:sz="4" w:space="0"/>
              <w:right w:val="single" w:color="auto" w:sz="4" w:space="0"/>
            </w:tcBorders>
            <w:vAlign w:val="center"/>
          </w:tcPr>
          <w:p w14:paraId="1D699BDA">
            <w:pPr>
              <w:spacing w:before="0" w:after="0" w:line="32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5</w:t>
            </w:r>
          </w:p>
        </w:tc>
        <w:tc>
          <w:tcPr>
            <w:tcW w:w="642" w:type="dxa"/>
            <w:tcBorders>
              <w:left w:val="single" w:color="auto" w:sz="4" w:space="0"/>
              <w:right w:val="single" w:color="auto" w:sz="4" w:space="0"/>
            </w:tcBorders>
            <w:vAlign w:val="center"/>
          </w:tcPr>
          <w:p w14:paraId="5CB410D9">
            <w:pPr>
              <w:spacing w:before="0" w:after="0" w:line="32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6</w:t>
            </w:r>
          </w:p>
        </w:tc>
        <w:tc>
          <w:tcPr>
            <w:tcW w:w="641" w:type="dxa"/>
            <w:tcBorders>
              <w:left w:val="single" w:color="auto" w:sz="4" w:space="0"/>
              <w:right w:val="single" w:color="auto" w:sz="4" w:space="0"/>
            </w:tcBorders>
            <w:vAlign w:val="center"/>
          </w:tcPr>
          <w:p w14:paraId="63D14647">
            <w:pPr>
              <w:spacing w:before="0" w:after="0" w:line="32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7</w:t>
            </w:r>
          </w:p>
        </w:tc>
        <w:tc>
          <w:tcPr>
            <w:tcW w:w="641" w:type="dxa"/>
            <w:tcBorders>
              <w:left w:val="single" w:color="auto" w:sz="4" w:space="0"/>
              <w:right w:val="single" w:color="auto" w:sz="4" w:space="0"/>
            </w:tcBorders>
            <w:vAlign w:val="center"/>
          </w:tcPr>
          <w:p w14:paraId="7FCCB2DF">
            <w:pPr>
              <w:spacing w:before="0" w:after="0" w:line="32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8</w:t>
            </w:r>
          </w:p>
        </w:tc>
        <w:tc>
          <w:tcPr>
            <w:tcW w:w="642" w:type="dxa"/>
            <w:tcBorders>
              <w:left w:val="single" w:color="auto" w:sz="4" w:space="0"/>
              <w:right w:val="single" w:color="auto" w:sz="4" w:space="0"/>
            </w:tcBorders>
            <w:vAlign w:val="center"/>
          </w:tcPr>
          <w:p w14:paraId="696B9079">
            <w:pPr>
              <w:spacing w:before="0" w:after="0" w:line="32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9</w:t>
            </w:r>
          </w:p>
        </w:tc>
        <w:tc>
          <w:tcPr>
            <w:tcW w:w="709" w:type="dxa"/>
            <w:vMerge w:val="continue"/>
            <w:tcBorders>
              <w:left w:val="single" w:color="auto" w:sz="4" w:space="0"/>
              <w:right w:val="single" w:color="auto" w:sz="4" w:space="0"/>
            </w:tcBorders>
            <w:vAlign w:val="center"/>
          </w:tcPr>
          <w:p w14:paraId="1EEF3496">
            <w:pPr>
              <w:spacing w:before="120" w:after="120" w:line="360" w:lineRule="auto"/>
              <w:jc w:val="center"/>
              <w:rPr>
                <w:rFonts w:hint="default" w:ascii="Times New Roman" w:hAnsi="Times New Roman" w:eastAsia="宋体" w:cs="Times New Roman"/>
                <w:color w:val="auto"/>
                <w:sz w:val="24"/>
                <w:szCs w:val="21"/>
              </w:rPr>
            </w:pPr>
          </w:p>
        </w:tc>
        <w:tc>
          <w:tcPr>
            <w:tcW w:w="850" w:type="dxa"/>
            <w:vMerge w:val="continue"/>
            <w:tcBorders>
              <w:left w:val="single" w:color="auto" w:sz="4" w:space="0"/>
            </w:tcBorders>
            <w:vAlign w:val="center"/>
          </w:tcPr>
          <w:p w14:paraId="6909E0CF">
            <w:pPr>
              <w:spacing w:before="120" w:after="120" w:line="360" w:lineRule="auto"/>
              <w:jc w:val="center"/>
              <w:rPr>
                <w:rFonts w:hint="default" w:ascii="Times New Roman" w:hAnsi="Times New Roman" w:eastAsia="宋体" w:cs="Times New Roman"/>
                <w:color w:val="auto"/>
                <w:sz w:val="24"/>
                <w:szCs w:val="21"/>
              </w:rPr>
            </w:pPr>
          </w:p>
        </w:tc>
      </w:tr>
      <w:tr w14:paraId="329A1F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24" w:hRule="atLeast"/>
          <w:jc w:val="center"/>
        </w:trPr>
        <w:tc>
          <w:tcPr>
            <w:tcW w:w="1008" w:type="dxa"/>
            <w:vMerge w:val="restart"/>
            <w:vAlign w:val="center"/>
          </w:tcPr>
          <w:p w14:paraId="69B8FF29">
            <w:pPr>
              <w:widowControl/>
              <w:spacing w:before="0" w:after="0" w:line="240" w:lineRule="auto"/>
              <w:jc w:val="center"/>
              <w:textAlignment w:val="center"/>
              <w:rPr>
                <w:rFonts w:hint="default" w:ascii="Times New Roman" w:hAnsi="Times New Roman" w:eastAsia="宋体" w:cs="Times New Roman"/>
                <w:color w:val="auto"/>
                <w:sz w:val="21"/>
                <w:szCs w:val="21"/>
              </w:rPr>
            </w:pPr>
          </w:p>
        </w:tc>
        <w:tc>
          <w:tcPr>
            <w:tcW w:w="558" w:type="dxa"/>
            <w:tcBorders>
              <w:right w:val="single" w:color="auto" w:sz="4" w:space="0"/>
            </w:tcBorders>
            <w:vAlign w:val="center"/>
          </w:tcPr>
          <w:p w14:paraId="1967A8E8">
            <w:pPr>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641" w:type="dxa"/>
            <w:tcBorders>
              <w:left w:val="single" w:color="auto" w:sz="4" w:space="0"/>
              <w:right w:val="single" w:color="auto" w:sz="4" w:space="0"/>
            </w:tcBorders>
            <w:vAlign w:val="center"/>
          </w:tcPr>
          <w:p w14:paraId="73AA3BAA">
            <w:pPr>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641" w:type="dxa"/>
            <w:tcBorders>
              <w:left w:val="single" w:color="auto" w:sz="4" w:space="0"/>
              <w:right w:val="single" w:color="auto" w:sz="4" w:space="0"/>
            </w:tcBorders>
            <w:vAlign w:val="center"/>
          </w:tcPr>
          <w:p w14:paraId="00F4714B">
            <w:pPr>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642" w:type="dxa"/>
            <w:tcBorders>
              <w:left w:val="single" w:color="auto" w:sz="4" w:space="0"/>
              <w:right w:val="single" w:color="auto" w:sz="4" w:space="0"/>
            </w:tcBorders>
            <w:vAlign w:val="center"/>
          </w:tcPr>
          <w:p w14:paraId="4D7C0134">
            <w:pPr>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641" w:type="dxa"/>
            <w:tcBorders>
              <w:left w:val="single" w:color="auto" w:sz="4" w:space="0"/>
              <w:right w:val="single" w:color="auto" w:sz="4" w:space="0"/>
            </w:tcBorders>
            <w:vAlign w:val="center"/>
          </w:tcPr>
          <w:p w14:paraId="4CD72D78">
            <w:pPr>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641" w:type="dxa"/>
            <w:tcBorders>
              <w:left w:val="single" w:color="auto" w:sz="4" w:space="0"/>
              <w:right w:val="single" w:color="auto" w:sz="4" w:space="0"/>
            </w:tcBorders>
            <w:vAlign w:val="center"/>
          </w:tcPr>
          <w:p w14:paraId="3380A9CD">
            <w:pPr>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642" w:type="dxa"/>
            <w:tcBorders>
              <w:left w:val="single" w:color="auto" w:sz="4" w:space="0"/>
              <w:right w:val="single" w:color="auto" w:sz="4" w:space="0"/>
            </w:tcBorders>
            <w:vAlign w:val="center"/>
          </w:tcPr>
          <w:p w14:paraId="63FC7445">
            <w:pPr>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641" w:type="dxa"/>
            <w:tcBorders>
              <w:left w:val="single" w:color="auto" w:sz="4" w:space="0"/>
              <w:right w:val="single" w:color="auto" w:sz="4" w:space="0"/>
            </w:tcBorders>
            <w:vAlign w:val="center"/>
          </w:tcPr>
          <w:p w14:paraId="6D0CBE4D">
            <w:pPr>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641" w:type="dxa"/>
            <w:tcBorders>
              <w:left w:val="single" w:color="auto" w:sz="4" w:space="0"/>
              <w:right w:val="single" w:color="auto" w:sz="4" w:space="0"/>
            </w:tcBorders>
            <w:vAlign w:val="center"/>
          </w:tcPr>
          <w:p w14:paraId="19E13DDF">
            <w:pPr>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642" w:type="dxa"/>
            <w:tcBorders>
              <w:left w:val="single" w:color="auto" w:sz="4" w:space="0"/>
              <w:right w:val="single" w:color="auto" w:sz="4" w:space="0"/>
            </w:tcBorders>
            <w:vAlign w:val="center"/>
          </w:tcPr>
          <w:p w14:paraId="1162706B">
            <w:pPr>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709" w:type="dxa"/>
            <w:tcBorders>
              <w:left w:val="single" w:color="auto" w:sz="4" w:space="0"/>
              <w:right w:val="single" w:color="auto" w:sz="4" w:space="0"/>
            </w:tcBorders>
            <w:vAlign w:val="center"/>
          </w:tcPr>
          <w:p w14:paraId="28D0A5C3">
            <w:pPr>
              <w:spacing w:before="0" w:after="0" w:line="240" w:lineRule="auto"/>
              <w:jc w:val="center"/>
              <w:rPr>
                <w:rFonts w:hint="default" w:ascii="Times New Roman" w:hAnsi="Times New Roman" w:eastAsia="宋体" w:cs="Times New Roman"/>
                <w:color w:val="auto"/>
                <w:sz w:val="21"/>
                <w:szCs w:val="21"/>
              </w:rPr>
            </w:pPr>
          </w:p>
        </w:tc>
        <w:tc>
          <w:tcPr>
            <w:tcW w:w="850" w:type="dxa"/>
            <w:tcBorders>
              <w:left w:val="single" w:color="auto" w:sz="4" w:space="0"/>
            </w:tcBorders>
            <w:vAlign w:val="center"/>
          </w:tcPr>
          <w:p w14:paraId="6CF1C886">
            <w:pPr>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r>
      <w:tr w14:paraId="7A628F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24" w:hRule="atLeast"/>
          <w:jc w:val="center"/>
        </w:trPr>
        <w:tc>
          <w:tcPr>
            <w:tcW w:w="1008" w:type="dxa"/>
            <w:vMerge w:val="continue"/>
            <w:vAlign w:val="center"/>
          </w:tcPr>
          <w:p w14:paraId="2B3ED1B7">
            <w:pPr>
              <w:spacing w:before="0" w:after="0" w:line="240" w:lineRule="auto"/>
              <w:jc w:val="center"/>
              <w:rPr>
                <w:rFonts w:hint="default" w:ascii="Times New Roman" w:hAnsi="Times New Roman" w:eastAsia="宋体" w:cs="Times New Roman"/>
                <w:color w:val="auto"/>
                <w:sz w:val="21"/>
                <w:szCs w:val="21"/>
              </w:rPr>
            </w:pPr>
          </w:p>
        </w:tc>
        <w:tc>
          <w:tcPr>
            <w:tcW w:w="558" w:type="dxa"/>
            <w:tcBorders>
              <w:right w:val="single" w:color="auto" w:sz="4" w:space="0"/>
            </w:tcBorders>
            <w:vAlign w:val="center"/>
          </w:tcPr>
          <w:p w14:paraId="39E41A84">
            <w:pPr>
              <w:widowControl/>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641" w:type="dxa"/>
            <w:tcBorders>
              <w:left w:val="single" w:color="auto" w:sz="4" w:space="0"/>
              <w:right w:val="single" w:color="auto" w:sz="4" w:space="0"/>
            </w:tcBorders>
            <w:vAlign w:val="center"/>
          </w:tcPr>
          <w:p w14:paraId="27C45CE6">
            <w:pPr>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641" w:type="dxa"/>
            <w:tcBorders>
              <w:left w:val="single" w:color="auto" w:sz="4" w:space="0"/>
              <w:right w:val="single" w:color="auto" w:sz="4" w:space="0"/>
            </w:tcBorders>
            <w:vAlign w:val="center"/>
          </w:tcPr>
          <w:p w14:paraId="0AB4C55B">
            <w:pPr>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642" w:type="dxa"/>
            <w:tcBorders>
              <w:left w:val="single" w:color="auto" w:sz="4" w:space="0"/>
              <w:right w:val="single" w:color="auto" w:sz="4" w:space="0"/>
            </w:tcBorders>
            <w:vAlign w:val="center"/>
          </w:tcPr>
          <w:p w14:paraId="4121E48C">
            <w:pPr>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641" w:type="dxa"/>
            <w:tcBorders>
              <w:left w:val="single" w:color="auto" w:sz="4" w:space="0"/>
              <w:right w:val="single" w:color="auto" w:sz="4" w:space="0"/>
            </w:tcBorders>
            <w:vAlign w:val="center"/>
          </w:tcPr>
          <w:p w14:paraId="37FAC880">
            <w:pPr>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641" w:type="dxa"/>
            <w:tcBorders>
              <w:left w:val="single" w:color="auto" w:sz="4" w:space="0"/>
              <w:right w:val="single" w:color="auto" w:sz="4" w:space="0"/>
            </w:tcBorders>
            <w:vAlign w:val="center"/>
          </w:tcPr>
          <w:p w14:paraId="5BA1431B">
            <w:pPr>
              <w:spacing w:before="0" w:after="0" w:line="240" w:lineRule="auto"/>
              <w:jc w:val="center"/>
              <w:rPr>
                <w:rFonts w:hint="default" w:ascii="Times New Roman" w:hAnsi="Times New Roman" w:eastAsia="宋体" w:cs="Times New Roman"/>
                <w:color w:val="auto"/>
                <w:sz w:val="21"/>
                <w:szCs w:val="21"/>
              </w:rPr>
            </w:pPr>
          </w:p>
        </w:tc>
        <w:tc>
          <w:tcPr>
            <w:tcW w:w="642" w:type="dxa"/>
            <w:tcBorders>
              <w:left w:val="single" w:color="auto" w:sz="4" w:space="0"/>
              <w:right w:val="single" w:color="auto" w:sz="4" w:space="0"/>
            </w:tcBorders>
            <w:vAlign w:val="center"/>
          </w:tcPr>
          <w:p w14:paraId="54C5477C">
            <w:pPr>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641" w:type="dxa"/>
            <w:tcBorders>
              <w:left w:val="single" w:color="auto" w:sz="4" w:space="0"/>
              <w:right w:val="single" w:color="auto" w:sz="4" w:space="0"/>
            </w:tcBorders>
            <w:vAlign w:val="center"/>
          </w:tcPr>
          <w:p w14:paraId="656CD2B3">
            <w:pPr>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641" w:type="dxa"/>
            <w:tcBorders>
              <w:left w:val="single" w:color="auto" w:sz="4" w:space="0"/>
              <w:right w:val="single" w:color="auto" w:sz="4" w:space="0"/>
            </w:tcBorders>
            <w:vAlign w:val="center"/>
          </w:tcPr>
          <w:p w14:paraId="60A64952">
            <w:pPr>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642" w:type="dxa"/>
            <w:tcBorders>
              <w:left w:val="single" w:color="auto" w:sz="4" w:space="0"/>
              <w:right w:val="single" w:color="auto" w:sz="4" w:space="0"/>
            </w:tcBorders>
            <w:vAlign w:val="center"/>
          </w:tcPr>
          <w:p w14:paraId="44BB66A1">
            <w:pPr>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709" w:type="dxa"/>
            <w:tcBorders>
              <w:left w:val="single" w:color="auto" w:sz="4" w:space="0"/>
              <w:right w:val="single" w:color="auto" w:sz="4" w:space="0"/>
            </w:tcBorders>
            <w:vAlign w:val="center"/>
          </w:tcPr>
          <w:p w14:paraId="188B9039">
            <w:pPr>
              <w:spacing w:before="0" w:after="0" w:line="240" w:lineRule="auto"/>
              <w:jc w:val="center"/>
              <w:rPr>
                <w:rFonts w:hint="default" w:ascii="Times New Roman" w:hAnsi="Times New Roman" w:eastAsia="宋体" w:cs="Times New Roman"/>
                <w:color w:val="auto"/>
                <w:sz w:val="21"/>
                <w:szCs w:val="21"/>
              </w:rPr>
            </w:pPr>
          </w:p>
        </w:tc>
        <w:tc>
          <w:tcPr>
            <w:tcW w:w="850" w:type="dxa"/>
            <w:tcBorders>
              <w:left w:val="single" w:color="auto" w:sz="4" w:space="0"/>
            </w:tcBorders>
            <w:vAlign w:val="center"/>
          </w:tcPr>
          <w:p w14:paraId="31A9A24F">
            <w:pPr>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r>
      <w:tr w14:paraId="66B98F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24" w:hRule="atLeast"/>
          <w:jc w:val="center"/>
        </w:trPr>
        <w:tc>
          <w:tcPr>
            <w:tcW w:w="1008" w:type="dxa"/>
            <w:vMerge w:val="continue"/>
            <w:vAlign w:val="center"/>
          </w:tcPr>
          <w:p w14:paraId="56F3C1DD">
            <w:pPr>
              <w:spacing w:before="0" w:after="0" w:line="240" w:lineRule="auto"/>
              <w:jc w:val="center"/>
              <w:rPr>
                <w:rFonts w:hint="default" w:ascii="Times New Roman" w:hAnsi="Times New Roman" w:eastAsia="宋体" w:cs="Times New Roman"/>
                <w:color w:val="auto"/>
                <w:sz w:val="21"/>
                <w:szCs w:val="21"/>
              </w:rPr>
            </w:pPr>
          </w:p>
        </w:tc>
        <w:tc>
          <w:tcPr>
            <w:tcW w:w="558" w:type="dxa"/>
            <w:tcBorders>
              <w:right w:val="single" w:color="auto" w:sz="4" w:space="0"/>
            </w:tcBorders>
            <w:vAlign w:val="center"/>
          </w:tcPr>
          <w:p w14:paraId="5636F701">
            <w:pPr>
              <w:widowControl/>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641" w:type="dxa"/>
            <w:tcBorders>
              <w:left w:val="single" w:color="auto" w:sz="4" w:space="0"/>
              <w:right w:val="single" w:color="auto" w:sz="4" w:space="0"/>
            </w:tcBorders>
            <w:vAlign w:val="center"/>
          </w:tcPr>
          <w:p w14:paraId="0A358791">
            <w:pPr>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641" w:type="dxa"/>
            <w:tcBorders>
              <w:left w:val="single" w:color="auto" w:sz="4" w:space="0"/>
              <w:right w:val="single" w:color="auto" w:sz="4" w:space="0"/>
            </w:tcBorders>
            <w:vAlign w:val="center"/>
          </w:tcPr>
          <w:p w14:paraId="71454653">
            <w:pPr>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642" w:type="dxa"/>
            <w:tcBorders>
              <w:left w:val="single" w:color="auto" w:sz="4" w:space="0"/>
              <w:right w:val="single" w:color="auto" w:sz="4" w:space="0"/>
            </w:tcBorders>
            <w:vAlign w:val="center"/>
          </w:tcPr>
          <w:p w14:paraId="479EFC08">
            <w:pPr>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641" w:type="dxa"/>
            <w:tcBorders>
              <w:left w:val="single" w:color="auto" w:sz="4" w:space="0"/>
              <w:right w:val="single" w:color="auto" w:sz="4" w:space="0"/>
            </w:tcBorders>
            <w:vAlign w:val="center"/>
          </w:tcPr>
          <w:p w14:paraId="2C0ACB7A">
            <w:pPr>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641" w:type="dxa"/>
            <w:tcBorders>
              <w:left w:val="single" w:color="auto" w:sz="4" w:space="0"/>
              <w:right w:val="single" w:color="auto" w:sz="4" w:space="0"/>
            </w:tcBorders>
            <w:vAlign w:val="center"/>
          </w:tcPr>
          <w:p w14:paraId="10118246">
            <w:pPr>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642" w:type="dxa"/>
            <w:tcBorders>
              <w:left w:val="single" w:color="auto" w:sz="4" w:space="0"/>
              <w:right w:val="single" w:color="auto" w:sz="4" w:space="0"/>
            </w:tcBorders>
            <w:vAlign w:val="center"/>
          </w:tcPr>
          <w:p w14:paraId="1F0322D6">
            <w:pPr>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641" w:type="dxa"/>
            <w:tcBorders>
              <w:left w:val="single" w:color="auto" w:sz="4" w:space="0"/>
              <w:right w:val="single" w:color="auto" w:sz="4" w:space="0"/>
            </w:tcBorders>
            <w:vAlign w:val="center"/>
          </w:tcPr>
          <w:p w14:paraId="52F73DF5">
            <w:pPr>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641" w:type="dxa"/>
            <w:tcBorders>
              <w:left w:val="single" w:color="auto" w:sz="4" w:space="0"/>
              <w:right w:val="single" w:color="auto" w:sz="4" w:space="0"/>
            </w:tcBorders>
            <w:vAlign w:val="center"/>
          </w:tcPr>
          <w:p w14:paraId="544B5467">
            <w:pPr>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642" w:type="dxa"/>
            <w:tcBorders>
              <w:left w:val="single" w:color="auto" w:sz="4" w:space="0"/>
              <w:right w:val="single" w:color="auto" w:sz="4" w:space="0"/>
            </w:tcBorders>
            <w:vAlign w:val="center"/>
          </w:tcPr>
          <w:p w14:paraId="69901D5E">
            <w:pPr>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709" w:type="dxa"/>
            <w:tcBorders>
              <w:left w:val="single" w:color="auto" w:sz="4" w:space="0"/>
              <w:right w:val="single" w:color="auto" w:sz="4" w:space="0"/>
            </w:tcBorders>
            <w:vAlign w:val="center"/>
          </w:tcPr>
          <w:p w14:paraId="5F579C0D">
            <w:pPr>
              <w:spacing w:before="0" w:after="0" w:line="240" w:lineRule="auto"/>
              <w:jc w:val="center"/>
              <w:rPr>
                <w:rFonts w:hint="default" w:ascii="Times New Roman" w:hAnsi="Times New Roman" w:eastAsia="宋体" w:cs="Times New Roman"/>
                <w:color w:val="auto"/>
                <w:sz w:val="21"/>
                <w:szCs w:val="21"/>
              </w:rPr>
            </w:pPr>
          </w:p>
        </w:tc>
        <w:tc>
          <w:tcPr>
            <w:tcW w:w="850" w:type="dxa"/>
            <w:tcBorders>
              <w:left w:val="single" w:color="auto" w:sz="4" w:space="0"/>
            </w:tcBorders>
            <w:vAlign w:val="center"/>
          </w:tcPr>
          <w:p w14:paraId="6AD31AC0">
            <w:pPr>
              <w:spacing w:before="0" w:after="0" w:line="240" w:lineRule="auto"/>
              <w:jc w:val="center"/>
              <w:rPr>
                <w:rFonts w:hint="default" w:ascii="Times New Roman" w:hAnsi="Times New Roman" w:eastAsia="宋体" w:cs="Times New Roman"/>
                <w:color w:val="auto"/>
                <w:sz w:val="21"/>
                <w:szCs w:val="21"/>
              </w:rPr>
            </w:pPr>
          </w:p>
        </w:tc>
      </w:tr>
      <w:tr w14:paraId="348C81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1008" w:type="dxa"/>
            <w:vMerge w:val="restart"/>
            <w:vAlign w:val="center"/>
          </w:tcPr>
          <w:p w14:paraId="13747988">
            <w:pPr>
              <w:widowControl/>
              <w:spacing w:before="0" w:after="0" w:line="240" w:lineRule="auto"/>
              <w:jc w:val="center"/>
              <w:textAlignment w:val="center"/>
              <w:rPr>
                <w:rFonts w:hint="default" w:ascii="Times New Roman" w:hAnsi="Times New Roman" w:eastAsia="宋体" w:cs="Times New Roman"/>
                <w:color w:val="auto"/>
                <w:sz w:val="21"/>
                <w:szCs w:val="21"/>
              </w:rPr>
            </w:pPr>
          </w:p>
        </w:tc>
        <w:tc>
          <w:tcPr>
            <w:tcW w:w="558" w:type="dxa"/>
            <w:tcBorders>
              <w:right w:val="single" w:color="auto" w:sz="4" w:space="0"/>
            </w:tcBorders>
            <w:vAlign w:val="center"/>
          </w:tcPr>
          <w:p w14:paraId="0FE88324">
            <w:pPr>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641" w:type="dxa"/>
            <w:tcBorders>
              <w:left w:val="single" w:color="auto" w:sz="4" w:space="0"/>
              <w:right w:val="single" w:color="auto" w:sz="4" w:space="0"/>
            </w:tcBorders>
            <w:vAlign w:val="center"/>
          </w:tcPr>
          <w:p w14:paraId="3A5A8309">
            <w:pPr>
              <w:spacing w:before="0" w:after="0" w:line="240" w:lineRule="auto"/>
              <w:jc w:val="center"/>
              <w:rPr>
                <w:rFonts w:hint="default" w:ascii="Times New Roman" w:hAnsi="Times New Roman" w:eastAsia="宋体" w:cs="Times New Roman"/>
                <w:color w:val="auto"/>
                <w:sz w:val="21"/>
                <w:szCs w:val="21"/>
              </w:rPr>
            </w:pPr>
          </w:p>
        </w:tc>
        <w:tc>
          <w:tcPr>
            <w:tcW w:w="641" w:type="dxa"/>
            <w:tcBorders>
              <w:left w:val="single" w:color="auto" w:sz="4" w:space="0"/>
              <w:right w:val="single" w:color="auto" w:sz="4" w:space="0"/>
            </w:tcBorders>
            <w:vAlign w:val="center"/>
          </w:tcPr>
          <w:p w14:paraId="69DF6523">
            <w:pPr>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642" w:type="dxa"/>
            <w:tcBorders>
              <w:left w:val="single" w:color="auto" w:sz="4" w:space="0"/>
              <w:right w:val="single" w:color="auto" w:sz="4" w:space="0"/>
            </w:tcBorders>
            <w:vAlign w:val="center"/>
          </w:tcPr>
          <w:p w14:paraId="77CDEE75">
            <w:pPr>
              <w:spacing w:before="0" w:after="0" w:line="240" w:lineRule="auto"/>
              <w:jc w:val="center"/>
              <w:rPr>
                <w:rFonts w:hint="default" w:ascii="Times New Roman" w:hAnsi="Times New Roman" w:eastAsia="宋体" w:cs="Times New Roman"/>
                <w:color w:val="auto"/>
                <w:sz w:val="21"/>
                <w:szCs w:val="21"/>
              </w:rPr>
            </w:pPr>
          </w:p>
        </w:tc>
        <w:tc>
          <w:tcPr>
            <w:tcW w:w="641" w:type="dxa"/>
            <w:tcBorders>
              <w:left w:val="single" w:color="auto" w:sz="4" w:space="0"/>
              <w:right w:val="single" w:color="auto" w:sz="4" w:space="0"/>
            </w:tcBorders>
            <w:vAlign w:val="center"/>
          </w:tcPr>
          <w:p w14:paraId="160A82A3">
            <w:pPr>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641" w:type="dxa"/>
            <w:tcBorders>
              <w:left w:val="single" w:color="auto" w:sz="4" w:space="0"/>
              <w:right w:val="single" w:color="auto" w:sz="4" w:space="0"/>
            </w:tcBorders>
            <w:vAlign w:val="center"/>
          </w:tcPr>
          <w:p w14:paraId="225DF81B">
            <w:pPr>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642" w:type="dxa"/>
            <w:tcBorders>
              <w:left w:val="single" w:color="auto" w:sz="4" w:space="0"/>
              <w:right w:val="single" w:color="auto" w:sz="4" w:space="0"/>
            </w:tcBorders>
            <w:vAlign w:val="center"/>
          </w:tcPr>
          <w:p w14:paraId="7BF77EE4">
            <w:pPr>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641" w:type="dxa"/>
            <w:tcBorders>
              <w:left w:val="single" w:color="auto" w:sz="4" w:space="0"/>
              <w:right w:val="single" w:color="auto" w:sz="4" w:space="0"/>
            </w:tcBorders>
            <w:vAlign w:val="center"/>
          </w:tcPr>
          <w:p w14:paraId="3D73D338">
            <w:pPr>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641" w:type="dxa"/>
            <w:tcBorders>
              <w:left w:val="single" w:color="auto" w:sz="4" w:space="0"/>
              <w:right w:val="single" w:color="auto" w:sz="4" w:space="0"/>
            </w:tcBorders>
            <w:vAlign w:val="center"/>
          </w:tcPr>
          <w:p w14:paraId="40FB8218">
            <w:pPr>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642" w:type="dxa"/>
            <w:tcBorders>
              <w:left w:val="single" w:color="auto" w:sz="4" w:space="0"/>
              <w:right w:val="single" w:color="auto" w:sz="4" w:space="0"/>
            </w:tcBorders>
            <w:vAlign w:val="center"/>
          </w:tcPr>
          <w:p w14:paraId="4E8B1EE0">
            <w:pPr>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709" w:type="dxa"/>
            <w:tcBorders>
              <w:left w:val="single" w:color="auto" w:sz="4" w:space="0"/>
              <w:right w:val="single" w:color="auto" w:sz="4" w:space="0"/>
            </w:tcBorders>
            <w:vAlign w:val="center"/>
          </w:tcPr>
          <w:p w14:paraId="71DBFE4C">
            <w:pPr>
              <w:spacing w:before="0" w:after="0" w:line="240" w:lineRule="auto"/>
              <w:jc w:val="center"/>
              <w:rPr>
                <w:rFonts w:hint="default" w:ascii="Times New Roman" w:hAnsi="Times New Roman" w:eastAsia="宋体" w:cs="Times New Roman"/>
                <w:color w:val="auto"/>
                <w:sz w:val="21"/>
                <w:szCs w:val="21"/>
              </w:rPr>
            </w:pPr>
          </w:p>
        </w:tc>
        <w:tc>
          <w:tcPr>
            <w:tcW w:w="850" w:type="dxa"/>
            <w:tcBorders>
              <w:left w:val="single" w:color="auto" w:sz="4" w:space="0"/>
            </w:tcBorders>
            <w:vAlign w:val="center"/>
          </w:tcPr>
          <w:p w14:paraId="44196555">
            <w:pPr>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r>
      <w:tr w14:paraId="269F79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1008" w:type="dxa"/>
            <w:vMerge w:val="continue"/>
            <w:vAlign w:val="center"/>
          </w:tcPr>
          <w:p w14:paraId="34B664AC">
            <w:pPr>
              <w:spacing w:before="0" w:after="0" w:line="240" w:lineRule="auto"/>
              <w:jc w:val="center"/>
              <w:rPr>
                <w:rFonts w:hint="default" w:ascii="Times New Roman" w:hAnsi="Times New Roman" w:eastAsia="宋体" w:cs="Times New Roman"/>
                <w:color w:val="auto"/>
                <w:sz w:val="21"/>
                <w:szCs w:val="21"/>
              </w:rPr>
            </w:pPr>
          </w:p>
        </w:tc>
        <w:tc>
          <w:tcPr>
            <w:tcW w:w="558" w:type="dxa"/>
            <w:tcBorders>
              <w:right w:val="single" w:color="auto" w:sz="4" w:space="0"/>
            </w:tcBorders>
            <w:vAlign w:val="center"/>
          </w:tcPr>
          <w:p w14:paraId="7D4D6164">
            <w:pPr>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641" w:type="dxa"/>
            <w:tcBorders>
              <w:left w:val="single" w:color="auto" w:sz="4" w:space="0"/>
              <w:right w:val="single" w:color="auto" w:sz="4" w:space="0"/>
            </w:tcBorders>
            <w:vAlign w:val="center"/>
          </w:tcPr>
          <w:p w14:paraId="665D945B">
            <w:pPr>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641" w:type="dxa"/>
            <w:tcBorders>
              <w:left w:val="single" w:color="auto" w:sz="4" w:space="0"/>
              <w:right w:val="single" w:color="auto" w:sz="4" w:space="0"/>
            </w:tcBorders>
            <w:vAlign w:val="center"/>
          </w:tcPr>
          <w:p w14:paraId="696B34BC">
            <w:pPr>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642" w:type="dxa"/>
            <w:tcBorders>
              <w:left w:val="single" w:color="auto" w:sz="4" w:space="0"/>
              <w:right w:val="single" w:color="auto" w:sz="4" w:space="0"/>
            </w:tcBorders>
            <w:vAlign w:val="center"/>
          </w:tcPr>
          <w:p w14:paraId="2C21826A">
            <w:pPr>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641" w:type="dxa"/>
            <w:tcBorders>
              <w:left w:val="single" w:color="auto" w:sz="4" w:space="0"/>
              <w:right w:val="single" w:color="auto" w:sz="4" w:space="0"/>
            </w:tcBorders>
            <w:vAlign w:val="center"/>
          </w:tcPr>
          <w:p w14:paraId="233D6D5B">
            <w:pPr>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641" w:type="dxa"/>
            <w:tcBorders>
              <w:left w:val="single" w:color="auto" w:sz="4" w:space="0"/>
              <w:right w:val="single" w:color="auto" w:sz="4" w:space="0"/>
            </w:tcBorders>
            <w:vAlign w:val="center"/>
          </w:tcPr>
          <w:p w14:paraId="284CCE99">
            <w:pPr>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642" w:type="dxa"/>
            <w:tcBorders>
              <w:left w:val="single" w:color="auto" w:sz="4" w:space="0"/>
              <w:right w:val="single" w:color="auto" w:sz="4" w:space="0"/>
            </w:tcBorders>
            <w:vAlign w:val="center"/>
          </w:tcPr>
          <w:p w14:paraId="088A60B3">
            <w:pPr>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641" w:type="dxa"/>
            <w:tcBorders>
              <w:left w:val="single" w:color="auto" w:sz="4" w:space="0"/>
              <w:right w:val="single" w:color="auto" w:sz="4" w:space="0"/>
            </w:tcBorders>
            <w:vAlign w:val="center"/>
          </w:tcPr>
          <w:p w14:paraId="34ACA094">
            <w:pPr>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641" w:type="dxa"/>
            <w:tcBorders>
              <w:left w:val="single" w:color="auto" w:sz="4" w:space="0"/>
              <w:right w:val="single" w:color="auto" w:sz="4" w:space="0"/>
            </w:tcBorders>
            <w:vAlign w:val="center"/>
          </w:tcPr>
          <w:p w14:paraId="009047FA">
            <w:pPr>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642" w:type="dxa"/>
            <w:tcBorders>
              <w:left w:val="single" w:color="auto" w:sz="4" w:space="0"/>
              <w:right w:val="single" w:color="auto" w:sz="4" w:space="0"/>
            </w:tcBorders>
            <w:vAlign w:val="center"/>
          </w:tcPr>
          <w:p w14:paraId="039F14E3">
            <w:pPr>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709" w:type="dxa"/>
            <w:tcBorders>
              <w:left w:val="single" w:color="auto" w:sz="4" w:space="0"/>
              <w:right w:val="single" w:color="auto" w:sz="4" w:space="0"/>
            </w:tcBorders>
            <w:vAlign w:val="center"/>
          </w:tcPr>
          <w:p w14:paraId="74151F0D">
            <w:pPr>
              <w:spacing w:before="0" w:after="0" w:line="240" w:lineRule="auto"/>
              <w:jc w:val="center"/>
              <w:rPr>
                <w:rFonts w:hint="default" w:ascii="Times New Roman" w:hAnsi="Times New Roman" w:eastAsia="宋体" w:cs="Times New Roman"/>
                <w:color w:val="auto"/>
                <w:sz w:val="21"/>
                <w:szCs w:val="21"/>
              </w:rPr>
            </w:pPr>
          </w:p>
        </w:tc>
        <w:tc>
          <w:tcPr>
            <w:tcW w:w="850" w:type="dxa"/>
            <w:tcBorders>
              <w:left w:val="single" w:color="auto" w:sz="4" w:space="0"/>
            </w:tcBorders>
            <w:vAlign w:val="center"/>
          </w:tcPr>
          <w:p w14:paraId="0512EAF4">
            <w:pPr>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r>
      <w:tr w14:paraId="59AEA5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1008" w:type="dxa"/>
            <w:vMerge w:val="continue"/>
            <w:vAlign w:val="center"/>
          </w:tcPr>
          <w:p w14:paraId="1542B50D">
            <w:pPr>
              <w:spacing w:before="0" w:after="0" w:line="240" w:lineRule="auto"/>
              <w:jc w:val="center"/>
              <w:rPr>
                <w:rFonts w:hint="default" w:ascii="Times New Roman" w:hAnsi="Times New Roman" w:eastAsia="宋体" w:cs="Times New Roman"/>
                <w:color w:val="auto"/>
                <w:sz w:val="21"/>
                <w:szCs w:val="21"/>
              </w:rPr>
            </w:pPr>
          </w:p>
        </w:tc>
        <w:tc>
          <w:tcPr>
            <w:tcW w:w="558" w:type="dxa"/>
            <w:tcBorders>
              <w:right w:val="single" w:color="auto" w:sz="4" w:space="0"/>
            </w:tcBorders>
            <w:vAlign w:val="center"/>
          </w:tcPr>
          <w:p w14:paraId="61445790">
            <w:pPr>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641" w:type="dxa"/>
            <w:tcBorders>
              <w:left w:val="single" w:color="auto" w:sz="4" w:space="0"/>
              <w:right w:val="single" w:color="auto" w:sz="4" w:space="0"/>
            </w:tcBorders>
            <w:vAlign w:val="center"/>
          </w:tcPr>
          <w:p w14:paraId="57155012">
            <w:pPr>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641" w:type="dxa"/>
            <w:tcBorders>
              <w:left w:val="single" w:color="auto" w:sz="4" w:space="0"/>
              <w:right w:val="single" w:color="auto" w:sz="4" w:space="0"/>
            </w:tcBorders>
            <w:vAlign w:val="center"/>
          </w:tcPr>
          <w:p w14:paraId="5E929A21">
            <w:pPr>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642" w:type="dxa"/>
            <w:tcBorders>
              <w:left w:val="single" w:color="auto" w:sz="4" w:space="0"/>
              <w:right w:val="single" w:color="auto" w:sz="4" w:space="0"/>
            </w:tcBorders>
            <w:vAlign w:val="center"/>
          </w:tcPr>
          <w:p w14:paraId="2989E5F9">
            <w:pPr>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641" w:type="dxa"/>
            <w:tcBorders>
              <w:left w:val="single" w:color="auto" w:sz="4" w:space="0"/>
              <w:right w:val="single" w:color="auto" w:sz="4" w:space="0"/>
            </w:tcBorders>
            <w:vAlign w:val="center"/>
          </w:tcPr>
          <w:p w14:paraId="17CC26CF">
            <w:pPr>
              <w:spacing w:before="0" w:after="0" w:line="240" w:lineRule="auto"/>
              <w:jc w:val="center"/>
              <w:rPr>
                <w:rFonts w:hint="default" w:ascii="Times New Roman" w:hAnsi="Times New Roman" w:eastAsia="宋体" w:cs="Times New Roman"/>
                <w:color w:val="auto"/>
                <w:sz w:val="21"/>
                <w:szCs w:val="21"/>
              </w:rPr>
            </w:pPr>
          </w:p>
        </w:tc>
        <w:tc>
          <w:tcPr>
            <w:tcW w:w="641" w:type="dxa"/>
            <w:tcBorders>
              <w:left w:val="single" w:color="auto" w:sz="4" w:space="0"/>
              <w:right w:val="single" w:color="auto" w:sz="4" w:space="0"/>
            </w:tcBorders>
            <w:vAlign w:val="center"/>
          </w:tcPr>
          <w:p w14:paraId="4328D1B8">
            <w:pPr>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642" w:type="dxa"/>
            <w:tcBorders>
              <w:left w:val="single" w:color="auto" w:sz="4" w:space="0"/>
              <w:right w:val="single" w:color="auto" w:sz="4" w:space="0"/>
            </w:tcBorders>
            <w:vAlign w:val="center"/>
          </w:tcPr>
          <w:p w14:paraId="0D589BF9">
            <w:pPr>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641" w:type="dxa"/>
            <w:tcBorders>
              <w:left w:val="single" w:color="auto" w:sz="4" w:space="0"/>
              <w:right w:val="single" w:color="auto" w:sz="4" w:space="0"/>
            </w:tcBorders>
            <w:vAlign w:val="center"/>
          </w:tcPr>
          <w:p w14:paraId="7D4B2493">
            <w:pPr>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641" w:type="dxa"/>
            <w:tcBorders>
              <w:left w:val="single" w:color="auto" w:sz="4" w:space="0"/>
              <w:right w:val="single" w:color="auto" w:sz="4" w:space="0"/>
            </w:tcBorders>
            <w:vAlign w:val="center"/>
          </w:tcPr>
          <w:p w14:paraId="003E461F">
            <w:pPr>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642" w:type="dxa"/>
            <w:tcBorders>
              <w:left w:val="single" w:color="auto" w:sz="4" w:space="0"/>
              <w:right w:val="single" w:color="auto" w:sz="4" w:space="0"/>
            </w:tcBorders>
            <w:vAlign w:val="center"/>
          </w:tcPr>
          <w:p w14:paraId="5625E0E6">
            <w:pPr>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709" w:type="dxa"/>
            <w:tcBorders>
              <w:left w:val="single" w:color="auto" w:sz="4" w:space="0"/>
              <w:right w:val="single" w:color="auto" w:sz="4" w:space="0"/>
            </w:tcBorders>
            <w:vAlign w:val="center"/>
          </w:tcPr>
          <w:p w14:paraId="7282E4E7">
            <w:pPr>
              <w:spacing w:before="0" w:after="0" w:line="240" w:lineRule="auto"/>
              <w:jc w:val="center"/>
              <w:rPr>
                <w:rFonts w:hint="default" w:ascii="Times New Roman" w:hAnsi="Times New Roman" w:eastAsia="宋体" w:cs="Times New Roman"/>
                <w:color w:val="auto"/>
                <w:sz w:val="21"/>
                <w:szCs w:val="21"/>
              </w:rPr>
            </w:pPr>
          </w:p>
        </w:tc>
        <w:tc>
          <w:tcPr>
            <w:tcW w:w="850" w:type="dxa"/>
            <w:tcBorders>
              <w:left w:val="single" w:color="auto" w:sz="4" w:space="0"/>
            </w:tcBorders>
            <w:vAlign w:val="center"/>
          </w:tcPr>
          <w:p w14:paraId="399067D1">
            <w:pPr>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r>
    </w:tbl>
    <w:p w14:paraId="5CFF5E2D">
      <w:pPr>
        <w:widowControl w:val="0"/>
        <w:snapToGrid w:val="0"/>
        <w:spacing w:before="0" w:after="0" w:line="240" w:lineRule="auto"/>
        <w:ind w:firstLine="0" w:firstLineChars="0"/>
        <w:jc w:val="both"/>
        <w:rPr>
          <w:rFonts w:hint="default" w:ascii="Times New Roman" w:hAnsi="Times New Roman" w:eastAsia="宋体" w:cs="Times New Roman"/>
          <w:b/>
          <w:color w:val="auto"/>
          <w:kern w:val="2"/>
          <w:sz w:val="24"/>
          <w:szCs w:val="21"/>
          <w:lang w:val="zh-CN" w:eastAsia="zh-CN" w:bidi="ar-SA"/>
        </w:rPr>
      </w:pPr>
    </w:p>
    <w:p w14:paraId="2D0FC52E">
      <w:pPr>
        <w:widowControl w:val="0"/>
        <w:snapToGrid w:val="0"/>
        <w:spacing w:before="0" w:after="0" w:line="240" w:lineRule="auto"/>
        <w:ind w:firstLine="0" w:firstLineChars="0"/>
        <w:jc w:val="center"/>
        <w:rPr>
          <w:rFonts w:hint="default" w:ascii="Times New Roman" w:hAnsi="Times New Roman" w:eastAsia="宋体" w:cs="Times New Roman"/>
          <w:b/>
          <w:color w:val="auto"/>
          <w:kern w:val="2"/>
          <w:sz w:val="21"/>
          <w:szCs w:val="21"/>
          <w:lang w:val="zh-CN" w:eastAsia="zh-CN" w:bidi="ar-SA"/>
        </w:rPr>
      </w:pPr>
      <w:r>
        <w:rPr>
          <w:rFonts w:hint="default" w:ascii="Times New Roman" w:hAnsi="Times New Roman" w:eastAsia="宋体" w:cs="Times New Roman"/>
          <w:b/>
          <w:color w:val="auto"/>
          <w:kern w:val="2"/>
          <w:sz w:val="21"/>
          <w:szCs w:val="21"/>
          <w:lang w:val="zh-CN" w:eastAsia="zh-CN" w:bidi="ar-SA"/>
        </w:rPr>
        <w:t>表5.4-4 钢梁强度等级</w:t>
      </w:r>
    </w:p>
    <w:tbl>
      <w:tblPr>
        <w:tblStyle w:val="22"/>
        <w:tblW w:w="918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49"/>
        <w:gridCol w:w="1842"/>
        <w:gridCol w:w="1843"/>
        <w:gridCol w:w="1843"/>
        <w:gridCol w:w="1134"/>
        <w:gridCol w:w="1071"/>
      </w:tblGrid>
      <w:tr w14:paraId="7496F8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33" w:hRule="atLeast"/>
          <w:tblHeader/>
          <w:jc w:val="center"/>
        </w:trPr>
        <w:tc>
          <w:tcPr>
            <w:tcW w:w="1449" w:type="dxa"/>
            <w:vMerge w:val="restart"/>
            <w:vAlign w:val="center"/>
          </w:tcPr>
          <w:p w14:paraId="21940253">
            <w:pPr>
              <w:spacing w:before="0" w:after="0" w:line="32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轴线</w:t>
            </w:r>
          </w:p>
          <w:p w14:paraId="0818B66A">
            <w:pPr>
              <w:spacing w:before="0" w:after="0" w:line="32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位置</w:t>
            </w:r>
          </w:p>
        </w:tc>
        <w:tc>
          <w:tcPr>
            <w:tcW w:w="5528" w:type="dxa"/>
            <w:gridSpan w:val="3"/>
            <w:tcBorders>
              <w:bottom w:val="single" w:color="auto" w:sz="4" w:space="0"/>
              <w:right w:val="single" w:color="auto" w:sz="4" w:space="0"/>
            </w:tcBorders>
            <w:vAlign w:val="center"/>
          </w:tcPr>
          <w:p w14:paraId="2D8E457C">
            <w:pPr>
              <w:spacing w:before="0" w:after="0" w:line="32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测区抗拉强度最小值</w:t>
            </w:r>
          </w:p>
          <w:p w14:paraId="78862650">
            <w:pPr>
              <w:spacing w:before="0" w:after="0" w:line="32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 xml:space="preserve"> N/mm² </w:t>
            </w:r>
          </w:p>
        </w:tc>
        <w:tc>
          <w:tcPr>
            <w:tcW w:w="1134" w:type="dxa"/>
            <w:vMerge w:val="restart"/>
            <w:tcBorders>
              <w:left w:val="single" w:color="auto" w:sz="4" w:space="0"/>
              <w:right w:val="single" w:color="auto" w:sz="4" w:space="0"/>
            </w:tcBorders>
            <w:vAlign w:val="center"/>
          </w:tcPr>
          <w:p w14:paraId="482263D3">
            <w:pPr>
              <w:spacing w:before="0" w:after="0" w:line="32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特征值</w:t>
            </w:r>
          </w:p>
          <w:p w14:paraId="51786307">
            <w:pPr>
              <w:spacing w:before="0" w:after="0" w:line="32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 xml:space="preserve"> N/mm²</w:t>
            </w:r>
          </w:p>
        </w:tc>
        <w:tc>
          <w:tcPr>
            <w:tcW w:w="1071" w:type="dxa"/>
            <w:vMerge w:val="restart"/>
            <w:tcBorders>
              <w:left w:val="single" w:color="auto" w:sz="4" w:space="0"/>
            </w:tcBorders>
            <w:vAlign w:val="center"/>
          </w:tcPr>
          <w:p w14:paraId="30176D86">
            <w:pPr>
              <w:spacing w:before="0" w:after="0" w:line="32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特征值</w:t>
            </w:r>
          </w:p>
          <w:p w14:paraId="491CC0C8">
            <w:pPr>
              <w:spacing w:before="0" w:after="0" w:line="32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平均值</w:t>
            </w:r>
          </w:p>
          <w:p w14:paraId="6577A330">
            <w:pPr>
              <w:spacing w:before="0" w:after="0" w:line="32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N/mm²</w:t>
            </w:r>
          </w:p>
        </w:tc>
      </w:tr>
      <w:tr w14:paraId="4D6E9F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91" w:hRule="atLeast"/>
          <w:tblHeader/>
          <w:jc w:val="center"/>
        </w:trPr>
        <w:tc>
          <w:tcPr>
            <w:tcW w:w="1449" w:type="dxa"/>
            <w:vMerge w:val="continue"/>
            <w:vAlign w:val="center"/>
          </w:tcPr>
          <w:p w14:paraId="39728A50">
            <w:pPr>
              <w:spacing w:before="120" w:after="120" w:line="360" w:lineRule="auto"/>
              <w:jc w:val="center"/>
              <w:rPr>
                <w:rFonts w:hint="default" w:ascii="Times New Roman" w:hAnsi="Times New Roman" w:eastAsia="宋体" w:cs="Times New Roman"/>
                <w:color w:val="auto"/>
                <w:sz w:val="24"/>
                <w:szCs w:val="21"/>
              </w:rPr>
            </w:pPr>
          </w:p>
        </w:tc>
        <w:tc>
          <w:tcPr>
            <w:tcW w:w="1842" w:type="dxa"/>
            <w:tcBorders>
              <w:top w:val="single" w:color="auto" w:sz="4" w:space="0"/>
              <w:right w:val="single" w:color="auto" w:sz="4" w:space="0"/>
            </w:tcBorders>
            <w:vAlign w:val="center"/>
          </w:tcPr>
          <w:p w14:paraId="033E3C9F">
            <w:pPr>
              <w:spacing w:before="0" w:after="0" w:line="32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1</w:t>
            </w:r>
          </w:p>
        </w:tc>
        <w:tc>
          <w:tcPr>
            <w:tcW w:w="1843" w:type="dxa"/>
            <w:tcBorders>
              <w:top w:val="single" w:color="auto" w:sz="4" w:space="0"/>
              <w:right w:val="single" w:color="auto" w:sz="4" w:space="0"/>
            </w:tcBorders>
            <w:vAlign w:val="center"/>
          </w:tcPr>
          <w:p w14:paraId="4CA5A297">
            <w:pPr>
              <w:spacing w:before="0" w:after="0" w:line="32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2</w:t>
            </w:r>
          </w:p>
        </w:tc>
        <w:tc>
          <w:tcPr>
            <w:tcW w:w="1843" w:type="dxa"/>
            <w:tcBorders>
              <w:top w:val="single" w:color="auto" w:sz="4" w:space="0"/>
              <w:right w:val="single" w:color="auto" w:sz="4" w:space="0"/>
            </w:tcBorders>
            <w:vAlign w:val="center"/>
          </w:tcPr>
          <w:p w14:paraId="25C0E2BF">
            <w:pPr>
              <w:spacing w:before="0" w:after="0" w:line="32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3</w:t>
            </w:r>
          </w:p>
        </w:tc>
        <w:tc>
          <w:tcPr>
            <w:tcW w:w="1134" w:type="dxa"/>
            <w:vMerge w:val="continue"/>
            <w:tcBorders>
              <w:left w:val="single" w:color="auto" w:sz="4" w:space="0"/>
              <w:right w:val="single" w:color="auto" w:sz="4" w:space="0"/>
            </w:tcBorders>
            <w:vAlign w:val="center"/>
          </w:tcPr>
          <w:p w14:paraId="28BEB343">
            <w:pPr>
              <w:spacing w:before="120" w:after="120" w:line="360" w:lineRule="auto"/>
              <w:jc w:val="center"/>
              <w:rPr>
                <w:rFonts w:hint="default" w:ascii="Times New Roman" w:hAnsi="Times New Roman" w:eastAsia="宋体" w:cs="Times New Roman"/>
                <w:color w:val="auto"/>
                <w:sz w:val="24"/>
                <w:szCs w:val="21"/>
              </w:rPr>
            </w:pPr>
          </w:p>
        </w:tc>
        <w:tc>
          <w:tcPr>
            <w:tcW w:w="1071" w:type="dxa"/>
            <w:vMerge w:val="continue"/>
            <w:tcBorders>
              <w:left w:val="single" w:color="auto" w:sz="4" w:space="0"/>
            </w:tcBorders>
            <w:vAlign w:val="center"/>
          </w:tcPr>
          <w:p w14:paraId="788D4D73">
            <w:pPr>
              <w:spacing w:before="120" w:after="120" w:line="360" w:lineRule="auto"/>
              <w:jc w:val="center"/>
              <w:rPr>
                <w:rFonts w:hint="default" w:ascii="Times New Roman" w:hAnsi="Times New Roman" w:eastAsia="宋体" w:cs="Times New Roman"/>
                <w:color w:val="auto"/>
                <w:sz w:val="24"/>
                <w:szCs w:val="21"/>
              </w:rPr>
            </w:pPr>
          </w:p>
        </w:tc>
      </w:tr>
      <w:tr w14:paraId="3BD171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449" w:type="dxa"/>
            <w:vAlign w:val="center"/>
          </w:tcPr>
          <w:p w14:paraId="2D0B65A0">
            <w:pPr>
              <w:widowControl/>
              <w:spacing w:before="0" w:after="0" w:line="240" w:lineRule="auto"/>
              <w:jc w:val="center"/>
              <w:textAlignment w:val="center"/>
              <w:rPr>
                <w:rFonts w:hint="default" w:ascii="Times New Roman" w:hAnsi="Times New Roman" w:eastAsia="宋体" w:cs="Times New Roman"/>
                <w:color w:val="auto"/>
                <w:sz w:val="21"/>
                <w:szCs w:val="21"/>
              </w:rPr>
            </w:pPr>
          </w:p>
        </w:tc>
        <w:tc>
          <w:tcPr>
            <w:tcW w:w="1842" w:type="dxa"/>
            <w:tcBorders>
              <w:right w:val="single" w:color="auto" w:sz="4" w:space="0"/>
            </w:tcBorders>
            <w:vAlign w:val="center"/>
          </w:tcPr>
          <w:p w14:paraId="75E1C52A">
            <w:pPr>
              <w:spacing w:before="0" w:after="0" w:line="240" w:lineRule="auto"/>
              <w:jc w:val="center"/>
              <w:rPr>
                <w:rFonts w:hint="default" w:ascii="Times New Roman" w:hAnsi="Times New Roman" w:eastAsia="宋体" w:cs="Times New Roman"/>
                <w:color w:val="auto"/>
                <w:sz w:val="21"/>
                <w:szCs w:val="21"/>
              </w:rPr>
            </w:pPr>
          </w:p>
        </w:tc>
        <w:tc>
          <w:tcPr>
            <w:tcW w:w="1843" w:type="dxa"/>
            <w:tcBorders>
              <w:right w:val="single" w:color="auto" w:sz="4" w:space="0"/>
            </w:tcBorders>
            <w:vAlign w:val="center"/>
          </w:tcPr>
          <w:p w14:paraId="175F0488">
            <w:pPr>
              <w:spacing w:before="0" w:after="0" w:line="240" w:lineRule="auto"/>
              <w:jc w:val="center"/>
              <w:rPr>
                <w:rFonts w:hint="default" w:ascii="Times New Roman" w:hAnsi="Times New Roman" w:eastAsia="宋体" w:cs="Times New Roman"/>
                <w:color w:val="auto"/>
                <w:sz w:val="21"/>
                <w:szCs w:val="21"/>
              </w:rPr>
            </w:pPr>
          </w:p>
        </w:tc>
        <w:tc>
          <w:tcPr>
            <w:tcW w:w="1843" w:type="dxa"/>
            <w:tcBorders>
              <w:right w:val="single" w:color="auto" w:sz="4" w:space="0"/>
            </w:tcBorders>
            <w:vAlign w:val="center"/>
          </w:tcPr>
          <w:p w14:paraId="2BABFD87">
            <w:pPr>
              <w:spacing w:before="0" w:after="0" w:line="240" w:lineRule="auto"/>
              <w:jc w:val="center"/>
              <w:rPr>
                <w:rFonts w:hint="default" w:ascii="Times New Roman" w:hAnsi="Times New Roman" w:eastAsia="宋体" w:cs="Times New Roman"/>
                <w:color w:val="auto"/>
                <w:sz w:val="21"/>
                <w:szCs w:val="21"/>
              </w:rPr>
            </w:pPr>
          </w:p>
        </w:tc>
        <w:tc>
          <w:tcPr>
            <w:tcW w:w="1134" w:type="dxa"/>
            <w:tcBorders>
              <w:left w:val="single" w:color="auto" w:sz="4" w:space="0"/>
              <w:right w:val="single" w:color="auto" w:sz="4" w:space="0"/>
            </w:tcBorders>
            <w:vAlign w:val="center"/>
          </w:tcPr>
          <w:p w14:paraId="4FA73768">
            <w:pPr>
              <w:spacing w:before="0" w:after="0" w:line="240" w:lineRule="auto"/>
              <w:jc w:val="center"/>
              <w:rPr>
                <w:rFonts w:hint="default" w:ascii="Times New Roman" w:hAnsi="Times New Roman" w:eastAsia="宋体" w:cs="Times New Roman"/>
                <w:color w:val="auto"/>
                <w:sz w:val="21"/>
                <w:szCs w:val="21"/>
              </w:rPr>
            </w:pPr>
          </w:p>
        </w:tc>
        <w:tc>
          <w:tcPr>
            <w:tcW w:w="1071" w:type="dxa"/>
            <w:vMerge w:val="restart"/>
            <w:tcBorders>
              <w:left w:val="single" w:color="auto" w:sz="4" w:space="0"/>
            </w:tcBorders>
            <w:vAlign w:val="center"/>
          </w:tcPr>
          <w:p w14:paraId="3436AB07">
            <w:pPr>
              <w:widowControl/>
              <w:spacing w:before="0" w:after="0" w:line="240" w:lineRule="auto"/>
              <w:jc w:val="center"/>
              <w:textAlignment w:val="center"/>
              <w:rPr>
                <w:rFonts w:hint="default" w:ascii="Times New Roman" w:hAnsi="Times New Roman" w:eastAsia="宋体" w:cs="Times New Roman"/>
                <w:color w:val="auto"/>
                <w:sz w:val="21"/>
                <w:szCs w:val="21"/>
              </w:rPr>
            </w:pPr>
          </w:p>
        </w:tc>
      </w:tr>
      <w:tr w14:paraId="1D0F8A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449" w:type="dxa"/>
            <w:vAlign w:val="center"/>
          </w:tcPr>
          <w:p w14:paraId="5F8DB4DD">
            <w:pPr>
              <w:widowControl/>
              <w:spacing w:before="0" w:after="0" w:line="240" w:lineRule="auto"/>
              <w:jc w:val="center"/>
              <w:textAlignment w:val="center"/>
              <w:rPr>
                <w:rFonts w:hint="default" w:ascii="Times New Roman" w:hAnsi="Times New Roman" w:eastAsia="宋体" w:cs="Times New Roman"/>
                <w:color w:val="auto"/>
                <w:sz w:val="21"/>
                <w:szCs w:val="21"/>
              </w:rPr>
            </w:pPr>
          </w:p>
        </w:tc>
        <w:tc>
          <w:tcPr>
            <w:tcW w:w="1842" w:type="dxa"/>
            <w:tcBorders>
              <w:right w:val="single" w:color="auto" w:sz="4" w:space="0"/>
            </w:tcBorders>
            <w:vAlign w:val="center"/>
          </w:tcPr>
          <w:p w14:paraId="2D6B2529">
            <w:pPr>
              <w:spacing w:before="0" w:after="0" w:line="240" w:lineRule="auto"/>
              <w:jc w:val="center"/>
              <w:rPr>
                <w:rFonts w:hint="default" w:ascii="Times New Roman" w:hAnsi="Times New Roman" w:eastAsia="宋体" w:cs="Times New Roman"/>
                <w:color w:val="auto"/>
                <w:sz w:val="21"/>
                <w:szCs w:val="21"/>
              </w:rPr>
            </w:pPr>
          </w:p>
        </w:tc>
        <w:tc>
          <w:tcPr>
            <w:tcW w:w="1843" w:type="dxa"/>
            <w:tcBorders>
              <w:right w:val="single" w:color="auto" w:sz="4" w:space="0"/>
            </w:tcBorders>
            <w:vAlign w:val="center"/>
          </w:tcPr>
          <w:p w14:paraId="2E9B4A63">
            <w:pPr>
              <w:spacing w:before="0" w:after="0" w:line="240" w:lineRule="auto"/>
              <w:jc w:val="center"/>
              <w:rPr>
                <w:rFonts w:hint="default" w:ascii="Times New Roman" w:hAnsi="Times New Roman" w:eastAsia="宋体" w:cs="Times New Roman"/>
                <w:color w:val="auto"/>
                <w:sz w:val="21"/>
                <w:szCs w:val="21"/>
              </w:rPr>
            </w:pPr>
          </w:p>
        </w:tc>
        <w:tc>
          <w:tcPr>
            <w:tcW w:w="1843" w:type="dxa"/>
            <w:tcBorders>
              <w:right w:val="single" w:color="auto" w:sz="4" w:space="0"/>
            </w:tcBorders>
            <w:vAlign w:val="center"/>
          </w:tcPr>
          <w:p w14:paraId="4AC21084">
            <w:pPr>
              <w:spacing w:before="0" w:after="0" w:line="240" w:lineRule="auto"/>
              <w:jc w:val="center"/>
              <w:rPr>
                <w:rFonts w:hint="default" w:ascii="Times New Roman" w:hAnsi="Times New Roman" w:eastAsia="宋体" w:cs="Times New Roman"/>
                <w:color w:val="auto"/>
                <w:sz w:val="21"/>
                <w:szCs w:val="21"/>
              </w:rPr>
            </w:pPr>
          </w:p>
        </w:tc>
        <w:tc>
          <w:tcPr>
            <w:tcW w:w="1134" w:type="dxa"/>
            <w:tcBorders>
              <w:left w:val="single" w:color="auto" w:sz="4" w:space="0"/>
              <w:right w:val="single" w:color="auto" w:sz="4" w:space="0"/>
            </w:tcBorders>
            <w:vAlign w:val="center"/>
          </w:tcPr>
          <w:p w14:paraId="255A6FE2">
            <w:pPr>
              <w:spacing w:before="0" w:after="0" w:line="240" w:lineRule="auto"/>
              <w:jc w:val="center"/>
              <w:rPr>
                <w:rFonts w:hint="default" w:ascii="Times New Roman" w:hAnsi="Times New Roman" w:eastAsia="宋体" w:cs="Times New Roman"/>
                <w:color w:val="auto"/>
                <w:sz w:val="21"/>
                <w:szCs w:val="21"/>
              </w:rPr>
            </w:pPr>
          </w:p>
        </w:tc>
        <w:tc>
          <w:tcPr>
            <w:tcW w:w="1071" w:type="dxa"/>
            <w:vMerge w:val="continue"/>
            <w:tcBorders>
              <w:left w:val="single" w:color="auto" w:sz="4" w:space="0"/>
            </w:tcBorders>
            <w:vAlign w:val="center"/>
          </w:tcPr>
          <w:p w14:paraId="087A9368">
            <w:pPr>
              <w:spacing w:before="120" w:after="120" w:line="360" w:lineRule="auto"/>
              <w:jc w:val="center"/>
              <w:rPr>
                <w:rFonts w:hint="default" w:ascii="Times New Roman" w:hAnsi="Times New Roman" w:eastAsia="宋体" w:cs="Times New Roman"/>
                <w:color w:val="auto"/>
                <w:sz w:val="24"/>
                <w:szCs w:val="21"/>
              </w:rPr>
            </w:pPr>
          </w:p>
        </w:tc>
      </w:tr>
    </w:tbl>
    <w:p w14:paraId="52558432">
      <w:pPr>
        <w:keepNext w:val="0"/>
        <w:keepLines w:val="0"/>
        <w:pageBreakBefore w:val="0"/>
        <w:widowControl w:val="0"/>
        <w:kinsoku/>
        <w:wordWrap/>
        <w:overflowPunct/>
        <w:topLinePunct w:val="0"/>
        <w:autoSpaceDE/>
        <w:autoSpaceDN/>
        <w:bidi w:val="0"/>
        <w:adjustRightInd/>
        <w:snapToGrid/>
        <w:spacing w:before="157" w:beforeLines="50" w:after="157" w:afterLines="50"/>
        <w:textAlignment w:val="auto"/>
        <w:rPr>
          <w:rFonts w:hint="default" w:ascii="Times New Roman" w:hAnsi="Times New Roman" w:cs="Times New Roman"/>
          <w:b/>
          <w:bCs/>
          <w:color w:val="auto"/>
          <w:sz w:val="30"/>
          <w:szCs w:val="30"/>
          <w:lang w:val="en-US" w:eastAsia="zh-CN"/>
        </w:rPr>
      </w:pPr>
      <w:bookmarkStart w:id="230" w:name="_Toc20070"/>
      <w:bookmarkStart w:id="231" w:name="_Toc88827324"/>
      <w:bookmarkStart w:id="232" w:name="_Toc105078960"/>
      <w:r>
        <w:rPr>
          <w:rFonts w:hint="default" w:ascii="Times New Roman" w:hAnsi="Times New Roman" w:cs="Times New Roman"/>
          <w:b/>
          <w:bCs/>
          <w:color w:val="auto"/>
          <w:sz w:val="30"/>
          <w:szCs w:val="30"/>
          <w:lang w:val="en-US" w:eastAsia="zh-CN"/>
        </w:rPr>
        <w:t>5.6 钢柱垂直度检测</w:t>
      </w:r>
      <w:bookmarkEnd w:id="230"/>
      <w:bookmarkEnd w:id="231"/>
      <w:bookmarkEnd w:id="232"/>
    </w:p>
    <w:p w14:paraId="3E5579A7">
      <w:pPr>
        <w:snapToGrid w:val="0"/>
        <w:spacing w:before="120" w:after="120"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根据国家行业标准《建筑变形测量规范》（JGJ 8-2016）相关规定，用全站仪测量钢结构厂房钢柱的外边线倾斜。测量结果见表5.6-1，测量结果含施工误差和测量误差。</w:t>
      </w:r>
    </w:p>
    <w:p w14:paraId="4ACA1090">
      <w:pPr>
        <w:snapToGrid w:val="0"/>
        <w:spacing w:before="120" w:after="120"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检测作业期间，厂房受检区域内通视条件较差，受现场检测条件所限，抽检构件数量有限。</w:t>
      </w:r>
    </w:p>
    <w:p w14:paraId="457C5EDF">
      <w:pPr>
        <w:snapToGrid w:val="0"/>
        <w:spacing w:before="120" w:after="120"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现场检测时，参考现行国家标准《工业建筑可靠性鉴定标准》(GB50144-2019) 第7.3.9条文说明中表10和 《门式刚架轻型房屋钢结构技术规范》（GB 51022-2015）表3.3.1关于钢结构有吊车门式刚架柱顶水平位移限值的规定：</w:t>
      </w:r>
    </w:p>
    <w:p w14:paraId="310687C5">
      <w:pPr>
        <w:snapToGrid w:val="0"/>
        <w:spacing w:before="120" w:after="120"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（a）A级位移： ≤H/400（吊车设有驾驶室）；</w:t>
      </w:r>
    </w:p>
    <w:p w14:paraId="30E808DA">
      <w:pPr>
        <w:snapToGrid w:val="0"/>
        <w:spacing w:before="120" w:after="120"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（b）B级位移：＞A级限值，但不影响吊车运行；</w:t>
      </w:r>
    </w:p>
    <w:p w14:paraId="79F21148">
      <w:pPr>
        <w:snapToGrid w:val="0"/>
        <w:spacing w:before="120" w:after="120" w:line="360" w:lineRule="auto"/>
        <w:ind w:firstLine="480" w:firstLineChars="200"/>
        <w:rPr>
          <w:rFonts w:hint="default" w:ascii="Times New Roman" w:hAnsi="Times New Roman" w:eastAsia="宋体" w:cs="Times New Roman"/>
          <w:b/>
          <w:color w:val="auto"/>
          <w:kern w:val="2"/>
          <w:sz w:val="21"/>
          <w:szCs w:val="21"/>
          <w:lang w:val="zh-CN" w:eastAsia="zh-CN" w:bidi="ar-SA"/>
        </w:rPr>
      </w:pPr>
      <w:r>
        <w:rPr>
          <w:rFonts w:hint="default" w:ascii="Times New Roman" w:hAnsi="Times New Roman" w:eastAsia="宋体" w:cs="Times New Roman"/>
          <w:color w:val="auto"/>
          <w:sz w:val="24"/>
          <w:szCs w:val="24"/>
        </w:rPr>
        <w:t>（c）C级位移：＞A级限值，影响吊车运行。</w:t>
      </w:r>
    </w:p>
    <w:p w14:paraId="4133975B">
      <w:pPr>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b/>
          <w:color w:val="auto"/>
          <w:kern w:val="2"/>
          <w:sz w:val="21"/>
          <w:szCs w:val="21"/>
          <w:lang w:val="zh-CN" w:eastAsia="zh-CN" w:bidi="ar-SA"/>
        </w:rPr>
      </w:pPr>
      <w:r>
        <w:rPr>
          <w:rFonts w:hint="default" w:ascii="Times New Roman" w:hAnsi="Times New Roman" w:eastAsia="宋体" w:cs="Times New Roman"/>
          <w:b/>
          <w:color w:val="auto"/>
          <w:kern w:val="2"/>
          <w:sz w:val="21"/>
          <w:szCs w:val="21"/>
          <w:lang w:val="zh-CN" w:eastAsia="zh-CN" w:bidi="ar-SA"/>
        </w:rPr>
        <w:t>表5.6-1  钢柱垂直度测量结果</w:t>
      </w:r>
      <w:r>
        <w:rPr>
          <w:rFonts w:hint="eastAsia" w:ascii="Times New Roman" w:hAnsi="Times New Roman" w:eastAsia="宋体" w:cs="Times New Roman"/>
          <w:b/>
          <w:color w:val="auto"/>
          <w:kern w:val="2"/>
          <w:sz w:val="21"/>
          <w:szCs w:val="21"/>
          <w:lang w:val="en-US" w:eastAsia="zh-CN" w:bidi="ar-SA"/>
        </w:rPr>
        <w:t>(抽样比例满足鉴定要求)</w:t>
      </w:r>
    </w:p>
    <w:tbl>
      <w:tblPr>
        <w:tblStyle w:val="22"/>
        <w:tblW w:w="851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75"/>
        <w:gridCol w:w="1166"/>
        <w:gridCol w:w="1607"/>
        <w:gridCol w:w="783"/>
        <w:gridCol w:w="796"/>
        <w:gridCol w:w="1744"/>
        <w:gridCol w:w="1745"/>
      </w:tblGrid>
      <w:tr w14:paraId="43341A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92" w:hRule="atLeast"/>
          <w:tblHeader/>
          <w:jc w:val="center"/>
        </w:trPr>
        <w:tc>
          <w:tcPr>
            <w:tcW w:w="675" w:type="dxa"/>
            <w:vAlign w:val="center"/>
          </w:tcPr>
          <w:p w14:paraId="4BFA5B28">
            <w:pPr>
              <w:spacing w:before="0" w:after="0"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1166" w:type="dxa"/>
            <w:vAlign w:val="center"/>
          </w:tcPr>
          <w:p w14:paraId="27BEF0AB">
            <w:pPr>
              <w:spacing w:before="0" w:after="0"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轴线</w:t>
            </w:r>
          </w:p>
          <w:p w14:paraId="28DF7B0A">
            <w:pPr>
              <w:spacing w:before="0" w:after="0"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位置</w:t>
            </w:r>
          </w:p>
        </w:tc>
        <w:tc>
          <w:tcPr>
            <w:tcW w:w="1607" w:type="dxa"/>
            <w:vAlign w:val="center"/>
          </w:tcPr>
          <w:p w14:paraId="0330BB04">
            <w:pPr>
              <w:spacing w:before="0" w:after="0"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测量高度H(mm)</w:t>
            </w:r>
          </w:p>
        </w:tc>
        <w:tc>
          <w:tcPr>
            <w:tcW w:w="783" w:type="dxa"/>
            <w:vAlign w:val="center"/>
          </w:tcPr>
          <w:p w14:paraId="634DD52F">
            <w:pPr>
              <w:spacing w:before="0" w:after="0"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偏差</w:t>
            </w:r>
          </w:p>
        </w:tc>
        <w:tc>
          <w:tcPr>
            <w:tcW w:w="796" w:type="dxa"/>
            <w:vAlign w:val="center"/>
          </w:tcPr>
          <w:p w14:paraId="1017F6D8">
            <w:pPr>
              <w:widowControl/>
              <w:spacing w:before="0" w:after="0"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方向</w:t>
            </w:r>
          </w:p>
        </w:tc>
        <w:tc>
          <w:tcPr>
            <w:tcW w:w="1744" w:type="dxa"/>
            <w:vAlign w:val="center"/>
          </w:tcPr>
          <w:p w14:paraId="089699C7">
            <w:pPr>
              <w:widowControl/>
              <w:spacing w:before="0" w:after="0" w:line="240" w:lineRule="auto"/>
              <w:jc w:val="center"/>
              <w:rPr>
                <w:rFonts w:hint="default" w:ascii="Times New Roman" w:hAnsi="Times New Roman" w:eastAsia="宋体" w:cs="Times New Roman"/>
                <w:b/>
                <w:color w:val="auto"/>
                <w:sz w:val="21"/>
                <w:szCs w:val="21"/>
                <w:highlight w:val="yellow"/>
              </w:rPr>
            </w:pPr>
            <w:r>
              <w:rPr>
                <w:rFonts w:hint="default" w:ascii="Times New Roman" w:hAnsi="Times New Roman" w:eastAsia="宋体" w:cs="Times New Roman"/>
                <w:b/>
                <w:color w:val="auto"/>
                <w:sz w:val="21"/>
                <w:szCs w:val="21"/>
              </w:rPr>
              <w:t xml:space="preserve">规范限制（H/400) </w:t>
            </w:r>
          </w:p>
        </w:tc>
        <w:tc>
          <w:tcPr>
            <w:tcW w:w="1745" w:type="dxa"/>
            <w:vAlign w:val="center"/>
          </w:tcPr>
          <w:p w14:paraId="6561307C">
            <w:pPr>
              <w:widowControl/>
              <w:spacing w:before="0" w:after="0"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是否满足</w:t>
            </w:r>
          </w:p>
        </w:tc>
      </w:tr>
      <w:tr w14:paraId="4678D1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675" w:type="dxa"/>
            <w:vMerge w:val="restart"/>
            <w:vAlign w:val="center"/>
          </w:tcPr>
          <w:p w14:paraId="5EC8E743">
            <w:pPr>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166" w:type="dxa"/>
            <w:vMerge w:val="restart"/>
            <w:vAlign w:val="center"/>
          </w:tcPr>
          <w:p w14:paraId="44F54D47">
            <w:pPr>
              <w:widowControl w:val="0"/>
              <w:snapToGrid w:val="0"/>
              <w:spacing w:before="0" w:after="0" w:line="240" w:lineRule="auto"/>
              <w:ind w:firstLine="0" w:firstLineChars="0"/>
              <w:jc w:val="both"/>
              <w:rPr>
                <w:rFonts w:hint="default" w:ascii="Times New Roman" w:hAnsi="Times New Roman" w:eastAsia="宋体" w:cs="Times New Roman"/>
                <w:color w:val="auto"/>
                <w:kern w:val="2"/>
                <w:sz w:val="21"/>
                <w:szCs w:val="21"/>
                <w:lang w:val="zh-CN" w:eastAsia="zh-CN" w:bidi="ar-SA"/>
              </w:rPr>
            </w:pPr>
          </w:p>
        </w:tc>
        <w:tc>
          <w:tcPr>
            <w:tcW w:w="1607" w:type="dxa"/>
            <w:vAlign w:val="center"/>
          </w:tcPr>
          <w:p w14:paraId="5C261C9C">
            <w:pPr>
              <w:spacing w:before="0" w:after="0" w:line="240" w:lineRule="auto"/>
              <w:jc w:val="center"/>
              <w:rPr>
                <w:rFonts w:hint="default" w:ascii="Times New Roman" w:hAnsi="Times New Roman" w:eastAsia="宋体" w:cs="Times New Roman"/>
                <w:color w:val="auto"/>
                <w:sz w:val="21"/>
                <w:szCs w:val="21"/>
              </w:rPr>
            </w:pPr>
          </w:p>
        </w:tc>
        <w:tc>
          <w:tcPr>
            <w:tcW w:w="783" w:type="dxa"/>
            <w:vAlign w:val="center"/>
          </w:tcPr>
          <w:p w14:paraId="40220F9C">
            <w:pPr>
              <w:spacing w:before="0" w:after="0" w:line="240" w:lineRule="auto"/>
              <w:jc w:val="center"/>
              <w:rPr>
                <w:rFonts w:hint="default" w:ascii="Times New Roman" w:hAnsi="Times New Roman" w:eastAsia="宋体" w:cs="Times New Roman"/>
                <w:color w:val="auto"/>
                <w:sz w:val="21"/>
                <w:szCs w:val="21"/>
              </w:rPr>
            </w:pPr>
          </w:p>
        </w:tc>
        <w:tc>
          <w:tcPr>
            <w:tcW w:w="796" w:type="dxa"/>
            <w:vAlign w:val="center"/>
          </w:tcPr>
          <w:p w14:paraId="09DCCA0F">
            <w:pPr>
              <w:spacing w:before="0" w:after="0" w:line="240" w:lineRule="auto"/>
              <w:jc w:val="center"/>
              <w:rPr>
                <w:rFonts w:hint="default" w:ascii="Times New Roman" w:hAnsi="Times New Roman" w:eastAsia="宋体" w:cs="Times New Roman"/>
                <w:color w:val="auto"/>
                <w:sz w:val="21"/>
                <w:szCs w:val="21"/>
              </w:rPr>
            </w:pPr>
          </w:p>
        </w:tc>
        <w:tc>
          <w:tcPr>
            <w:tcW w:w="1744" w:type="dxa"/>
            <w:vAlign w:val="center"/>
          </w:tcPr>
          <w:p w14:paraId="73483844">
            <w:pPr>
              <w:spacing w:before="0" w:after="0" w:line="240" w:lineRule="auto"/>
              <w:jc w:val="center"/>
              <w:rPr>
                <w:rFonts w:hint="default" w:ascii="Times New Roman" w:hAnsi="Times New Roman" w:eastAsia="宋体" w:cs="Times New Roman"/>
                <w:color w:val="auto"/>
                <w:sz w:val="21"/>
                <w:szCs w:val="21"/>
                <w:highlight w:val="yellow"/>
              </w:rPr>
            </w:pPr>
          </w:p>
        </w:tc>
        <w:tc>
          <w:tcPr>
            <w:tcW w:w="1745" w:type="dxa"/>
            <w:vAlign w:val="center"/>
          </w:tcPr>
          <w:p w14:paraId="5BBBBF9E">
            <w:pPr>
              <w:spacing w:before="0" w:after="0" w:line="240" w:lineRule="auto"/>
              <w:jc w:val="center"/>
              <w:rPr>
                <w:rFonts w:hint="default" w:ascii="Times New Roman" w:hAnsi="Times New Roman" w:eastAsia="宋体" w:cs="Times New Roman"/>
                <w:color w:val="auto"/>
                <w:sz w:val="21"/>
                <w:szCs w:val="21"/>
              </w:rPr>
            </w:pPr>
          </w:p>
        </w:tc>
      </w:tr>
      <w:tr w14:paraId="796835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675" w:type="dxa"/>
            <w:vMerge w:val="continue"/>
            <w:vAlign w:val="center"/>
          </w:tcPr>
          <w:p w14:paraId="5A2D337B">
            <w:pPr>
              <w:spacing w:before="0" w:after="0" w:line="240" w:lineRule="auto"/>
              <w:jc w:val="center"/>
              <w:rPr>
                <w:rFonts w:hint="default" w:ascii="Times New Roman" w:hAnsi="Times New Roman" w:eastAsia="宋体" w:cs="Times New Roman"/>
                <w:color w:val="auto"/>
                <w:sz w:val="21"/>
                <w:szCs w:val="21"/>
              </w:rPr>
            </w:pPr>
          </w:p>
        </w:tc>
        <w:tc>
          <w:tcPr>
            <w:tcW w:w="1166" w:type="dxa"/>
            <w:vMerge w:val="continue"/>
            <w:vAlign w:val="center"/>
          </w:tcPr>
          <w:p w14:paraId="2AB9782F">
            <w:pPr>
              <w:spacing w:before="0" w:after="0" w:line="240" w:lineRule="auto"/>
              <w:jc w:val="center"/>
              <w:rPr>
                <w:rFonts w:hint="default" w:ascii="Times New Roman" w:hAnsi="Times New Roman" w:eastAsia="宋体" w:cs="Times New Roman"/>
                <w:color w:val="auto"/>
                <w:sz w:val="21"/>
                <w:szCs w:val="21"/>
              </w:rPr>
            </w:pPr>
          </w:p>
        </w:tc>
        <w:tc>
          <w:tcPr>
            <w:tcW w:w="1607" w:type="dxa"/>
            <w:vAlign w:val="center"/>
          </w:tcPr>
          <w:p w14:paraId="658E868E">
            <w:pPr>
              <w:spacing w:before="0" w:after="0" w:line="240" w:lineRule="auto"/>
              <w:jc w:val="center"/>
              <w:rPr>
                <w:rFonts w:hint="default" w:ascii="Times New Roman" w:hAnsi="Times New Roman" w:eastAsia="宋体" w:cs="Times New Roman"/>
                <w:color w:val="auto"/>
                <w:sz w:val="21"/>
                <w:szCs w:val="21"/>
              </w:rPr>
            </w:pPr>
          </w:p>
        </w:tc>
        <w:tc>
          <w:tcPr>
            <w:tcW w:w="783" w:type="dxa"/>
            <w:vAlign w:val="center"/>
          </w:tcPr>
          <w:p w14:paraId="28E6AB03">
            <w:pPr>
              <w:spacing w:before="0" w:after="0" w:line="240" w:lineRule="auto"/>
              <w:jc w:val="center"/>
              <w:rPr>
                <w:rFonts w:hint="default" w:ascii="Times New Roman" w:hAnsi="Times New Roman" w:eastAsia="宋体" w:cs="Times New Roman"/>
                <w:color w:val="auto"/>
                <w:sz w:val="21"/>
                <w:szCs w:val="21"/>
              </w:rPr>
            </w:pPr>
          </w:p>
        </w:tc>
        <w:tc>
          <w:tcPr>
            <w:tcW w:w="796" w:type="dxa"/>
            <w:vAlign w:val="center"/>
          </w:tcPr>
          <w:p w14:paraId="4D321171">
            <w:pPr>
              <w:spacing w:before="0" w:after="0" w:line="240" w:lineRule="auto"/>
              <w:jc w:val="center"/>
              <w:rPr>
                <w:rFonts w:hint="default" w:ascii="Times New Roman" w:hAnsi="Times New Roman" w:eastAsia="宋体" w:cs="Times New Roman"/>
                <w:color w:val="auto"/>
                <w:sz w:val="21"/>
                <w:szCs w:val="21"/>
              </w:rPr>
            </w:pPr>
          </w:p>
        </w:tc>
        <w:tc>
          <w:tcPr>
            <w:tcW w:w="1744" w:type="dxa"/>
            <w:vAlign w:val="center"/>
          </w:tcPr>
          <w:p w14:paraId="037A2DB0">
            <w:pPr>
              <w:spacing w:before="0" w:after="0" w:line="240" w:lineRule="auto"/>
              <w:jc w:val="center"/>
              <w:rPr>
                <w:rFonts w:hint="default" w:ascii="Times New Roman" w:hAnsi="Times New Roman" w:eastAsia="宋体" w:cs="Times New Roman"/>
                <w:color w:val="auto"/>
                <w:sz w:val="21"/>
                <w:szCs w:val="21"/>
                <w:highlight w:val="yellow"/>
              </w:rPr>
            </w:pPr>
          </w:p>
        </w:tc>
        <w:tc>
          <w:tcPr>
            <w:tcW w:w="1745" w:type="dxa"/>
            <w:vAlign w:val="center"/>
          </w:tcPr>
          <w:p w14:paraId="182F30FE">
            <w:pPr>
              <w:spacing w:before="0" w:after="0" w:line="240" w:lineRule="auto"/>
              <w:jc w:val="center"/>
              <w:rPr>
                <w:rFonts w:hint="default" w:ascii="Times New Roman" w:hAnsi="Times New Roman" w:eastAsia="宋体" w:cs="Times New Roman"/>
                <w:color w:val="auto"/>
                <w:sz w:val="21"/>
                <w:szCs w:val="21"/>
              </w:rPr>
            </w:pPr>
          </w:p>
        </w:tc>
      </w:tr>
      <w:tr w14:paraId="7AF4FF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75" w:type="dxa"/>
            <w:vMerge w:val="restart"/>
            <w:vAlign w:val="center"/>
          </w:tcPr>
          <w:p w14:paraId="3BFA1739">
            <w:pPr>
              <w:spacing w:before="0"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166" w:type="dxa"/>
            <w:vMerge w:val="restart"/>
            <w:vAlign w:val="center"/>
          </w:tcPr>
          <w:p w14:paraId="12E2A95E">
            <w:pPr>
              <w:widowControl w:val="0"/>
              <w:snapToGrid w:val="0"/>
              <w:spacing w:before="0" w:after="0" w:line="240" w:lineRule="auto"/>
              <w:ind w:firstLine="0" w:firstLineChars="0"/>
              <w:jc w:val="both"/>
              <w:rPr>
                <w:rFonts w:hint="default" w:ascii="Times New Roman" w:hAnsi="Times New Roman" w:eastAsia="宋体" w:cs="Times New Roman"/>
                <w:color w:val="auto"/>
                <w:kern w:val="2"/>
                <w:sz w:val="21"/>
                <w:szCs w:val="21"/>
                <w:lang w:val="zh-CN" w:eastAsia="zh-CN" w:bidi="ar-SA"/>
              </w:rPr>
            </w:pPr>
          </w:p>
        </w:tc>
        <w:tc>
          <w:tcPr>
            <w:tcW w:w="1607" w:type="dxa"/>
            <w:vAlign w:val="center"/>
          </w:tcPr>
          <w:p w14:paraId="5B679332">
            <w:pPr>
              <w:spacing w:before="0" w:after="0" w:line="240" w:lineRule="auto"/>
              <w:jc w:val="center"/>
              <w:rPr>
                <w:rFonts w:hint="default" w:ascii="Times New Roman" w:hAnsi="Times New Roman" w:eastAsia="宋体" w:cs="Times New Roman"/>
                <w:color w:val="auto"/>
                <w:sz w:val="21"/>
                <w:szCs w:val="21"/>
              </w:rPr>
            </w:pPr>
          </w:p>
        </w:tc>
        <w:tc>
          <w:tcPr>
            <w:tcW w:w="783" w:type="dxa"/>
            <w:vAlign w:val="center"/>
          </w:tcPr>
          <w:p w14:paraId="1B5564AD">
            <w:pPr>
              <w:spacing w:before="0" w:after="0" w:line="240" w:lineRule="auto"/>
              <w:jc w:val="center"/>
              <w:rPr>
                <w:rFonts w:hint="default" w:ascii="Times New Roman" w:hAnsi="Times New Roman" w:eastAsia="宋体" w:cs="Times New Roman"/>
                <w:color w:val="auto"/>
                <w:sz w:val="21"/>
                <w:szCs w:val="21"/>
              </w:rPr>
            </w:pPr>
          </w:p>
        </w:tc>
        <w:tc>
          <w:tcPr>
            <w:tcW w:w="796" w:type="dxa"/>
            <w:vAlign w:val="center"/>
          </w:tcPr>
          <w:p w14:paraId="3C42CF7A">
            <w:pPr>
              <w:spacing w:before="0" w:after="0" w:line="240" w:lineRule="auto"/>
              <w:jc w:val="center"/>
              <w:rPr>
                <w:rFonts w:hint="default" w:ascii="Times New Roman" w:hAnsi="Times New Roman" w:eastAsia="宋体" w:cs="Times New Roman"/>
                <w:color w:val="auto"/>
                <w:sz w:val="21"/>
                <w:szCs w:val="21"/>
              </w:rPr>
            </w:pPr>
          </w:p>
        </w:tc>
        <w:tc>
          <w:tcPr>
            <w:tcW w:w="1744" w:type="dxa"/>
            <w:vAlign w:val="center"/>
          </w:tcPr>
          <w:p w14:paraId="5883FE7F">
            <w:pPr>
              <w:spacing w:before="0" w:after="0" w:line="240" w:lineRule="auto"/>
              <w:jc w:val="center"/>
              <w:rPr>
                <w:rFonts w:hint="default" w:ascii="Times New Roman" w:hAnsi="Times New Roman" w:eastAsia="宋体" w:cs="Times New Roman"/>
                <w:color w:val="auto"/>
                <w:sz w:val="21"/>
                <w:szCs w:val="21"/>
                <w:highlight w:val="yellow"/>
              </w:rPr>
            </w:pPr>
          </w:p>
        </w:tc>
        <w:tc>
          <w:tcPr>
            <w:tcW w:w="1745" w:type="dxa"/>
            <w:vAlign w:val="center"/>
          </w:tcPr>
          <w:p w14:paraId="37237FF1">
            <w:pPr>
              <w:spacing w:before="0" w:after="0" w:line="240" w:lineRule="auto"/>
              <w:jc w:val="center"/>
              <w:rPr>
                <w:rFonts w:hint="default" w:ascii="Times New Roman" w:hAnsi="Times New Roman" w:eastAsia="宋体" w:cs="Times New Roman"/>
                <w:color w:val="auto"/>
                <w:sz w:val="21"/>
                <w:szCs w:val="21"/>
              </w:rPr>
            </w:pPr>
          </w:p>
        </w:tc>
      </w:tr>
      <w:tr w14:paraId="59B024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75" w:type="dxa"/>
            <w:vMerge w:val="continue"/>
            <w:vAlign w:val="center"/>
          </w:tcPr>
          <w:p w14:paraId="43D2D02F">
            <w:pPr>
              <w:spacing w:before="0" w:after="0" w:line="240" w:lineRule="auto"/>
              <w:jc w:val="center"/>
              <w:rPr>
                <w:rFonts w:hint="default" w:ascii="Times New Roman" w:hAnsi="Times New Roman" w:eastAsia="宋体" w:cs="Times New Roman"/>
                <w:color w:val="auto"/>
                <w:sz w:val="21"/>
                <w:szCs w:val="21"/>
              </w:rPr>
            </w:pPr>
          </w:p>
        </w:tc>
        <w:tc>
          <w:tcPr>
            <w:tcW w:w="1166" w:type="dxa"/>
            <w:vMerge w:val="continue"/>
            <w:vAlign w:val="center"/>
          </w:tcPr>
          <w:p w14:paraId="65E1F6E5">
            <w:pPr>
              <w:spacing w:before="0" w:after="0" w:line="240" w:lineRule="auto"/>
              <w:jc w:val="center"/>
              <w:rPr>
                <w:rFonts w:hint="default" w:ascii="Times New Roman" w:hAnsi="Times New Roman" w:eastAsia="宋体" w:cs="Times New Roman"/>
                <w:color w:val="auto"/>
                <w:sz w:val="21"/>
                <w:szCs w:val="21"/>
              </w:rPr>
            </w:pPr>
          </w:p>
        </w:tc>
        <w:tc>
          <w:tcPr>
            <w:tcW w:w="1607" w:type="dxa"/>
            <w:vAlign w:val="center"/>
          </w:tcPr>
          <w:p w14:paraId="04BA81D4">
            <w:pPr>
              <w:spacing w:before="0" w:after="0" w:line="240" w:lineRule="auto"/>
              <w:jc w:val="center"/>
              <w:rPr>
                <w:rFonts w:hint="default" w:ascii="Times New Roman" w:hAnsi="Times New Roman" w:eastAsia="宋体" w:cs="Times New Roman"/>
                <w:color w:val="auto"/>
                <w:sz w:val="21"/>
                <w:szCs w:val="21"/>
              </w:rPr>
            </w:pPr>
          </w:p>
        </w:tc>
        <w:tc>
          <w:tcPr>
            <w:tcW w:w="783" w:type="dxa"/>
            <w:vAlign w:val="center"/>
          </w:tcPr>
          <w:p w14:paraId="4BCA71C7">
            <w:pPr>
              <w:spacing w:before="0" w:after="0" w:line="240" w:lineRule="auto"/>
              <w:jc w:val="center"/>
              <w:rPr>
                <w:rFonts w:hint="default" w:ascii="Times New Roman" w:hAnsi="Times New Roman" w:eastAsia="宋体" w:cs="Times New Roman"/>
                <w:color w:val="auto"/>
                <w:sz w:val="21"/>
                <w:szCs w:val="21"/>
              </w:rPr>
            </w:pPr>
          </w:p>
        </w:tc>
        <w:tc>
          <w:tcPr>
            <w:tcW w:w="796" w:type="dxa"/>
            <w:vAlign w:val="center"/>
          </w:tcPr>
          <w:p w14:paraId="6ABC17FC">
            <w:pPr>
              <w:spacing w:before="0" w:after="0" w:line="240" w:lineRule="auto"/>
              <w:jc w:val="center"/>
              <w:rPr>
                <w:rFonts w:hint="default" w:ascii="Times New Roman" w:hAnsi="Times New Roman" w:eastAsia="宋体" w:cs="Times New Roman"/>
                <w:color w:val="auto"/>
                <w:sz w:val="21"/>
                <w:szCs w:val="21"/>
              </w:rPr>
            </w:pPr>
          </w:p>
        </w:tc>
        <w:tc>
          <w:tcPr>
            <w:tcW w:w="1744" w:type="dxa"/>
            <w:vAlign w:val="center"/>
          </w:tcPr>
          <w:p w14:paraId="3F08C1A3">
            <w:pPr>
              <w:spacing w:before="0" w:after="0" w:line="240" w:lineRule="auto"/>
              <w:jc w:val="center"/>
              <w:rPr>
                <w:rFonts w:hint="default" w:ascii="Times New Roman" w:hAnsi="Times New Roman" w:eastAsia="宋体" w:cs="Times New Roman"/>
                <w:color w:val="auto"/>
                <w:sz w:val="21"/>
                <w:szCs w:val="21"/>
                <w:highlight w:val="yellow"/>
              </w:rPr>
            </w:pPr>
          </w:p>
        </w:tc>
        <w:tc>
          <w:tcPr>
            <w:tcW w:w="1745" w:type="dxa"/>
            <w:vAlign w:val="center"/>
          </w:tcPr>
          <w:p w14:paraId="57A6DCC8">
            <w:pPr>
              <w:spacing w:before="0" w:after="0" w:line="240" w:lineRule="auto"/>
              <w:jc w:val="center"/>
              <w:rPr>
                <w:rFonts w:hint="default" w:ascii="Times New Roman" w:hAnsi="Times New Roman" w:eastAsia="宋体" w:cs="Times New Roman"/>
                <w:color w:val="auto"/>
                <w:sz w:val="21"/>
                <w:szCs w:val="21"/>
              </w:rPr>
            </w:pPr>
          </w:p>
        </w:tc>
      </w:tr>
    </w:tbl>
    <w:p w14:paraId="1A364FB7">
      <w:pPr>
        <w:keepNext w:val="0"/>
        <w:keepLines w:val="0"/>
        <w:pageBreakBefore w:val="0"/>
        <w:widowControl w:val="0"/>
        <w:kinsoku/>
        <w:wordWrap/>
        <w:overflowPunct/>
        <w:topLinePunct w:val="0"/>
        <w:autoSpaceDE/>
        <w:autoSpaceDN/>
        <w:bidi w:val="0"/>
        <w:adjustRightInd/>
        <w:snapToGrid/>
        <w:spacing w:before="157" w:beforeLines="50" w:after="157" w:afterLines="50"/>
        <w:textAlignment w:val="auto"/>
        <w:rPr>
          <w:rFonts w:hint="default" w:ascii="Times New Roman" w:hAnsi="Times New Roman" w:cs="Times New Roman"/>
          <w:b/>
          <w:bCs/>
          <w:color w:val="auto"/>
          <w:sz w:val="30"/>
          <w:szCs w:val="30"/>
          <w:lang w:val="en-US" w:eastAsia="zh-CN"/>
        </w:rPr>
      </w:pPr>
      <w:bookmarkStart w:id="233" w:name="_Toc105078961"/>
      <w:bookmarkStart w:id="234" w:name="_Toc19919"/>
      <w:r>
        <w:rPr>
          <w:rFonts w:hint="default" w:ascii="Times New Roman" w:hAnsi="Times New Roman" w:cs="Times New Roman"/>
          <w:b/>
          <w:bCs/>
          <w:color w:val="auto"/>
          <w:sz w:val="30"/>
          <w:szCs w:val="30"/>
          <w:lang w:val="en-US" w:eastAsia="zh-CN"/>
        </w:rPr>
        <w:t>5.7 钢梁挠度测量</w:t>
      </w:r>
      <w:bookmarkEnd w:id="233"/>
      <w:bookmarkEnd w:id="234"/>
    </w:p>
    <w:p w14:paraId="07FCD09E">
      <w:pPr>
        <w:spacing w:before="120" w:after="120" w:line="360" w:lineRule="auto"/>
        <w:ind w:right="2" w:rightChars="1"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根据国家行业标准《建筑变形测量规范》（JGJ 8-2016），</w:t>
      </w:r>
      <w:r>
        <w:rPr>
          <w:rFonts w:hint="default" w:ascii="Times New Roman" w:hAnsi="Times New Roman" w:eastAsia="宋体" w:cs="Times New Roman"/>
          <w:color w:val="auto"/>
          <w:kern w:val="0"/>
          <w:sz w:val="24"/>
          <w:szCs w:val="24"/>
        </w:rPr>
        <w:t>用全站仪测量屋面梁上翼缘两个端点与中间点的高度，从而得出屋面钢梁中点相对于两端点的挠度。现场钢结构屋面梁挠度测量结果如表5.7-1所示</w:t>
      </w:r>
      <w:r>
        <w:rPr>
          <w:rFonts w:hint="default" w:ascii="Times New Roman" w:hAnsi="Times New Roman" w:eastAsia="宋体" w:cs="Times New Roman"/>
          <w:color w:val="auto"/>
          <w:sz w:val="24"/>
          <w:szCs w:val="24"/>
        </w:rPr>
        <w:t>。</w:t>
      </w:r>
    </w:p>
    <w:p w14:paraId="4E64816D">
      <w:pPr>
        <w:spacing w:before="0" w:after="0" w:line="240" w:lineRule="auto"/>
        <w:ind w:right="2" w:rightChars="1" w:firstLine="422" w:firstLineChars="20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表5.7-1  厂房钢梁挠度测量结果汇总表</w:t>
      </w:r>
      <w:r>
        <w:rPr>
          <w:rFonts w:hint="eastAsia" w:ascii="Times New Roman" w:hAnsi="Times New Roman" w:eastAsia="宋体" w:cs="Times New Roman"/>
          <w:b/>
          <w:color w:val="auto"/>
          <w:kern w:val="2"/>
          <w:sz w:val="21"/>
          <w:szCs w:val="21"/>
          <w:lang w:val="en-US" w:eastAsia="zh-CN" w:bidi="ar-SA"/>
        </w:rPr>
        <w:t>(抽样比例满足鉴定要求)</w:t>
      </w:r>
    </w:p>
    <w:tbl>
      <w:tblPr>
        <w:tblStyle w:val="22"/>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580"/>
        <w:gridCol w:w="2270"/>
        <w:gridCol w:w="1136"/>
        <w:gridCol w:w="1845"/>
        <w:gridCol w:w="1389"/>
        <w:gridCol w:w="1116"/>
      </w:tblGrid>
      <w:tr w14:paraId="53CAF0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4" w:hRule="atLeast"/>
        </w:trPr>
        <w:tc>
          <w:tcPr>
            <w:tcW w:w="348" w:type="pct"/>
            <w:shd w:val="clear" w:color="auto" w:fill="auto"/>
            <w:tcMar>
              <w:top w:w="15" w:type="dxa"/>
              <w:left w:w="15" w:type="dxa"/>
              <w:bottom w:w="0" w:type="dxa"/>
              <w:right w:w="15" w:type="dxa"/>
            </w:tcMar>
            <w:vAlign w:val="center"/>
          </w:tcPr>
          <w:p w14:paraId="2EACB55D">
            <w:pPr>
              <w:widowControl/>
              <w:spacing w:before="0" w:after="0" w:line="240" w:lineRule="auto"/>
              <w:jc w:val="center"/>
              <w:textAlignment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1361" w:type="pct"/>
            <w:shd w:val="clear" w:color="auto" w:fill="auto"/>
            <w:tcMar>
              <w:top w:w="15" w:type="dxa"/>
              <w:left w:w="15" w:type="dxa"/>
              <w:bottom w:w="0" w:type="dxa"/>
              <w:right w:w="15" w:type="dxa"/>
            </w:tcMar>
            <w:vAlign w:val="center"/>
          </w:tcPr>
          <w:p w14:paraId="13D6E8B2">
            <w:pPr>
              <w:widowControl/>
              <w:spacing w:before="0" w:after="0" w:line="240" w:lineRule="auto"/>
              <w:jc w:val="center"/>
              <w:textAlignment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轴线位置</w:t>
            </w:r>
          </w:p>
        </w:tc>
        <w:tc>
          <w:tcPr>
            <w:tcW w:w="681" w:type="pct"/>
            <w:shd w:val="clear" w:color="auto" w:fill="auto"/>
            <w:tcMar>
              <w:top w:w="15" w:type="dxa"/>
              <w:left w:w="15" w:type="dxa"/>
              <w:bottom w:w="0" w:type="dxa"/>
              <w:right w:w="15" w:type="dxa"/>
            </w:tcMar>
            <w:vAlign w:val="center"/>
          </w:tcPr>
          <w:p w14:paraId="08634851">
            <w:pPr>
              <w:widowControl/>
              <w:spacing w:before="0" w:after="0" w:line="240" w:lineRule="auto"/>
              <w:jc w:val="center"/>
              <w:textAlignment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跨度（mm）</w:t>
            </w:r>
          </w:p>
        </w:tc>
        <w:tc>
          <w:tcPr>
            <w:tcW w:w="1106" w:type="pct"/>
            <w:shd w:val="clear" w:color="auto" w:fill="auto"/>
            <w:tcMar>
              <w:top w:w="15" w:type="dxa"/>
              <w:left w:w="15" w:type="dxa"/>
              <w:bottom w:w="0" w:type="dxa"/>
              <w:right w:w="15" w:type="dxa"/>
            </w:tcMar>
            <w:vAlign w:val="center"/>
          </w:tcPr>
          <w:p w14:paraId="25F67B1E">
            <w:pPr>
              <w:widowControl/>
              <w:spacing w:before="0" w:after="0" w:line="240" w:lineRule="auto"/>
              <w:jc w:val="center"/>
              <w:textAlignment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允许偏差</w:t>
            </w:r>
          </w:p>
          <w:p w14:paraId="4009F230">
            <w:pPr>
              <w:widowControl/>
              <w:spacing w:before="0" w:after="0" w:line="240" w:lineRule="auto"/>
              <w:jc w:val="center"/>
              <w:textAlignment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L/400（mm）</w:t>
            </w:r>
          </w:p>
        </w:tc>
        <w:tc>
          <w:tcPr>
            <w:tcW w:w="833" w:type="pct"/>
            <w:shd w:val="clear" w:color="auto" w:fill="auto"/>
            <w:vAlign w:val="center"/>
          </w:tcPr>
          <w:p w14:paraId="75B62818">
            <w:pPr>
              <w:widowControl/>
              <w:spacing w:before="0" w:after="0" w:line="240" w:lineRule="auto"/>
              <w:jc w:val="center"/>
              <w:textAlignment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实际测量</w:t>
            </w:r>
          </w:p>
        </w:tc>
        <w:tc>
          <w:tcPr>
            <w:tcW w:w="669" w:type="pct"/>
            <w:shd w:val="clear" w:color="auto" w:fill="auto"/>
            <w:vAlign w:val="center"/>
          </w:tcPr>
          <w:p w14:paraId="021E61C4">
            <w:pPr>
              <w:widowControl/>
              <w:spacing w:before="0" w:after="0" w:line="240" w:lineRule="auto"/>
              <w:jc w:val="center"/>
              <w:textAlignment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是否满足</w:t>
            </w:r>
          </w:p>
        </w:tc>
      </w:tr>
      <w:tr w14:paraId="4636D7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4" w:hRule="atLeast"/>
        </w:trPr>
        <w:tc>
          <w:tcPr>
            <w:tcW w:w="348" w:type="pct"/>
            <w:shd w:val="clear" w:color="auto" w:fill="auto"/>
            <w:tcMar>
              <w:top w:w="15" w:type="dxa"/>
              <w:left w:w="15" w:type="dxa"/>
              <w:bottom w:w="0" w:type="dxa"/>
              <w:right w:w="15" w:type="dxa"/>
            </w:tcMar>
            <w:vAlign w:val="center"/>
          </w:tcPr>
          <w:p w14:paraId="46AC268F">
            <w:pPr>
              <w:widowControl/>
              <w:spacing w:before="0" w:after="0"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361" w:type="pct"/>
            <w:shd w:val="clear" w:color="auto" w:fill="auto"/>
            <w:tcMar>
              <w:top w:w="15" w:type="dxa"/>
              <w:left w:w="15" w:type="dxa"/>
              <w:bottom w:w="0" w:type="dxa"/>
              <w:right w:w="15" w:type="dxa"/>
            </w:tcMar>
            <w:vAlign w:val="center"/>
          </w:tcPr>
          <w:p w14:paraId="098E0C43">
            <w:pPr>
              <w:widowControl/>
              <w:spacing w:before="0" w:after="0" w:line="240" w:lineRule="auto"/>
              <w:jc w:val="center"/>
              <w:textAlignment w:val="center"/>
              <w:rPr>
                <w:rFonts w:hint="default" w:ascii="Times New Roman" w:hAnsi="Times New Roman" w:eastAsia="宋体" w:cs="Times New Roman"/>
                <w:color w:val="auto"/>
                <w:sz w:val="21"/>
                <w:szCs w:val="21"/>
              </w:rPr>
            </w:pPr>
          </w:p>
        </w:tc>
        <w:tc>
          <w:tcPr>
            <w:tcW w:w="681" w:type="pct"/>
            <w:shd w:val="clear" w:color="auto" w:fill="auto"/>
            <w:tcMar>
              <w:top w:w="15" w:type="dxa"/>
              <w:left w:w="15" w:type="dxa"/>
              <w:bottom w:w="0" w:type="dxa"/>
              <w:right w:w="15" w:type="dxa"/>
            </w:tcMar>
            <w:vAlign w:val="center"/>
          </w:tcPr>
          <w:p w14:paraId="36197CB2">
            <w:pPr>
              <w:widowControl/>
              <w:spacing w:before="0" w:after="0" w:line="240" w:lineRule="auto"/>
              <w:jc w:val="center"/>
              <w:textAlignment w:val="center"/>
              <w:rPr>
                <w:rFonts w:hint="default" w:ascii="Times New Roman" w:hAnsi="Times New Roman" w:eastAsia="宋体" w:cs="Times New Roman"/>
                <w:color w:val="auto"/>
                <w:sz w:val="21"/>
                <w:szCs w:val="21"/>
              </w:rPr>
            </w:pPr>
          </w:p>
        </w:tc>
        <w:tc>
          <w:tcPr>
            <w:tcW w:w="1106" w:type="pct"/>
            <w:shd w:val="clear" w:color="auto" w:fill="auto"/>
            <w:tcMar>
              <w:top w:w="15" w:type="dxa"/>
              <w:left w:w="15" w:type="dxa"/>
              <w:bottom w:w="0" w:type="dxa"/>
              <w:right w:w="15" w:type="dxa"/>
            </w:tcMar>
            <w:vAlign w:val="center"/>
          </w:tcPr>
          <w:p w14:paraId="4C65D46D">
            <w:pPr>
              <w:widowControl/>
              <w:spacing w:before="0" w:after="0" w:line="240" w:lineRule="auto"/>
              <w:jc w:val="center"/>
              <w:textAlignment w:val="center"/>
              <w:rPr>
                <w:rFonts w:hint="default" w:ascii="Times New Roman" w:hAnsi="Times New Roman" w:eastAsia="宋体" w:cs="Times New Roman"/>
                <w:color w:val="auto"/>
                <w:sz w:val="21"/>
                <w:szCs w:val="21"/>
              </w:rPr>
            </w:pPr>
          </w:p>
        </w:tc>
        <w:tc>
          <w:tcPr>
            <w:tcW w:w="833" w:type="pct"/>
            <w:shd w:val="clear" w:color="auto" w:fill="auto"/>
            <w:tcMar>
              <w:top w:w="15" w:type="dxa"/>
              <w:left w:w="15" w:type="dxa"/>
              <w:bottom w:w="0" w:type="dxa"/>
              <w:right w:w="15" w:type="dxa"/>
            </w:tcMar>
            <w:vAlign w:val="center"/>
          </w:tcPr>
          <w:p w14:paraId="50193FE2">
            <w:pPr>
              <w:widowControl/>
              <w:spacing w:before="0" w:after="0" w:line="240" w:lineRule="auto"/>
              <w:jc w:val="center"/>
              <w:textAlignment w:val="center"/>
              <w:rPr>
                <w:rFonts w:hint="default" w:ascii="Times New Roman" w:hAnsi="Times New Roman" w:eastAsia="宋体" w:cs="Times New Roman"/>
                <w:color w:val="auto"/>
                <w:sz w:val="21"/>
                <w:szCs w:val="21"/>
              </w:rPr>
            </w:pPr>
          </w:p>
        </w:tc>
        <w:tc>
          <w:tcPr>
            <w:tcW w:w="669" w:type="pct"/>
            <w:shd w:val="clear" w:color="auto" w:fill="auto"/>
            <w:tcMar>
              <w:top w:w="15" w:type="dxa"/>
              <w:left w:w="15" w:type="dxa"/>
              <w:bottom w:w="0" w:type="dxa"/>
              <w:right w:w="15" w:type="dxa"/>
            </w:tcMar>
            <w:vAlign w:val="center"/>
          </w:tcPr>
          <w:p w14:paraId="164110E0">
            <w:pPr>
              <w:widowControl/>
              <w:spacing w:before="0" w:after="0" w:line="240" w:lineRule="auto"/>
              <w:jc w:val="center"/>
              <w:textAlignment w:val="center"/>
              <w:rPr>
                <w:rFonts w:hint="default" w:ascii="Times New Roman" w:hAnsi="Times New Roman" w:eastAsia="宋体" w:cs="Times New Roman"/>
                <w:color w:val="auto"/>
                <w:sz w:val="21"/>
                <w:szCs w:val="21"/>
              </w:rPr>
            </w:pPr>
          </w:p>
        </w:tc>
      </w:tr>
      <w:tr w14:paraId="052914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4" w:hRule="atLeast"/>
        </w:trPr>
        <w:tc>
          <w:tcPr>
            <w:tcW w:w="348" w:type="pct"/>
            <w:shd w:val="clear" w:color="auto" w:fill="auto"/>
            <w:tcMar>
              <w:top w:w="15" w:type="dxa"/>
              <w:left w:w="15" w:type="dxa"/>
              <w:bottom w:w="0" w:type="dxa"/>
              <w:right w:w="15" w:type="dxa"/>
            </w:tcMar>
            <w:vAlign w:val="center"/>
          </w:tcPr>
          <w:p w14:paraId="3566B19B">
            <w:pPr>
              <w:widowControl/>
              <w:spacing w:before="0" w:after="0"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361" w:type="pct"/>
            <w:shd w:val="clear" w:color="auto" w:fill="auto"/>
            <w:tcMar>
              <w:top w:w="15" w:type="dxa"/>
              <w:left w:w="15" w:type="dxa"/>
              <w:bottom w:w="0" w:type="dxa"/>
              <w:right w:w="15" w:type="dxa"/>
            </w:tcMar>
            <w:vAlign w:val="center"/>
          </w:tcPr>
          <w:p w14:paraId="0ECC2963">
            <w:pPr>
              <w:widowControl/>
              <w:spacing w:before="0" w:after="0" w:line="240" w:lineRule="auto"/>
              <w:jc w:val="center"/>
              <w:textAlignment w:val="center"/>
              <w:rPr>
                <w:rFonts w:hint="default" w:ascii="Times New Roman" w:hAnsi="Times New Roman" w:eastAsia="宋体" w:cs="Times New Roman"/>
                <w:color w:val="auto"/>
                <w:sz w:val="21"/>
                <w:szCs w:val="21"/>
              </w:rPr>
            </w:pPr>
          </w:p>
        </w:tc>
        <w:tc>
          <w:tcPr>
            <w:tcW w:w="681" w:type="pct"/>
            <w:shd w:val="clear" w:color="auto" w:fill="auto"/>
            <w:tcMar>
              <w:top w:w="15" w:type="dxa"/>
              <w:left w:w="15" w:type="dxa"/>
              <w:bottom w:w="0" w:type="dxa"/>
              <w:right w:w="15" w:type="dxa"/>
            </w:tcMar>
            <w:vAlign w:val="center"/>
          </w:tcPr>
          <w:p w14:paraId="1E191DBC">
            <w:pPr>
              <w:widowControl/>
              <w:spacing w:before="0" w:after="0" w:line="240" w:lineRule="auto"/>
              <w:jc w:val="center"/>
              <w:textAlignment w:val="center"/>
              <w:rPr>
                <w:rFonts w:hint="default" w:ascii="Times New Roman" w:hAnsi="Times New Roman" w:eastAsia="宋体" w:cs="Times New Roman"/>
                <w:color w:val="auto"/>
                <w:sz w:val="21"/>
                <w:szCs w:val="21"/>
              </w:rPr>
            </w:pPr>
          </w:p>
        </w:tc>
        <w:tc>
          <w:tcPr>
            <w:tcW w:w="1106" w:type="pct"/>
            <w:shd w:val="clear" w:color="auto" w:fill="auto"/>
            <w:tcMar>
              <w:top w:w="15" w:type="dxa"/>
              <w:left w:w="15" w:type="dxa"/>
              <w:bottom w:w="0" w:type="dxa"/>
              <w:right w:w="15" w:type="dxa"/>
            </w:tcMar>
            <w:vAlign w:val="center"/>
          </w:tcPr>
          <w:p w14:paraId="11A0596E">
            <w:pPr>
              <w:widowControl/>
              <w:spacing w:before="0" w:after="0" w:line="240" w:lineRule="auto"/>
              <w:jc w:val="center"/>
              <w:textAlignment w:val="center"/>
              <w:rPr>
                <w:rFonts w:hint="default" w:ascii="Times New Roman" w:hAnsi="Times New Roman" w:eastAsia="宋体" w:cs="Times New Roman"/>
                <w:color w:val="auto"/>
                <w:sz w:val="21"/>
                <w:szCs w:val="21"/>
              </w:rPr>
            </w:pPr>
          </w:p>
        </w:tc>
        <w:tc>
          <w:tcPr>
            <w:tcW w:w="833" w:type="pct"/>
            <w:shd w:val="clear" w:color="auto" w:fill="auto"/>
            <w:tcMar>
              <w:top w:w="15" w:type="dxa"/>
              <w:left w:w="15" w:type="dxa"/>
              <w:bottom w:w="0" w:type="dxa"/>
              <w:right w:w="15" w:type="dxa"/>
            </w:tcMar>
            <w:vAlign w:val="center"/>
          </w:tcPr>
          <w:p w14:paraId="4828E67A">
            <w:pPr>
              <w:widowControl/>
              <w:spacing w:before="0" w:after="0" w:line="240" w:lineRule="auto"/>
              <w:jc w:val="center"/>
              <w:textAlignment w:val="center"/>
              <w:rPr>
                <w:rFonts w:hint="default" w:ascii="Times New Roman" w:hAnsi="Times New Roman" w:eastAsia="宋体" w:cs="Times New Roman"/>
                <w:color w:val="auto"/>
                <w:sz w:val="21"/>
                <w:szCs w:val="21"/>
              </w:rPr>
            </w:pPr>
          </w:p>
        </w:tc>
        <w:tc>
          <w:tcPr>
            <w:tcW w:w="669" w:type="pct"/>
            <w:shd w:val="clear" w:color="auto" w:fill="auto"/>
            <w:tcMar>
              <w:top w:w="15" w:type="dxa"/>
              <w:left w:w="15" w:type="dxa"/>
              <w:bottom w:w="0" w:type="dxa"/>
              <w:right w:w="15" w:type="dxa"/>
            </w:tcMar>
            <w:vAlign w:val="center"/>
          </w:tcPr>
          <w:p w14:paraId="5ECF1F5E">
            <w:pPr>
              <w:widowControl/>
              <w:spacing w:before="0" w:after="0" w:line="240" w:lineRule="auto"/>
              <w:jc w:val="center"/>
              <w:textAlignment w:val="center"/>
              <w:rPr>
                <w:rFonts w:hint="default" w:ascii="Times New Roman" w:hAnsi="Times New Roman" w:eastAsia="宋体" w:cs="Times New Roman"/>
                <w:color w:val="auto"/>
                <w:sz w:val="21"/>
                <w:szCs w:val="21"/>
              </w:rPr>
            </w:pPr>
          </w:p>
        </w:tc>
      </w:tr>
    </w:tbl>
    <w:p w14:paraId="4AEFD5B9">
      <w:pPr>
        <w:spacing w:line="360" w:lineRule="auto"/>
        <w:ind w:firstLine="200"/>
        <w:jc w:val="both"/>
        <w:rPr>
          <w:rFonts w:hint="default" w:ascii="Times New Roman" w:hAnsi="Times New Roman" w:eastAsia="宋体" w:cs="Times New Roman"/>
          <w:color w:val="auto"/>
          <w:sz w:val="24"/>
          <w:szCs w:val="22"/>
          <w:lang w:val="en-US" w:eastAsia="zh-CN" w:bidi="ar-SA"/>
        </w:rPr>
      </w:pPr>
      <w:r>
        <w:rPr>
          <w:rFonts w:hint="default" w:ascii="Times New Roman" w:hAnsi="Times New Roman" w:eastAsia="宋体" w:cs="Times New Roman"/>
          <w:color w:val="auto"/>
          <w:kern w:val="2"/>
          <w:sz w:val="24"/>
          <w:szCs w:val="24"/>
          <w:lang w:val="en-US" w:eastAsia="zh-CN" w:bidi="ar-SA"/>
        </w:rPr>
        <w:t>检测结果显示：所抽检屋面钢梁挠度均满足规范限制（L/400)的要求。</w:t>
      </w:r>
    </w:p>
    <w:p w14:paraId="0DDD4837">
      <w:pPr>
        <w:keepNext w:val="0"/>
        <w:keepLines w:val="0"/>
        <w:pageBreakBefore w:val="0"/>
        <w:widowControl w:val="0"/>
        <w:kinsoku/>
        <w:wordWrap/>
        <w:overflowPunct/>
        <w:topLinePunct w:val="0"/>
        <w:autoSpaceDE/>
        <w:autoSpaceDN/>
        <w:bidi w:val="0"/>
        <w:adjustRightInd/>
        <w:snapToGrid/>
        <w:spacing w:before="157" w:beforeLines="50" w:after="157" w:afterLines="50"/>
        <w:textAlignment w:val="auto"/>
        <w:rPr>
          <w:rFonts w:hint="default" w:ascii="Times New Roman" w:hAnsi="Times New Roman" w:cs="Times New Roman"/>
          <w:b/>
          <w:bCs/>
          <w:color w:val="auto"/>
          <w:sz w:val="30"/>
          <w:szCs w:val="30"/>
          <w:lang w:val="en-US" w:eastAsia="zh-CN"/>
        </w:rPr>
      </w:pPr>
      <w:bookmarkStart w:id="235" w:name="_Toc105078962"/>
      <w:bookmarkStart w:id="236" w:name="_Toc4647"/>
      <w:r>
        <w:rPr>
          <w:rFonts w:hint="default" w:ascii="Times New Roman" w:hAnsi="Times New Roman" w:cs="Times New Roman"/>
          <w:b/>
          <w:bCs/>
          <w:color w:val="auto"/>
          <w:sz w:val="30"/>
          <w:szCs w:val="30"/>
          <w:lang w:val="en-US" w:eastAsia="zh-CN"/>
        </w:rPr>
        <w:t>5.8 结构承载力验算</w:t>
      </w:r>
      <w:bookmarkEnd w:id="235"/>
      <w:bookmarkEnd w:id="236"/>
    </w:p>
    <w:p w14:paraId="101AF1F0">
      <w:pPr>
        <w:spacing w:before="0" w:after="0"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根据现场检测情况，对</w:t>
      </w:r>
      <w:r>
        <w:rPr>
          <w:rFonts w:hint="default" w:ascii="Times New Roman" w:hAnsi="Times New Roman" w:eastAsia="宋体" w:cs="Times New Roman"/>
          <w:color w:val="auto"/>
          <w:sz w:val="24"/>
          <w:szCs w:val="24"/>
          <w:lang w:eastAsia="zh-CN"/>
        </w:rPr>
        <w:t>xxx</w:t>
      </w:r>
      <w:r>
        <w:rPr>
          <w:rFonts w:hint="default" w:ascii="Times New Roman" w:hAnsi="Times New Roman" w:eastAsia="宋体" w:cs="Times New Roman"/>
          <w:color w:val="auto"/>
          <w:sz w:val="24"/>
          <w:szCs w:val="24"/>
        </w:rPr>
        <w:t>车间在永久作用和可变作用组合下的门式刚架进行验算，计算分析采用中国建筑科学研究院编制的有限元计算软件PKPM-STS模块。</w:t>
      </w:r>
    </w:p>
    <w:p w14:paraId="458813EC">
      <w:pPr>
        <w:spacing w:before="0" w:after="0" w:line="360" w:lineRule="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（一）计算参数取值</w:t>
      </w:r>
    </w:p>
    <w:p w14:paraId="6769D913">
      <w:pPr>
        <w:spacing w:before="0" w:after="0"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1、永久作用取值如表5.8-1所示。</w:t>
      </w:r>
    </w:p>
    <w:p w14:paraId="33DEF17B">
      <w:pPr>
        <w:spacing w:before="0" w:after="0" w:line="240" w:lineRule="auto"/>
        <w:ind w:right="2" w:rightChars="1" w:firstLine="422" w:firstLineChars="20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表5.8-1  永久作用取值表</w:t>
      </w:r>
    </w:p>
    <w:tbl>
      <w:tblPr>
        <w:tblStyle w:val="22"/>
        <w:tblW w:w="805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996"/>
        <w:gridCol w:w="4733"/>
        <w:gridCol w:w="1327"/>
      </w:tblGrid>
      <w:tr w14:paraId="5A3DAA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4" w:hRule="atLeast"/>
          <w:tblHeader/>
          <w:jc w:val="center"/>
        </w:trPr>
        <w:tc>
          <w:tcPr>
            <w:tcW w:w="1996" w:type="dxa"/>
            <w:vAlign w:val="center"/>
          </w:tcPr>
          <w:p w14:paraId="01E37BE3">
            <w:pPr>
              <w:spacing w:before="0" w:after="0" w:line="288"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荷载类型</w:t>
            </w:r>
          </w:p>
        </w:tc>
        <w:tc>
          <w:tcPr>
            <w:tcW w:w="4733" w:type="dxa"/>
            <w:vAlign w:val="center"/>
          </w:tcPr>
          <w:p w14:paraId="313E324E">
            <w:pPr>
              <w:spacing w:before="0" w:after="0" w:line="288"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明细</w:t>
            </w:r>
          </w:p>
        </w:tc>
        <w:tc>
          <w:tcPr>
            <w:tcW w:w="1327" w:type="dxa"/>
            <w:vAlign w:val="center"/>
          </w:tcPr>
          <w:p w14:paraId="70ABCD20">
            <w:pPr>
              <w:spacing w:before="0" w:after="0" w:line="288"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取值</w:t>
            </w:r>
          </w:p>
        </w:tc>
      </w:tr>
      <w:tr w14:paraId="3FE7E5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996" w:type="dxa"/>
            <w:vAlign w:val="center"/>
          </w:tcPr>
          <w:p w14:paraId="4A61C949">
            <w:pPr>
              <w:spacing w:before="0" w:after="0" w:line="288"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恒荷载</w:t>
            </w:r>
          </w:p>
        </w:tc>
        <w:tc>
          <w:tcPr>
            <w:tcW w:w="4733" w:type="dxa"/>
            <w:vAlign w:val="center"/>
          </w:tcPr>
          <w:p w14:paraId="1E57B1DF">
            <w:pPr>
              <w:spacing w:before="0" w:after="0" w:line="288"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压型钢板+保温材料</w:t>
            </w:r>
          </w:p>
        </w:tc>
        <w:tc>
          <w:tcPr>
            <w:tcW w:w="1327" w:type="dxa"/>
            <w:vAlign w:val="center"/>
          </w:tcPr>
          <w:p w14:paraId="55717A5F">
            <w:pPr>
              <w:spacing w:before="0" w:after="0" w:line="288"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0.30kN/</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4"/>
                <w:szCs w:val="24"/>
              </w:rPr>
              <w:t>²</w:t>
            </w:r>
          </w:p>
        </w:tc>
      </w:tr>
    </w:tbl>
    <w:p w14:paraId="136C8573">
      <w:pPr>
        <w:spacing w:before="120" w:after="120" w:line="360" w:lineRule="auto"/>
        <w:ind w:left="1320" w:hanging="1320" w:hangingChars="55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2、可变作用取值如表5.8-2所示。</w:t>
      </w:r>
    </w:p>
    <w:p w14:paraId="2EBE6D1D">
      <w:pPr>
        <w:spacing w:before="0" w:after="0" w:line="240" w:lineRule="auto"/>
        <w:ind w:right="2" w:rightChars="1" w:firstLine="422" w:firstLineChars="20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表5.8-2  可变作用取值表</w:t>
      </w:r>
    </w:p>
    <w:tbl>
      <w:tblPr>
        <w:tblStyle w:val="22"/>
        <w:tblW w:w="805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996"/>
        <w:gridCol w:w="4733"/>
        <w:gridCol w:w="1327"/>
      </w:tblGrid>
      <w:tr w14:paraId="4E4C1B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4" w:hRule="atLeast"/>
          <w:tblHeader/>
          <w:jc w:val="center"/>
        </w:trPr>
        <w:tc>
          <w:tcPr>
            <w:tcW w:w="1996" w:type="dxa"/>
            <w:vAlign w:val="center"/>
          </w:tcPr>
          <w:p w14:paraId="5660886B">
            <w:pPr>
              <w:spacing w:before="0" w:after="0" w:line="288"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荷载类型</w:t>
            </w:r>
          </w:p>
        </w:tc>
        <w:tc>
          <w:tcPr>
            <w:tcW w:w="4733" w:type="dxa"/>
            <w:vAlign w:val="center"/>
          </w:tcPr>
          <w:p w14:paraId="37F6F685">
            <w:pPr>
              <w:spacing w:before="0" w:after="0" w:line="288"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明细</w:t>
            </w:r>
          </w:p>
        </w:tc>
        <w:tc>
          <w:tcPr>
            <w:tcW w:w="1327" w:type="dxa"/>
            <w:vAlign w:val="center"/>
          </w:tcPr>
          <w:p w14:paraId="5FD6E5B4">
            <w:pPr>
              <w:spacing w:before="0" w:after="0" w:line="288"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取值</w:t>
            </w:r>
          </w:p>
        </w:tc>
      </w:tr>
      <w:tr w14:paraId="1DFB3F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996" w:type="dxa"/>
            <w:vAlign w:val="center"/>
          </w:tcPr>
          <w:p w14:paraId="37F6E87C">
            <w:pPr>
              <w:spacing w:before="0" w:after="0" w:line="288"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活荷载</w:t>
            </w:r>
          </w:p>
        </w:tc>
        <w:tc>
          <w:tcPr>
            <w:tcW w:w="4733" w:type="dxa"/>
            <w:vAlign w:val="center"/>
          </w:tcPr>
          <w:p w14:paraId="59CD4DE4">
            <w:pPr>
              <w:spacing w:before="0" w:after="0" w:line="288"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不上人屋面</w:t>
            </w:r>
          </w:p>
        </w:tc>
        <w:tc>
          <w:tcPr>
            <w:tcW w:w="1327" w:type="dxa"/>
            <w:vAlign w:val="center"/>
          </w:tcPr>
          <w:p w14:paraId="13952C5B">
            <w:pPr>
              <w:spacing w:before="0" w:after="0" w:line="288"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0.50kN/</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4"/>
                <w:szCs w:val="24"/>
              </w:rPr>
              <w:t>²</w:t>
            </w:r>
          </w:p>
        </w:tc>
      </w:tr>
    </w:tbl>
    <w:p w14:paraId="1CCEE04A">
      <w:pPr>
        <w:spacing w:before="120" w:after="120" w:line="360" w:lineRule="auto"/>
        <w:ind w:left="1320" w:hanging="1320" w:hangingChars="55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3、吊车荷载取值如表5.8-3所示，。</w:t>
      </w:r>
    </w:p>
    <w:p w14:paraId="5CEA73F3">
      <w:pPr>
        <w:spacing w:before="0" w:after="0" w:line="240" w:lineRule="auto"/>
        <w:ind w:right="2" w:rightChars="1" w:firstLine="422" w:firstLineChars="20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表5.8-3  吊车荷载表</w:t>
      </w:r>
    </w:p>
    <w:tbl>
      <w:tblPr>
        <w:tblStyle w:val="22"/>
        <w:tblW w:w="805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996"/>
        <w:gridCol w:w="6060"/>
      </w:tblGrid>
      <w:tr w14:paraId="3D7034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1996" w:type="dxa"/>
            <w:vAlign w:val="center"/>
          </w:tcPr>
          <w:p w14:paraId="7C6F5378">
            <w:pPr>
              <w:spacing w:before="0" w:after="0" w:line="288"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轴线</w:t>
            </w:r>
          </w:p>
        </w:tc>
        <w:tc>
          <w:tcPr>
            <w:tcW w:w="6060" w:type="dxa"/>
            <w:vAlign w:val="center"/>
          </w:tcPr>
          <w:p w14:paraId="0A9CE0DC">
            <w:pPr>
              <w:spacing w:before="0" w:after="0" w:line="288"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吨位</w:t>
            </w:r>
          </w:p>
        </w:tc>
      </w:tr>
      <w:tr w14:paraId="5B9918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996" w:type="dxa"/>
            <w:vAlign w:val="center"/>
          </w:tcPr>
          <w:p w14:paraId="6B07F907">
            <w:pPr>
              <w:spacing w:before="0" w:after="0" w:line="288"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A-B跨</w:t>
            </w:r>
          </w:p>
        </w:tc>
        <w:tc>
          <w:tcPr>
            <w:tcW w:w="6060" w:type="dxa"/>
            <w:vAlign w:val="center"/>
          </w:tcPr>
          <w:p w14:paraId="0BDC8FA8">
            <w:pPr>
              <w:spacing w:before="0" w:after="0" w:line="288" w:lineRule="auto"/>
              <w:jc w:val="center"/>
              <w:rPr>
                <w:rFonts w:hint="default" w:ascii="Times New Roman" w:hAnsi="Times New Roman" w:eastAsia="宋体" w:cs="Times New Roman"/>
                <w:color w:val="auto"/>
                <w:sz w:val="21"/>
                <w:szCs w:val="21"/>
              </w:rPr>
            </w:pPr>
          </w:p>
        </w:tc>
      </w:tr>
      <w:tr w14:paraId="28D26A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996" w:type="dxa"/>
            <w:vAlign w:val="center"/>
          </w:tcPr>
          <w:p w14:paraId="16F99BA7">
            <w:pPr>
              <w:spacing w:before="0" w:after="0" w:line="288"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B-C跨</w:t>
            </w:r>
          </w:p>
        </w:tc>
        <w:tc>
          <w:tcPr>
            <w:tcW w:w="6060" w:type="dxa"/>
            <w:vAlign w:val="center"/>
          </w:tcPr>
          <w:p w14:paraId="4EDE4F10">
            <w:pPr>
              <w:spacing w:before="0" w:after="0" w:line="288" w:lineRule="auto"/>
              <w:jc w:val="center"/>
              <w:rPr>
                <w:rFonts w:hint="default" w:ascii="Times New Roman" w:hAnsi="Times New Roman" w:eastAsia="宋体" w:cs="Times New Roman"/>
                <w:color w:val="auto"/>
                <w:sz w:val="21"/>
                <w:szCs w:val="21"/>
              </w:rPr>
            </w:pPr>
          </w:p>
        </w:tc>
      </w:tr>
    </w:tbl>
    <w:p w14:paraId="63456CEA">
      <w:pPr>
        <w:spacing w:before="120" w:after="120"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4、风荷载和雪荷载</w:t>
      </w:r>
    </w:p>
    <w:p w14:paraId="210EF513">
      <w:pPr>
        <w:spacing w:before="120" w:after="120"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根据原结构设计图纸说明和现行国家标准《建筑结构荷载规范》(GB50009-2012)附录E中表E.5规定，该工程重现期为50年的基本风压为0.35kN/m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，地面粗糙度类别为B类，且门式刚架计算考虑1.05增大系数；重现期为50年的基本雪压为0.50kN/m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w:t>
      </w:r>
    </w:p>
    <w:p w14:paraId="00D9F369">
      <w:pPr>
        <w:spacing w:before="120" w:after="120" w:line="360" w:lineRule="auto"/>
        <w:ind w:left="1320" w:hanging="1320" w:hangingChars="55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5、地震作用</w:t>
      </w:r>
    </w:p>
    <w:p w14:paraId="304F070A">
      <w:pPr>
        <w:spacing w:before="120" w:after="120"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原结构设计图纸说明和《建筑工程抗震设防分类标准》（GB50223-2008）相关规定，本工程安全等级为二级，建筑抗震设防类别为丙类（标准设防类）；根据现行国家标准《建筑抗震设计规范》（GB50011-2010）（2016年版）附录A.0.17表相关规定，湖北省咸宁市的抗震设防烈度为6度，设计地震基本加速度0.05g，设计地震分组第一组，工程场地土类别II类。</w:t>
      </w:r>
    </w:p>
    <w:p w14:paraId="43C4A548">
      <w:pPr>
        <w:spacing w:before="120" w:after="120"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《建筑抗震设计规范》（GB50011-2010）（2016年版）第3.1.2条规定，抗震设防烈度为6度时，对丙类建筑可不进行地震作用计算。</w:t>
      </w:r>
    </w:p>
    <w:p w14:paraId="2D24A65F">
      <w:pPr>
        <w:spacing w:before="120" w:after="120"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6、材料参数取值</w:t>
      </w:r>
    </w:p>
    <w:p w14:paraId="20AD4163">
      <w:pPr>
        <w:spacing w:before="120" w:after="120" w:line="360" w:lineRule="auto"/>
        <w:ind w:firstLine="360" w:firstLineChars="15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根据现场检测结果，材料参数取值如下：钢柱特征值的平均值为 478N/mm²、钢梁特征值的平均值为 481N/mm²（均满足低合金高强度结构钢（GBT1591-2018）Q345B最小抗拉强度为470 N/mm²的要求），本次计算钢柱、钢梁取值为Q345。</w:t>
      </w:r>
    </w:p>
    <w:p w14:paraId="3ABCFC87">
      <w:pPr>
        <w:spacing w:before="120" w:after="120" w:line="360" w:lineRule="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w:t>
      </w:r>
      <w:r>
        <w:rPr>
          <w:rFonts w:hint="eastAsia" w:ascii="Times New Roman" w:hAnsi="Times New Roman" w:eastAsia="宋体" w:cs="Times New Roman"/>
          <w:b/>
          <w:color w:val="auto"/>
          <w:sz w:val="24"/>
          <w:szCs w:val="24"/>
          <w:lang w:val="en-US" w:eastAsia="zh-CN"/>
        </w:rPr>
        <w:t>二</w:t>
      </w:r>
      <w:r>
        <w:rPr>
          <w:rFonts w:hint="default" w:ascii="Times New Roman" w:hAnsi="Times New Roman" w:eastAsia="宋体" w:cs="Times New Roman"/>
          <w:b/>
          <w:color w:val="auto"/>
          <w:sz w:val="24"/>
          <w:szCs w:val="24"/>
        </w:rPr>
        <w:t>）验算模型及结果见图</w:t>
      </w:r>
      <w:r>
        <w:rPr>
          <w:rFonts w:hint="eastAsia" w:ascii="Times New Roman" w:hAnsi="Times New Roman" w:eastAsia="宋体" w:cs="Times New Roman"/>
          <w:b/>
          <w:color w:val="auto"/>
          <w:sz w:val="24"/>
          <w:szCs w:val="24"/>
          <w:lang w:val="en-US" w:eastAsia="zh-CN"/>
        </w:rPr>
        <w:t>附件9.2</w:t>
      </w:r>
      <w:r>
        <w:rPr>
          <w:rFonts w:hint="default" w:ascii="Times New Roman" w:hAnsi="Times New Roman" w:eastAsia="宋体" w:cs="Times New Roman"/>
          <w:b/>
          <w:color w:val="auto"/>
          <w:sz w:val="24"/>
          <w:szCs w:val="24"/>
        </w:rPr>
        <w:t>。</w:t>
      </w:r>
    </w:p>
    <w:p w14:paraId="08265533">
      <w:pPr>
        <w:spacing w:before="120" w:after="120"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（1）刚架钢柱强度和稳定应力比值均小于1，满足规范要求；</w:t>
      </w:r>
    </w:p>
    <w:p w14:paraId="54C75435">
      <w:pPr>
        <w:spacing w:before="120" w:after="120"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（2）屋面钢梁强度应力比值、稳定应力比值均小于1，满足规范要求。</w:t>
      </w:r>
    </w:p>
    <w:p w14:paraId="22CF45E1">
      <w:pPr>
        <w:spacing w:before="120" w:after="120" w:line="360" w:lineRule="auto"/>
        <w:rPr>
          <w:rFonts w:hint="default" w:ascii="Times New Roman" w:hAnsi="Times New Roman" w:eastAsia="宋体" w:cs="Times New Roman"/>
          <w:b/>
          <w:color w:val="auto"/>
          <w:sz w:val="24"/>
          <w:szCs w:val="22"/>
          <w:lang w:val="en-US" w:eastAsia="zh-CN" w:bidi="ar-SA"/>
        </w:rPr>
      </w:pPr>
      <w:r>
        <w:rPr>
          <w:rFonts w:hint="default" w:ascii="Times New Roman" w:hAnsi="Times New Roman" w:eastAsia="宋体" w:cs="Times New Roman"/>
          <w:b/>
          <w:color w:val="auto"/>
          <w:sz w:val="24"/>
          <w:szCs w:val="22"/>
          <w:lang w:val="en-US" w:eastAsia="zh-CN" w:bidi="ar-SA"/>
        </w:rPr>
        <w:t>（三）屋面檩条验算</w:t>
      </w:r>
    </w:p>
    <w:p w14:paraId="79DC7ECB">
      <w:pPr>
        <w:spacing w:before="120" w:after="120" w:line="360" w:lineRule="auto"/>
        <w:rPr>
          <w:rFonts w:hint="default" w:eastAsia="宋体"/>
          <w:color w:val="auto"/>
          <w:lang w:val="en-US" w:eastAsia="zh-CN"/>
        </w:rPr>
      </w:pPr>
      <w:r>
        <w:rPr>
          <w:rFonts w:hint="default" w:ascii="Times New Roman" w:hAnsi="Times New Roman" w:eastAsia="宋体" w:cs="Times New Roman"/>
          <w:color w:val="auto"/>
          <w:sz w:val="24"/>
          <w:szCs w:val="24"/>
        </w:rPr>
        <w:t>1、截面特性计算</w:t>
      </w:r>
    </w:p>
    <w:p w14:paraId="360DEFBA">
      <w:pPr>
        <w:spacing w:before="120" w:after="120" w:line="360" w:lineRule="auto"/>
        <w:rPr>
          <w:rFonts w:hint="default" w:eastAsia="宋体"/>
          <w:color w:val="auto"/>
          <w:lang w:val="en-US" w:eastAsia="zh-CN"/>
        </w:rPr>
      </w:pPr>
      <w:r>
        <w:rPr>
          <w:rFonts w:hint="default" w:ascii="Times New Roman" w:hAnsi="Times New Roman" w:eastAsia="宋体" w:cs="Times New Roman"/>
          <w:color w:val="auto"/>
          <w:sz w:val="24"/>
          <w:szCs w:val="24"/>
        </w:rPr>
        <w:t>2、檩条上荷载作用</w:t>
      </w:r>
    </w:p>
    <w:p w14:paraId="459ECF84">
      <w:pPr>
        <w:numPr>
          <w:ilvl w:val="0"/>
          <w:numId w:val="4"/>
        </w:numPr>
        <w:spacing w:before="120" w:after="120" w:line="360" w:lineRule="auto"/>
        <w:rPr>
          <w:rFonts w:hint="default" w:eastAsia="宋体"/>
          <w:color w:val="auto"/>
          <w:lang w:val="en-US" w:eastAsia="zh-CN"/>
        </w:rPr>
      </w:pPr>
      <w:r>
        <w:rPr>
          <w:rFonts w:hint="default" w:ascii="Times New Roman" w:hAnsi="Times New Roman" w:eastAsia="宋体" w:cs="Times New Roman"/>
          <w:color w:val="auto"/>
          <w:sz w:val="24"/>
          <w:szCs w:val="24"/>
        </w:rPr>
        <w:t>荷载效应组合</w:t>
      </w:r>
    </w:p>
    <w:p w14:paraId="089B9EDB">
      <w:pPr>
        <w:spacing w:before="120" w:after="120" w:line="360" w:lineRule="auto"/>
        <w:rPr>
          <w:rFonts w:hint="default" w:eastAsia="宋体"/>
          <w:color w:val="auto"/>
          <w:lang w:val="en-US" w:eastAsia="zh-CN"/>
        </w:rPr>
      </w:pPr>
      <w:r>
        <w:rPr>
          <w:rFonts w:hint="default" w:ascii="Times New Roman" w:hAnsi="Times New Roman" w:eastAsia="宋体" w:cs="Times New Roman"/>
          <w:color w:val="auto"/>
          <w:sz w:val="24"/>
          <w:szCs w:val="24"/>
        </w:rPr>
        <w:t>4、边跨跨中单檩强度、稳定验算</w:t>
      </w:r>
    </w:p>
    <w:p w14:paraId="315C7929">
      <w:pPr>
        <w:spacing w:before="120" w:after="120"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5、边跨支座搭接部位双檩强度验算</w:t>
      </w:r>
    </w:p>
    <w:p w14:paraId="16183C18">
      <w:pPr>
        <w:pStyle w:val="35"/>
        <w:numPr>
          <w:ilvl w:val="0"/>
          <w:numId w:val="0"/>
        </w:numP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6、第二跨跨中单檩强度、稳定验算</w:t>
      </w:r>
    </w:p>
    <w:p w14:paraId="72B7425F">
      <w:pPr>
        <w:numPr>
          <w:ilvl w:val="0"/>
          <w:numId w:val="5"/>
        </w:numPr>
        <w:spacing w:before="120" w:after="120"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跨中支座搭接部位双檩强度验算</w:t>
      </w:r>
    </w:p>
    <w:p w14:paraId="21421FD9">
      <w:pPr>
        <w:spacing w:before="120" w:after="120"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8、中间跨跨中单檩强度、稳定验算</w:t>
      </w:r>
    </w:p>
    <w:p w14:paraId="4C3C57DA">
      <w:pPr>
        <w:spacing w:before="120" w:after="120"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9、连续檩条挠度验算</w:t>
      </w:r>
    </w:p>
    <w:p w14:paraId="77B4A57B">
      <w:pPr>
        <w:spacing w:before="120" w:after="120"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b/>
          <w:color w:val="auto"/>
          <w:sz w:val="24"/>
          <w:szCs w:val="24"/>
        </w:rPr>
        <w:t>验算结果表明：屋面檩条验算满足国家现行标准要求。</w:t>
      </w:r>
      <w:bookmarkStart w:id="237" w:name="_Toc105078963"/>
    </w:p>
    <w:p w14:paraId="7A51D22A">
      <w:pPr>
        <w:keepNext w:val="0"/>
        <w:keepLines w:val="0"/>
        <w:pageBreakBefore w:val="0"/>
        <w:widowControl w:val="0"/>
        <w:kinsoku/>
        <w:wordWrap/>
        <w:overflowPunct/>
        <w:topLinePunct w:val="0"/>
        <w:autoSpaceDE/>
        <w:autoSpaceDN/>
        <w:bidi w:val="0"/>
        <w:adjustRightInd/>
        <w:snapToGrid/>
        <w:spacing w:before="313" w:beforeLines="100" w:after="313" w:afterLines="100" w:line="360" w:lineRule="auto"/>
        <w:jc w:val="center"/>
        <w:textAlignment w:val="auto"/>
        <w:rPr>
          <w:rFonts w:hint="default"/>
          <w:b/>
          <w:bCs/>
          <w:color w:val="auto"/>
          <w:sz w:val="32"/>
          <w:szCs w:val="32"/>
          <w:lang w:val="en-US" w:eastAsia="zh-CN"/>
        </w:rPr>
      </w:pPr>
      <w:bookmarkStart w:id="238" w:name="_Toc13973"/>
      <w:bookmarkStart w:id="239" w:name="_Toc2392"/>
      <w:bookmarkStart w:id="240" w:name="_Toc13701"/>
      <w:r>
        <w:rPr>
          <w:rFonts w:hint="default"/>
          <w:b/>
          <w:bCs/>
          <w:color w:val="auto"/>
          <w:sz w:val="32"/>
          <w:szCs w:val="32"/>
          <w:lang w:val="en-US" w:eastAsia="zh-CN"/>
        </w:rPr>
        <w:t>六、结构可靠性鉴定</w:t>
      </w:r>
      <w:bookmarkEnd w:id="237"/>
      <w:bookmarkEnd w:id="238"/>
      <w:bookmarkEnd w:id="239"/>
      <w:bookmarkEnd w:id="240"/>
    </w:p>
    <w:p w14:paraId="2039A242">
      <w:pPr>
        <w:wordWrap w:val="0"/>
        <w:autoSpaceDE w:val="0"/>
        <w:autoSpaceDN w:val="0"/>
        <w:adjustRightInd w:val="0"/>
        <w:spacing w:before="120" w:after="120"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在现场检测结果的基础上，依据《工业建筑安全性鉴定标准》（GB 50144-2019）的要求按构件、结构系统、鉴定单元三个层次对</w:t>
      </w:r>
      <w:r>
        <w:rPr>
          <w:rFonts w:hint="default" w:ascii="Times New Roman" w:hAnsi="Times New Roman" w:eastAsia="宋体" w:cs="Times New Roman"/>
          <w:color w:val="auto"/>
          <w:sz w:val="24"/>
          <w:szCs w:val="24"/>
          <w:lang w:eastAsia="zh-CN"/>
        </w:rPr>
        <w:t>xxx</w:t>
      </w:r>
      <w:r>
        <w:rPr>
          <w:rFonts w:hint="default" w:ascii="Times New Roman" w:hAnsi="Times New Roman" w:eastAsia="宋体" w:cs="Times New Roman"/>
          <w:color w:val="auto"/>
          <w:sz w:val="24"/>
          <w:szCs w:val="24"/>
        </w:rPr>
        <w:t>车间进行可靠性评定。以</w:t>
      </w:r>
      <w:r>
        <w:rPr>
          <w:rFonts w:hint="default" w:ascii="Times New Roman" w:hAnsi="Times New Roman" w:eastAsia="宋体" w:cs="Times New Roman"/>
          <w:color w:val="auto"/>
          <w:sz w:val="24"/>
          <w:szCs w:val="24"/>
          <w:lang w:eastAsia="zh-CN"/>
        </w:rPr>
        <w:t>xxx</w:t>
      </w:r>
      <w:r>
        <w:rPr>
          <w:rFonts w:hint="default" w:ascii="Times New Roman" w:hAnsi="Times New Roman" w:eastAsia="宋体" w:cs="Times New Roman"/>
          <w:color w:val="auto"/>
          <w:sz w:val="24"/>
          <w:szCs w:val="24"/>
        </w:rPr>
        <w:t>车间为一个鉴定单元，鉴定单元综合评级包括地基基础、上部承重结构、围护结构系统三个组合项目。</w:t>
      </w:r>
    </w:p>
    <w:p w14:paraId="48374974">
      <w:pPr>
        <w:spacing w:before="0" w:after="0" w:line="240" w:lineRule="auto"/>
        <w:ind w:right="2" w:rightChars="1" w:firstLine="422" w:firstLineChars="20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可靠性评级标准</w:t>
      </w:r>
    </w:p>
    <w:tbl>
      <w:tblPr>
        <w:tblStyle w:val="22"/>
        <w:tblW w:w="857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96"/>
        <w:gridCol w:w="739"/>
        <w:gridCol w:w="7144"/>
      </w:tblGrid>
      <w:tr w14:paraId="6B6EEF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40" w:hRule="atLeast"/>
          <w:tblHeader/>
          <w:jc w:val="center"/>
        </w:trPr>
        <w:tc>
          <w:tcPr>
            <w:tcW w:w="696" w:type="dxa"/>
            <w:vMerge w:val="restart"/>
            <w:vAlign w:val="center"/>
          </w:tcPr>
          <w:p w14:paraId="0143DFFA">
            <w:pPr>
              <w:widowControl/>
              <w:spacing w:before="0" w:after="0" w:line="240" w:lineRule="auto"/>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可靠性评级标准</w:t>
            </w:r>
          </w:p>
        </w:tc>
        <w:tc>
          <w:tcPr>
            <w:tcW w:w="739" w:type="dxa"/>
            <w:vAlign w:val="center"/>
          </w:tcPr>
          <w:p w14:paraId="4E7C353A">
            <w:pPr>
              <w:widowControl/>
              <w:spacing w:before="0" w:after="0" w:line="240" w:lineRule="auto"/>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一级</w:t>
            </w:r>
          </w:p>
        </w:tc>
        <w:tc>
          <w:tcPr>
            <w:tcW w:w="7144" w:type="dxa"/>
            <w:vAlign w:val="center"/>
          </w:tcPr>
          <w:p w14:paraId="1F2B850F">
            <w:pPr>
              <w:widowControl/>
              <w:spacing w:before="0" w:after="0" w:line="240" w:lineRule="auto"/>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符合国家现行标准的可靠性要求，不影响整体安全，可正常使用。 </w:t>
            </w:r>
          </w:p>
        </w:tc>
      </w:tr>
      <w:tr w14:paraId="416270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0" w:hRule="atLeast"/>
          <w:tblHeader/>
          <w:jc w:val="center"/>
        </w:trPr>
        <w:tc>
          <w:tcPr>
            <w:tcW w:w="696" w:type="dxa"/>
            <w:vMerge w:val="continue"/>
            <w:vAlign w:val="center"/>
          </w:tcPr>
          <w:p w14:paraId="369F4984">
            <w:pPr>
              <w:widowControl/>
              <w:spacing w:before="0" w:after="0" w:line="240" w:lineRule="auto"/>
              <w:jc w:val="left"/>
              <w:rPr>
                <w:rFonts w:hint="default" w:ascii="Times New Roman" w:hAnsi="Times New Roman" w:eastAsia="宋体" w:cs="Times New Roman"/>
                <w:color w:val="auto"/>
                <w:kern w:val="0"/>
                <w:sz w:val="21"/>
                <w:szCs w:val="21"/>
              </w:rPr>
            </w:pPr>
          </w:p>
        </w:tc>
        <w:tc>
          <w:tcPr>
            <w:tcW w:w="739" w:type="dxa"/>
            <w:vAlign w:val="center"/>
          </w:tcPr>
          <w:p w14:paraId="725BD5BC">
            <w:pPr>
              <w:widowControl/>
              <w:spacing w:before="0" w:after="0" w:line="240" w:lineRule="auto"/>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二级</w:t>
            </w:r>
          </w:p>
        </w:tc>
        <w:tc>
          <w:tcPr>
            <w:tcW w:w="7144" w:type="dxa"/>
            <w:vAlign w:val="center"/>
          </w:tcPr>
          <w:p w14:paraId="5A3579E4">
            <w:pPr>
              <w:widowControl/>
              <w:spacing w:before="0" w:after="0" w:line="240" w:lineRule="auto"/>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略低于国家现行标准规范的可靠性要求，尚不明显影响整体安全，不影响正常使用。 </w:t>
            </w:r>
          </w:p>
        </w:tc>
      </w:tr>
      <w:tr w14:paraId="3B7BD1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0" w:hRule="atLeast"/>
          <w:tblHeader/>
          <w:jc w:val="center"/>
        </w:trPr>
        <w:tc>
          <w:tcPr>
            <w:tcW w:w="696" w:type="dxa"/>
            <w:vMerge w:val="continue"/>
            <w:vAlign w:val="center"/>
          </w:tcPr>
          <w:p w14:paraId="506D268D">
            <w:pPr>
              <w:widowControl/>
              <w:spacing w:before="0" w:after="0" w:line="240" w:lineRule="auto"/>
              <w:jc w:val="left"/>
              <w:rPr>
                <w:rFonts w:hint="default" w:ascii="Times New Roman" w:hAnsi="Times New Roman" w:eastAsia="宋体" w:cs="Times New Roman"/>
                <w:color w:val="auto"/>
                <w:kern w:val="0"/>
                <w:sz w:val="21"/>
                <w:szCs w:val="21"/>
              </w:rPr>
            </w:pPr>
          </w:p>
        </w:tc>
        <w:tc>
          <w:tcPr>
            <w:tcW w:w="739" w:type="dxa"/>
            <w:vAlign w:val="center"/>
          </w:tcPr>
          <w:p w14:paraId="3B071C94">
            <w:pPr>
              <w:widowControl/>
              <w:spacing w:before="0" w:after="0" w:line="240" w:lineRule="auto"/>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三级</w:t>
            </w:r>
          </w:p>
        </w:tc>
        <w:tc>
          <w:tcPr>
            <w:tcW w:w="7144" w:type="dxa"/>
            <w:vAlign w:val="center"/>
          </w:tcPr>
          <w:p w14:paraId="171608D9">
            <w:pPr>
              <w:widowControl/>
              <w:spacing w:before="0" w:after="0" w:line="240" w:lineRule="auto"/>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不符合国家现行标准的可靠性要求，影响整体安全，影响正常使用。 </w:t>
            </w:r>
          </w:p>
        </w:tc>
      </w:tr>
      <w:tr w14:paraId="760F49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0" w:hRule="atLeast"/>
          <w:tblHeader/>
          <w:jc w:val="center"/>
        </w:trPr>
        <w:tc>
          <w:tcPr>
            <w:tcW w:w="696" w:type="dxa"/>
            <w:vMerge w:val="continue"/>
            <w:vAlign w:val="center"/>
          </w:tcPr>
          <w:p w14:paraId="4EA4E7AC">
            <w:pPr>
              <w:widowControl/>
              <w:spacing w:before="0" w:after="0" w:line="240" w:lineRule="auto"/>
              <w:jc w:val="left"/>
              <w:rPr>
                <w:rFonts w:hint="default" w:ascii="Times New Roman" w:hAnsi="Times New Roman" w:eastAsia="宋体" w:cs="Times New Roman"/>
                <w:color w:val="auto"/>
                <w:kern w:val="0"/>
                <w:sz w:val="21"/>
                <w:szCs w:val="21"/>
              </w:rPr>
            </w:pPr>
          </w:p>
        </w:tc>
        <w:tc>
          <w:tcPr>
            <w:tcW w:w="739" w:type="dxa"/>
            <w:vAlign w:val="center"/>
          </w:tcPr>
          <w:p w14:paraId="67582388">
            <w:pPr>
              <w:widowControl/>
              <w:spacing w:before="0" w:after="0" w:line="240" w:lineRule="auto"/>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四级</w:t>
            </w:r>
          </w:p>
        </w:tc>
        <w:tc>
          <w:tcPr>
            <w:tcW w:w="7144" w:type="dxa"/>
            <w:vAlign w:val="center"/>
          </w:tcPr>
          <w:p w14:paraId="1346F679">
            <w:pPr>
              <w:widowControl/>
              <w:spacing w:before="0" w:after="0" w:line="240" w:lineRule="auto"/>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极不符合国家现行标准的可靠性要求，已严重影响整体安全，不能正常使用</w:t>
            </w:r>
          </w:p>
        </w:tc>
      </w:tr>
    </w:tbl>
    <w:p w14:paraId="33338193">
      <w:pPr>
        <w:keepNext w:val="0"/>
        <w:keepLines w:val="0"/>
        <w:pageBreakBefore w:val="0"/>
        <w:widowControl w:val="0"/>
        <w:kinsoku/>
        <w:wordWrap/>
        <w:overflowPunct/>
        <w:topLinePunct w:val="0"/>
        <w:autoSpaceDE/>
        <w:autoSpaceDN/>
        <w:bidi w:val="0"/>
        <w:adjustRightInd/>
        <w:snapToGrid/>
        <w:spacing w:before="157" w:beforeLines="50" w:after="157" w:afterLines="50"/>
        <w:textAlignment w:val="auto"/>
        <w:rPr>
          <w:rFonts w:hint="default" w:ascii="Times New Roman" w:hAnsi="Times New Roman" w:cs="Times New Roman"/>
          <w:b/>
          <w:bCs/>
          <w:color w:val="auto"/>
          <w:sz w:val="30"/>
          <w:szCs w:val="30"/>
          <w:lang w:val="en-US" w:eastAsia="zh-CN"/>
        </w:rPr>
      </w:pPr>
      <w:bookmarkStart w:id="241" w:name="_Toc29514"/>
      <w:bookmarkStart w:id="242" w:name="_Toc105078964"/>
      <w:bookmarkStart w:id="243" w:name="_Toc82013312"/>
      <w:r>
        <w:rPr>
          <w:rFonts w:hint="default" w:ascii="Times New Roman" w:hAnsi="Times New Roman" w:cs="Times New Roman"/>
          <w:b/>
          <w:bCs/>
          <w:color w:val="auto"/>
          <w:sz w:val="30"/>
          <w:szCs w:val="30"/>
          <w:lang w:val="en-US" w:eastAsia="zh-CN"/>
        </w:rPr>
        <w:t>6.1安全性评级</w:t>
      </w:r>
      <w:bookmarkEnd w:id="241"/>
      <w:bookmarkEnd w:id="242"/>
      <w:bookmarkEnd w:id="243"/>
    </w:p>
    <w:p w14:paraId="7370F649">
      <w:pPr>
        <w:keepNext w:val="0"/>
        <w:keepLines w:val="0"/>
        <w:pageBreakBefore w:val="0"/>
        <w:widowControl w:val="0"/>
        <w:kinsoku/>
        <w:wordWrap/>
        <w:overflowPunct/>
        <w:topLinePunct w:val="0"/>
        <w:autoSpaceDE/>
        <w:autoSpaceDN/>
        <w:bidi w:val="0"/>
        <w:adjustRightInd/>
        <w:snapToGrid/>
        <w:spacing w:before="157" w:beforeLines="50" w:after="157" w:afterLines="50"/>
        <w:textAlignment w:val="auto"/>
        <w:rPr>
          <w:rFonts w:hint="default" w:ascii="Times New Roman" w:hAnsi="Times New Roman" w:cs="Times New Roman"/>
          <w:b/>
          <w:bCs/>
          <w:color w:val="auto"/>
          <w:sz w:val="28"/>
          <w:szCs w:val="28"/>
          <w:lang w:val="en-US" w:eastAsia="zh-CN"/>
        </w:rPr>
      </w:pPr>
      <w:bookmarkStart w:id="244" w:name="_Toc19234"/>
      <w:bookmarkStart w:id="245" w:name="_Toc89696780"/>
      <w:bookmarkStart w:id="246" w:name="_Toc102725854"/>
      <w:bookmarkStart w:id="247" w:name="_Toc102744908"/>
      <w:bookmarkStart w:id="248" w:name="_Toc141107569"/>
      <w:bookmarkStart w:id="249" w:name="_Toc93755622"/>
      <w:bookmarkStart w:id="250" w:name="_Toc92440409"/>
      <w:bookmarkStart w:id="251" w:name="_Toc89760176"/>
      <w:bookmarkStart w:id="252" w:name="_Toc105078965"/>
      <w:bookmarkStart w:id="253" w:name="_Toc141107159"/>
      <w:bookmarkStart w:id="254" w:name="_Toc93919444"/>
      <w:bookmarkStart w:id="255" w:name="_Toc91854092"/>
      <w:bookmarkStart w:id="256" w:name="_Toc141257793"/>
      <w:bookmarkStart w:id="257" w:name="_Toc93948757"/>
      <w:bookmarkStart w:id="258" w:name="_Toc88817149"/>
      <w:bookmarkStart w:id="259" w:name="_Toc82013313"/>
      <w:bookmarkStart w:id="260" w:name="_Toc89760962"/>
      <w:bookmarkStart w:id="261" w:name="_Toc141349648"/>
      <w:bookmarkStart w:id="262" w:name="_Toc88827329"/>
      <w:bookmarkStart w:id="263" w:name="_Toc93867316"/>
      <w:bookmarkStart w:id="264" w:name="_Toc93756720"/>
      <w:bookmarkStart w:id="265" w:name="_Toc93949082"/>
      <w:bookmarkStart w:id="266" w:name="_Toc12886"/>
      <w:bookmarkStart w:id="267" w:name="_Toc88734986"/>
      <w:bookmarkStart w:id="268" w:name="_Toc89436833"/>
      <w:bookmarkStart w:id="269" w:name="_Toc89760435"/>
      <w:r>
        <w:rPr>
          <w:rFonts w:hint="default" w:ascii="Times New Roman" w:hAnsi="Times New Roman" w:cs="Times New Roman"/>
          <w:b/>
          <w:bCs/>
          <w:color w:val="auto"/>
          <w:sz w:val="28"/>
          <w:szCs w:val="28"/>
          <w:lang w:val="en-US" w:eastAsia="zh-CN"/>
        </w:rPr>
        <w:t>6.1.1构件安全性评</w:t>
      </w:r>
      <w:bookmarkEnd w:id="244"/>
      <w:r>
        <w:rPr>
          <w:rFonts w:hint="default" w:ascii="Times New Roman" w:hAnsi="Times New Roman" w:cs="Times New Roman"/>
          <w:b/>
          <w:bCs/>
          <w:color w:val="auto"/>
          <w:sz w:val="28"/>
          <w:szCs w:val="28"/>
          <w:lang w:val="en-US" w:eastAsia="zh-CN"/>
        </w:rPr>
        <w:t>级</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p w14:paraId="075B4741">
      <w:pPr>
        <w:spacing w:before="120" w:after="120"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结构构件的安全性鉴定（依据《工业建筑可靠性鉴定标准》(GB 50144-2019)6.3节评定），应按承载能力、构造和连接二个检查项目，分别评定构件的等级，并取其中最低一级作为该构件安全性等级，具体评定结果见表6.1.1-1。</w:t>
      </w:r>
    </w:p>
    <w:p w14:paraId="4E2C80EA">
      <w:pPr>
        <w:spacing w:before="0" w:after="0" w:line="240" w:lineRule="auto"/>
        <w:ind w:right="2" w:rightChars="1" w:firstLine="422" w:firstLineChars="20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表6.1.1-1结构构件安全性鉴定评级</w:t>
      </w:r>
    </w:p>
    <w:tbl>
      <w:tblPr>
        <w:tblStyle w:val="22"/>
        <w:tblW w:w="901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39"/>
        <w:gridCol w:w="1483"/>
        <w:gridCol w:w="3603"/>
        <w:gridCol w:w="567"/>
        <w:gridCol w:w="2126"/>
      </w:tblGrid>
      <w:tr w14:paraId="08674A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39" w:type="dxa"/>
            <w:vAlign w:val="center"/>
          </w:tcPr>
          <w:p w14:paraId="70DC543D">
            <w:pPr>
              <w:spacing w:before="0" w:after="0" w:line="240" w:lineRule="auto"/>
              <w:jc w:val="center"/>
              <w:rPr>
                <w:rFonts w:hint="default" w:ascii="Times New Roman" w:hAnsi="Times New Roman" w:eastAsia="宋体" w:cs="Times New Roman"/>
                <w:b/>
                <w:color w:val="auto"/>
                <w:sz w:val="24"/>
                <w:szCs w:val="21"/>
              </w:rPr>
            </w:pPr>
            <w:r>
              <w:rPr>
                <w:rFonts w:hint="default" w:ascii="Times New Roman" w:hAnsi="Times New Roman" w:eastAsia="宋体" w:cs="Times New Roman"/>
                <w:b/>
                <w:color w:val="auto"/>
                <w:sz w:val="24"/>
                <w:szCs w:val="21"/>
              </w:rPr>
              <w:t>鉴定部位</w:t>
            </w:r>
          </w:p>
        </w:tc>
        <w:tc>
          <w:tcPr>
            <w:tcW w:w="1483" w:type="dxa"/>
            <w:vAlign w:val="center"/>
          </w:tcPr>
          <w:p w14:paraId="0696BAF4">
            <w:pPr>
              <w:spacing w:before="0" w:after="0" w:line="240" w:lineRule="auto"/>
              <w:jc w:val="center"/>
              <w:rPr>
                <w:rFonts w:hint="default" w:ascii="Times New Roman" w:hAnsi="Times New Roman" w:eastAsia="宋体" w:cs="Times New Roman"/>
                <w:b/>
                <w:color w:val="auto"/>
                <w:sz w:val="24"/>
                <w:szCs w:val="21"/>
              </w:rPr>
            </w:pPr>
            <w:r>
              <w:rPr>
                <w:rFonts w:hint="default" w:ascii="Times New Roman" w:hAnsi="Times New Roman" w:eastAsia="宋体" w:cs="Times New Roman"/>
                <w:b/>
                <w:color w:val="auto"/>
                <w:sz w:val="24"/>
                <w:szCs w:val="21"/>
              </w:rPr>
              <w:t>评定项目</w:t>
            </w:r>
          </w:p>
        </w:tc>
        <w:tc>
          <w:tcPr>
            <w:tcW w:w="3603" w:type="dxa"/>
            <w:vAlign w:val="center"/>
          </w:tcPr>
          <w:p w14:paraId="2BB6F17D">
            <w:pPr>
              <w:spacing w:before="0" w:after="0" w:line="240" w:lineRule="auto"/>
              <w:jc w:val="center"/>
              <w:rPr>
                <w:rFonts w:hint="default" w:ascii="Times New Roman" w:hAnsi="Times New Roman" w:eastAsia="宋体" w:cs="Times New Roman"/>
                <w:b/>
                <w:color w:val="auto"/>
                <w:sz w:val="24"/>
                <w:szCs w:val="21"/>
              </w:rPr>
            </w:pPr>
            <w:r>
              <w:rPr>
                <w:rFonts w:hint="default" w:ascii="Times New Roman" w:hAnsi="Times New Roman" w:eastAsia="宋体" w:cs="Times New Roman"/>
                <w:b/>
                <w:color w:val="auto"/>
                <w:sz w:val="24"/>
                <w:szCs w:val="21"/>
              </w:rPr>
              <w:t>现场检测结果</w:t>
            </w:r>
          </w:p>
        </w:tc>
        <w:tc>
          <w:tcPr>
            <w:tcW w:w="567" w:type="dxa"/>
            <w:vAlign w:val="center"/>
          </w:tcPr>
          <w:p w14:paraId="75187C76">
            <w:pPr>
              <w:spacing w:before="0" w:after="0" w:line="240" w:lineRule="auto"/>
              <w:jc w:val="center"/>
              <w:rPr>
                <w:rFonts w:hint="default" w:ascii="Times New Roman" w:hAnsi="Times New Roman" w:eastAsia="宋体" w:cs="Times New Roman"/>
                <w:b/>
                <w:color w:val="auto"/>
                <w:sz w:val="24"/>
                <w:szCs w:val="21"/>
              </w:rPr>
            </w:pPr>
            <w:r>
              <w:rPr>
                <w:rFonts w:hint="default" w:ascii="Times New Roman" w:hAnsi="Times New Roman" w:eastAsia="宋体" w:cs="Times New Roman"/>
                <w:b/>
                <w:color w:val="auto"/>
                <w:sz w:val="24"/>
                <w:szCs w:val="21"/>
              </w:rPr>
              <w:t>评级</w:t>
            </w:r>
          </w:p>
        </w:tc>
        <w:tc>
          <w:tcPr>
            <w:tcW w:w="2126" w:type="dxa"/>
            <w:vAlign w:val="center"/>
          </w:tcPr>
          <w:p w14:paraId="7EB29407">
            <w:pPr>
              <w:spacing w:before="0" w:after="0" w:line="240" w:lineRule="auto"/>
              <w:jc w:val="center"/>
              <w:rPr>
                <w:rFonts w:hint="default" w:ascii="Times New Roman" w:hAnsi="Times New Roman" w:eastAsia="宋体" w:cs="Times New Roman"/>
                <w:b/>
                <w:color w:val="auto"/>
                <w:sz w:val="24"/>
                <w:szCs w:val="21"/>
              </w:rPr>
            </w:pPr>
            <w:r>
              <w:rPr>
                <w:rFonts w:hint="default" w:ascii="Times New Roman" w:hAnsi="Times New Roman" w:eastAsia="宋体" w:cs="Times New Roman"/>
                <w:b/>
                <w:color w:val="auto"/>
                <w:sz w:val="24"/>
                <w:szCs w:val="21"/>
              </w:rPr>
              <w:t>综合评级</w:t>
            </w:r>
          </w:p>
        </w:tc>
      </w:tr>
      <w:tr w14:paraId="0D771C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9" w:hRule="atLeast"/>
          <w:jc w:val="center"/>
        </w:trPr>
        <w:tc>
          <w:tcPr>
            <w:tcW w:w="1239" w:type="dxa"/>
            <w:vMerge w:val="restart"/>
            <w:vAlign w:val="center"/>
          </w:tcPr>
          <w:p w14:paraId="46344E27">
            <w:pPr>
              <w:spacing w:before="0" w:after="0" w:line="240" w:lineRule="auto"/>
              <w:jc w:val="center"/>
              <w:rPr>
                <w:rFonts w:hint="default" w:ascii="Times New Roman" w:hAnsi="Times New Roman" w:eastAsia="宋体" w:cs="Times New Roman"/>
                <w:color w:val="auto"/>
                <w:sz w:val="24"/>
                <w:szCs w:val="21"/>
              </w:rPr>
            </w:pPr>
            <w:r>
              <w:rPr>
                <w:rFonts w:hint="default" w:ascii="Times New Roman" w:hAnsi="Times New Roman" w:eastAsia="宋体" w:cs="Times New Roman"/>
                <w:color w:val="auto"/>
                <w:sz w:val="24"/>
                <w:szCs w:val="21"/>
              </w:rPr>
              <w:t>钢柱</w:t>
            </w:r>
          </w:p>
        </w:tc>
        <w:tc>
          <w:tcPr>
            <w:tcW w:w="1483" w:type="dxa"/>
            <w:vAlign w:val="center"/>
          </w:tcPr>
          <w:p w14:paraId="0F42465C">
            <w:pPr>
              <w:spacing w:before="0" w:after="0" w:line="240" w:lineRule="auto"/>
              <w:jc w:val="center"/>
              <w:rPr>
                <w:rFonts w:hint="default" w:ascii="Times New Roman" w:hAnsi="Times New Roman" w:eastAsia="宋体" w:cs="Times New Roman"/>
                <w:color w:val="auto"/>
                <w:sz w:val="24"/>
                <w:szCs w:val="21"/>
              </w:rPr>
            </w:pPr>
            <w:r>
              <w:rPr>
                <w:rFonts w:hint="default" w:ascii="Times New Roman" w:hAnsi="Times New Roman" w:eastAsia="宋体" w:cs="Times New Roman"/>
                <w:color w:val="auto"/>
                <w:sz w:val="24"/>
                <w:szCs w:val="21"/>
              </w:rPr>
              <w:t>承载能力</w:t>
            </w:r>
          </w:p>
        </w:tc>
        <w:tc>
          <w:tcPr>
            <w:tcW w:w="3603" w:type="dxa"/>
            <w:vAlign w:val="center"/>
          </w:tcPr>
          <w:p w14:paraId="7383F58E">
            <w:pPr>
              <w:spacing w:before="0" w:after="0" w:line="240" w:lineRule="auto"/>
              <w:jc w:val="left"/>
              <w:rPr>
                <w:rFonts w:hint="default" w:ascii="Times New Roman" w:hAnsi="Times New Roman" w:eastAsia="宋体" w:cs="Times New Roman"/>
                <w:color w:val="auto"/>
                <w:sz w:val="24"/>
                <w:szCs w:val="21"/>
              </w:rPr>
            </w:pPr>
            <w:r>
              <w:rPr>
                <w:rFonts w:hint="default" w:ascii="Times New Roman" w:hAnsi="Times New Roman" w:eastAsia="宋体" w:cs="Times New Roman"/>
                <w:color w:val="auto"/>
                <w:sz w:val="24"/>
                <w:szCs w:val="21"/>
              </w:rPr>
              <w:t>经验算，承载力满足要求。</w:t>
            </w:r>
          </w:p>
        </w:tc>
        <w:tc>
          <w:tcPr>
            <w:tcW w:w="567" w:type="dxa"/>
            <w:vAlign w:val="center"/>
          </w:tcPr>
          <w:p w14:paraId="43CF5CD2">
            <w:pPr>
              <w:spacing w:before="0" w:after="0" w:line="240" w:lineRule="auto"/>
              <w:jc w:val="center"/>
              <w:rPr>
                <w:rFonts w:hint="default" w:ascii="Times New Roman" w:hAnsi="Times New Roman" w:eastAsia="宋体" w:cs="Times New Roman"/>
                <w:color w:val="auto"/>
                <w:sz w:val="24"/>
                <w:szCs w:val="21"/>
              </w:rPr>
            </w:pPr>
            <w:r>
              <w:rPr>
                <w:rFonts w:hint="default" w:ascii="Times New Roman" w:hAnsi="Times New Roman" w:eastAsia="宋体" w:cs="Times New Roman"/>
                <w:color w:val="auto"/>
                <w:sz w:val="24"/>
                <w:szCs w:val="21"/>
              </w:rPr>
              <w:t>a</w:t>
            </w:r>
          </w:p>
        </w:tc>
        <w:tc>
          <w:tcPr>
            <w:tcW w:w="2126" w:type="dxa"/>
            <w:vMerge w:val="restart"/>
            <w:vAlign w:val="center"/>
          </w:tcPr>
          <w:p w14:paraId="563E71BF">
            <w:pPr>
              <w:spacing w:before="0" w:after="0" w:line="240" w:lineRule="auto"/>
              <w:rPr>
                <w:rFonts w:hint="default" w:ascii="Times New Roman" w:hAnsi="Times New Roman" w:eastAsia="宋体" w:cs="Times New Roman"/>
                <w:color w:val="auto"/>
                <w:sz w:val="24"/>
                <w:szCs w:val="21"/>
              </w:rPr>
            </w:pPr>
            <w:r>
              <w:rPr>
                <w:rFonts w:hint="default" w:ascii="Times New Roman" w:hAnsi="Times New Roman" w:eastAsia="宋体" w:cs="Times New Roman"/>
                <w:color w:val="auto"/>
                <w:sz w:val="24"/>
                <w:szCs w:val="21"/>
              </w:rPr>
              <w:t>按6.3.1条的原则，评定钢柱的安全等级为a级</w:t>
            </w:r>
          </w:p>
        </w:tc>
      </w:tr>
      <w:tr w14:paraId="62AFA6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4" w:hRule="atLeast"/>
          <w:jc w:val="center"/>
        </w:trPr>
        <w:tc>
          <w:tcPr>
            <w:tcW w:w="1239" w:type="dxa"/>
            <w:vMerge w:val="continue"/>
            <w:vAlign w:val="center"/>
          </w:tcPr>
          <w:p w14:paraId="3BC43C66">
            <w:pPr>
              <w:spacing w:before="0" w:after="0" w:line="240" w:lineRule="auto"/>
              <w:jc w:val="center"/>
              <w:rPr>
                <w:rFonts w:hint="default" w:ascii="Times New Roman" w:hAnsi="Times New Roman" w:eastAsia="宋体" w:cs="Times New Roman"/>
                <w:color w:val="auto"/>
                <w:sz w:val="24"/>
                <w:szCs w:val="21"/>
              </w:rPr>
            </w:pPr>
          </w:p>
        </w:tc>
        <w:tc>
          <w:tcPr>
            <w:tcW w:w="1483" w:type="dxa"/>
            <w:vAlign w:val="center"/>
          </w:tcPr>
          <w:p w14:paraId="1B6A0FAF">
            <w:pPr>
              <w:spacing w:before="0" w:after="0" w:line="240" w:lineRule="auto"/>
              <w:jc w:val="center"/>
              <w:rPr>
                <w:rFonts w:hint="default" w:ascii="Times New Roman" w:hAnsi="Times New Roman" w:eastAsia="宋体" w:cs="Times New Roman"/>
                <w:color w:val="auto"/>
                <w:sz w:val="24"/>
                <w:szCs w:val="21"/>
              </w:rPr>
            </w:pPr>
            <w:r>
              <w:rPr>
                <w:rFonts w:hint="default" w:ascii="Times New Roman" w:hAnsi="Times New Roman" w:eastAsia="宋体" w:cs="Times New Roman"/>
                <w:color w:val="auto"/>
                <w:sz w:val="24"/>
                <w:szCs w:val="21"/>
              </w:rPr>
              <w:t>构造和连接</w:t>
            </w:r>
          </w:p>
        </w:tc>
        <w:tc>
          <w:tcPr>
            <w:tcW w:w="3603" w:type="dxa"/>
            <w:vAlign w:val="center"/>
          </w:tcPr>
          <w:p w14:paraId="64766473">
            <w:pPr>
              <w:spacing w:before="0" w:after="0" w:line="240" w:lineRule="auto"/>
              <w:jc w:val="left"/>
              <w:rPr>
                <w:rFonts w:hint="default" w:ascii="Times New Roman" w:hAnsi="Times New Roman" w:eastAsia="宋体" w:cs="Times New Roman"/>
                <w:color w:val="auto"/>
                <w:sz w:val="24"/>
                <w:szCs w:val="21"/>
              </w:rPr>
            </w:pPr>
            <w:r>
              <w:rPr>
                <w:rFonts w:hint="default" w:ascii="Times New Roman" w:hAnsi="Times New Roman" w:eastAsia="宋体" w:cs="Times New Roman"/>
                <w:color w:val="auto"/>
                <w:sz w:val="24"/>
                <w:szCs w:val="21"/>
              </w:rPr>
              <w:t>结构构造、连接构造满足规范要求。</w:t>
            </w:r>
          </w:p>
        </w:tc>
        <w:tc>
          <w:tcPr>
            <w:tcW w:w="567" w:type="dxa"/>
            <w:vAlign w:val="center"/>
          </w:tcPr>
          <w:p w14:paraId="2A34DAD1">
            <w:pPr>
              <w:spacing w:before="0" w:after="0" w:line="240" w:lineRule="auto"/>
              <w:jc w:val="center"/>
              <w:rPr>
                <w:rFonts w:hint="default" w:ascii="Times New Roman" w:hAnsi="Times New Roman" w:eastAsia="宋体" w:cs="Times New Roman"/>
                <w:color w:val="auto"/>
                <w:sz w:val="24"/>
                <w:szCs w:val="21"/>
              </w:rPr>
            </w:pPr>
            <w:r>
              <w:rPr>
                <w:rFonts w:hint="default" w:ascii="Times New Roman" w:hAnsi="Times New Roman" w:eastAsia="宋体" w:cs="Times New Roman"/>
                <w:color w:val="auto"/>
                <w:sz w:val="24"/>
                <w:szCs w:val="21"/>
              </w:rPr>
              <w:t>a</w:t>
            </w:r>
          </w:p>
        </w:tc>
        <w:tc>
          <w:tcPr>
            <w:tcW w:w="2126" w:type="dxa"/>
            <w:vMerge w:val="continue"/>
            <w:vAlign w:val="center"/>
          </w:tcPr>
          <w:p w14:paraId="036A6C04">
            <w:pPr>
              <w:spacing w:before="0" w:after="0" w:line="240" w:lineRule="auto"/>
              <w:jc w:val="center"/>
              <w:rPr>
                <w:rFonts w:hint="default" w:ascii="Times New Roman" w:hAnsi="Times New Roman" w:eastAsia="宋体" w:cs="Times New Roman"/>
                <w:color w:val="auto"/>
                <w:sz w:val="24"/>
                <w:szCs w:val="21"/>
              </w:rPr>
            </w:pPr>
          </w:p>
        </w:tc>
      </w:tr>
      <w:tr w14:paraId="3E3F25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39" w:type="dxa"/>
            <w:vMerge w:val="restart"/>
            <w:vAlign w:val="center"/>
          </w:tcPr>
          <w:p w14:paraId="1E5E4627">
            <w:pPr>
              <w:spacing w:before="0" w:after="0" w:line="240" w:lineRule="auto"/>
              <w:jc w:val="center"/>
              <w:rPr>
                <w:rFonts w:hint="default" w:ascii="Times New Roman" w:hAnsi="Times New Roman" w:eastAsia="宋体" w:cs="Times New Roman"/>
                <w:color w:val="auto"/>
                <w:sz w:val="24"/>
                <w:szCs w:val="21"/>
              </w:rPr>
            </w:pPr>
            <w:r>
              <w:rPr>
                <w:rFonts w:hint="default" w:ascii="Times New Roman" w:hAnsi="Times New Roman" w:eastAsia="宋体" w:cs="Times New Roman"/>
                <w:color w:val="auto"/>
                <w:sz w:val="24"/>
                <w:szCs w:val="21"/>
              </w:rPr>
              <w:t>钢梁</w:t>
            </w:r>
          </w:p>
        </w:tc>
        <w:tc>
          <w:tcPr>
            <w:tcW w:w="1483" w:type="dxa"/>
            <w:vAlign w:val="center"/>
          </w:tcPr>
          <w:p w14:paraId="719E4528">
            <w:pPr>
              <w:spacing w:before="0" w:after="0" w:line="240" w:lineRule="auto"/>
              <w:jc w:val="center"/>
              <w:rPr>
                <w:rFonts w:hint="default" w:ascii="Times New Roman" w:hAnsi="Times New Roman" w:eastAsia="宋体" w:cs="Times New Roman"/>
                <w:color w:val="auto"/>
                <w:sz w:val="24"/>
                <w:szCs w:val="21"/>
              </w:rPr>
            </w:pPr>
            <w:r>
              <w:rPr>
                <w:rFonts w:hint="default" w:ascii="Times New Roman" w:hAnsi="Times New Roman" w:eastAsia="宋体" w:cs="Times New Roman"/>
                <w:color w:val="auto"/>
                <w:sz w:val="24"/>
                <w:szCs w:val="21"/>
              </w:rPr>
              <w:t>承载能力</w:t>
            </w:r>
          </w:p>
        </w:tc>
        <w:tc>
          <w:tcPr>
            <w:tcW w:w="3603" w:type="dxa"/>
            <w:vAlign w:val="center"/>
          </w:tcPr>
          <w:p w14:paraId="5F432715">
            <w:pPr>
              <w:spacing w:before="0" w:after="0" w:line="240" w:lineRule="auto"/>
              <w:jc w:val="left"/>
              <w:rPr>
                <w:rFonts w:hint="default" w:ascii="Times New Roman" w:hAnsi="Times New Roman" w:eastAsia="宋体" w:cs="Times New Roman"/>
                <w:color w:val="auto"/>
                <w:sz w:val="24"/>
                <w:szCs w:val="21"/>
              </w:rPr>
            </w:pPr>
            <w:r>
              <w:rPr>
                <w:rFonts w:hint="default" w:ascii="Times New Roman" w:hAnsi="Times New Roman" w:eastAsia="宋体" w:cs="Times New Roman"/>
                <w:color w:val="auto"/>
                <w:sz w:val="24"/>
                <w:szCs w:val="21"/>
              </w:rPr>
              <w:t>经验算，承载力满足要求。</w:t>
            </w:r>
          </w:p>
        </w:tc>
        <w:tc>
          <w:tcPr>
            <w:tcW w:w="567" w:type="dxa"/>
            <w:vAlign w:val="center"/>
          </w:tcPr>
          <w:p w14:paraId="4E974759">
            <w:pPr>
              <w:spacing w:before="0" w:after="0" w:line="240" w:lineRule="auto"/>
              <w:jc w:val="center"/>
              <w:rPr>
                <w:rFonts w:hint="default" w:ascii="Times New Roman" w:hAnsi="Times New Roman" w:eastAsia="宋体" w:cs="Times New Roman"/>
                <w:color w:val="auto"/>
                <w:sz w:val="24"/>
                <w:szCs w:val="21"/>
              </w:rPr>
            </w:pPr>
            <w:r>
              <w:rPr>
                <w:rFonts w:hint="default" w:ascii="Times New Roman" w:hAnsi="Times New Roman" w:eastAsia="宋体" w:cs="Times New Roman"/>
                <w:color w:val="auto"/>
                <w:sz w:val="24"/>
                <w:szCs w:val="21"/>
              </w:rPr>
              <w:t>a</w:t>
            </w:r>
          </w:p>
        </w:tc>
        <w:tc>
          <w:tcPr>
            <w:tcW w:w="2126" w:type="dxa"/>
            <w:vMerge w:val="restart"/>
            <w:vAlign w:val="center"/>
          </w:tcPr>
          <w:p w14:paraId="6FEC657A">
            <w:pPr>
              <w:spacing w:before="0" w:after="0" w:line="240" w:lineRule="auto"/>
              <w:rPr>
                <w:rFonts w:hint="default" w:ascii="Times New Roman" w:hAnsi="Times New Roman" w:eastAsia="宋体" w:cs="Times New Roman"/>
                <w:color w:val="auto"/>
                <w:sz w:val="24"/>
                <w:szCs w:val="21"/>
              </w:rPr>
            </w:pPr>
            <w:r>
              <w:rPr>
                <w:rFonts w:hint="default" w:ascii="Times New Roman" w:hAnsi="Times New Roman" w:eastAsia="宋体" w:cs="Times New Roman"/>
                <w:color w:val="auto"/>
                <w:sz w:val="24"/>
                <w:szCs w:val="21"/>
              </w:rPr>
              <w:t>按6.3.1条的原则，评定钢梁的安全等级为a级</w:t>
            </w:r>
          </w:p>
        </w:tc>
      </w:tr>
      <w:tr w14:paraId="0764AB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39" w:type="dxa"/>
            <w:vMerge w:val="continue"/>
            <w:vAlign w:val="center"/>
          </w:tcPr>
          <w:p w14:paraId="192E80E1">
            <w:pPr>
              <w:spacing w:before="0" w:after="0" w:line="240" w:lineRule="auto"/>
              <w:jc w:val="center"/>
              <w:rPr>
                <w:rFonts w:hint="default" w:ascii="Times New Roman" w:hAnsi="Times New Roman" w:eastAsia="宋体" w:cs="Times New Roman"/>
                <w:color w:val="auto"/>
                <w:sz w:val="24"/>
                <w:szCs w:val="21"/>
              </w:rPr>
            </w:pPr>
          </w:p>
        </w:tc>
        <w:tc>
          <w:tcPr>
            <w:tcW w:w="1483" w:type="dxa"/>
            <w:vAlign w:val="center"/>
          </w:tcPr>
          <w:p w14:paraId="3E4639D5">
            <w:pPr>
              <w:spacing w:before="0" w:after="0" w:line="240" w:lineRule="auto"/>
              <w:jc w:val="center"/>
              <w:rPr>
                <w:rFonts w:hint="default" w:ascii="Times New Roman" w:hAnsi="Times New Roman" w:eastAsia="宋体" w:cs="Times New Roman"/>
                <w:color w:val="auto"/>
                <w:sz w:val="24"/>
                <w:szCs w:val="21"/>
              </w:rPr>
            </w:pPr>
            <w:r>
              <w:rPr>
                <w:rFonts w:hint="default" w:ascii="Times New Roman" w:hAnsi="Times New Roman" w:eastAsia="宋体" w:cs="Times New Roman"/>
                <w:color w:val="auto"/>
                <w:sz w:val="24"/>
                <w:szCs w:val="21"/>
              </w:rPr>
              <w:t>构造和连接</w:t>
            </w:r>
          </w:p>
        </w:tc>
        <w:tc>
          <w:tcPr>
            <w:tcW w:w="3603" w:type="dxa"/>
            <w:vAlign w:val="center"/>
          </w:tcPr>
          <w:p w14:paraId="60EFEECC">
            <w:pPr>
              <w:spacing w:before="0" w:after="0" w:line="240" w:lineRule="auto"/>
              <w:jc w:val="left"/>
              <w:rPr>
                <w:rFonts w:hint="default" w:ascii="Times New Roman" w:hAnsi="Times New Roman" w:eastAsia="宋体" w:cs="Times New Roman"/>
                <w:color w:val="auto"/>
                <w:sz w:val="24"/>
                <w:szCs w:val="21"/>
              </w:rPr>
            </w:pPr>
            <w:r>
              <w:rPr>
                <w:rFonts w:hint="default" w:ascii="Times New Roman" w:hAnsi="Times New Roman" w:eastAsia="宋体" w:cs="Times New Roman"/>
                <w:color w:val="auto"/>
                <w:sz w:val="24"/>
                <w:szCs w:val="21"/>
              </w:rPr>
              <w:t>结构构造、连接构造满足规范要求。</w:t>
            </w:r>
          </w:p>
        </w:tc>
        <w:tc>
          <w:tcPr>
            <w:tcW w:w="567" w:type="dxa"/>
            <w:vAlign w:val="center"/>
          </w:tcPr>
          <w:p w14:paraId="741C9404">
            <w:pPr>
              <w:spacing w:before="0" w:after="0" w:line="240" w:lineRule="auto"/>
              <w:jc w:val="center"/>
              <w:rPr>
                <w:rFonts w:hint="default" w:ascii="Times New Roman" w:hAnsi="Times New Roman" w:eastAsia="宋体" w:cs="Times New Roman"/>
                <w:color w:val="auto"/>
                <w:sz w:val="24"/>
                <w:szCs w:val="21"/>
              </w:rPr>
            </w:pPr>
            <w:r>
              <w:rPr>
                <w:rFonts w:hint="default" w:ascii="Times New Roman" w:hAnsi="Times New Roman" w:eastAsia="宋体" w:cs="Times New Roman"/>
                <w:color w:val="auto"/>
                <w:sz w:val="24"/>
                <w:szCs w:val="21"/>
              </w:rPr>
              <w:t>a</w:t>
            </w:r>
          </w:p>
        </w:tc>
        <w:tc>
          <w:tcPr>
            <w:tcW w:w="2126" w:type="dxa"/>
            <w:vMerge w:val="continue"/>
            <w:vAlign w:val="center"/>
          </w:tcPr>
          <w:p w14:paraId="019FD49D">
            <w:pPr>
              <w:spacing w:before="0" w:after="0" w:line="240" w:lineRule="auto"/>
              <w:jc w:val="center"/>
              <w:rPr>
                <w:rFonts w:hint="default" w:ascii="Times New Roman" w:hAnsi="Times New Roman" w:eastAsia="宋体" w:cs="Times New Roman"/>
                <w:color w:val="auto"/>
                <w:sz w:val="24"/>
                <w:szCs w:val="21"/>
              </w:rPr>
            </w:pPr>
          </w:p>
        </w:tc>
      </w:tr>
    </w:tbl>
    <w:p w14:paraId="70EDACF4">
      <w:pPr>
        <w:keepNext w:val="0"/>
        <w:keepLines w:val="0"/>
        <w:pageBreakBefore w:val="0"/>
        <w:widowControl w:val="0"/>
        <w:kinsoku/>
        <w:wordWrap/>
        <w:overflowPunct/>
        <w:topLinePunct w:val="0"/>
        <w:autoSpaceDE/>
        <w:autoSpaceDN/>
        <w:bidi w:val="0"/>
        <w:adjustRightInd/>
        <w:snapToGrid/>
        <w:spacing w:before="157" w:beforeLines="50" w:after="157" w:afterLines="50"/>
        <w:textAlignment w:val="auto"/>
        <w:rPr>
          <w:rFonts w:hint="default" w:ascii="Times New Roman" w:hAnsi="Times New Roman" w:cs="Times New Roman"/>
          <w:b/>
          <w:bCs/>
          <w:color w:val="auto"/>
          <w:sz w:val="28"/>
          <w:szCs w:val="28"/>
          <w:lang w:val="en-US" w:eastAsia="zh-CN"/>
        </w:rPr>
      </w:pPr>
      <w:bookmarkStart w:id="270" w:name="_Toc141257794"/>
      <w:bookmarkStart w:id="271" w:name="_Toc88817150"/>
      <w:bookmarkStart w:id="272" w:name="_Toc141107570"/>
      <w:bookmarkStart w:id="273" w:name="_Toc105078966"/>
      <w:bookmarkStart w:id="274" w:name="_Toc141349649"/>
      <w:bookmarkStart w:id="275" w:name="_Toc89760177"/>
      <w:bookmarkStart w:id="276" w:name="_Toc89436834"/>
      <w:bookmarkStart w:id="277" w:name="_Toc141107160"/>
      <w:bookmarkStart w:id="278" w:name="_Toc93867317"/>
      <w:bookmarkStart w:id="279" w:name="_Toc31800"/>
      <w:bookmarkStart w:id="280" w:name="_Toc93756721"/>
      <w:bookmarkStart w:id="281" w:name="_Toc93948758"/>
      <w:bookmarkStart w:id="282" w:name="_Toc93919445"/>
      <w:bookmarkStart w:id="283" w:name="_Toc88734987"/>
      <w:bookmarkStart w:id="284" w:name="_Toc102744909"/>
      <w:bookmarkStart w:id="285" w:name="_Toc89696781"/>
      <w:bookmarkStart w:id="286" w:name="_Toc82013314"/>
      <w:bookmarkStart w:id="287" w:name="_Toc93949083"/>
      <w:bookmarkStart w:id="288" w:name="_Toc89760963"/>
      <w:bookmarkStart w:id="289" w:name="_Toc89760436"/>
      <w:bookmarkStart w:id="290" w:name="_Toc88827330"/>
      <w:bookmarkStart w:id="291" w:name="_Toc102725855"/>
      <w:bookmarkStart w:id="292" w:name="_Toc93755623"/>
      <w:bookmarkStart w:id="293" w:name="_Toc91854093"/>
      <w:bookmarkStart w:id="294" w:name="_Toc92440410"/>
      <w:r>
        <w:rPr>
          <w:rFonts w:hint="default" w:ascii="Times New Roman" w:hAnsi="Times New Roman" w:cs="Times New Roman"/>
          <w:b/>
          <w:bCs/>
          <w:color w:val="auto"/>
          <w:sz w:val="28"/>
          <w:szCs w:val="28"/>
          <w:lang w:val="en-US" w:eastAsia="zh-CN"/>
        </w:rPr>
        <w:t>6.1.2结构系统安全性评定</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p w14:paraId="288ED650">
      <w:pPr>
        <w:keepNext w:val="0"/>
        <w:keepLines w:val="0"/>
        <w:pageBreakBefore w:val="0"/>
        <w:widowControl w:val="0"/>
        <w:kinsoku/>
        <w:wordWrap/>
        <w:overflowPunct/>
        <w:topLinePunct w:val="0"/>
        <w:autoSpaceDE/>
        <w:autoSpaceDN/>
        <w:bidi w:val="0"/>
        <w:adjustRightInd/>
        <w:snapToGrid/>
        <w:spacing w:before="157" w:beforeLines="50" w:after="157" w:afterLines="50"/>
        <w:textAlignment w:val="auto"/>
        <w:rPr>
          <w:rFonts w:hint="default" w:ascii="Times New Roman" w:hAnsi="Times New Roman" w:cs="Times New Roman"/>
          <w:b/>
          <w:bCs/>
          <w:color w:val="auto"/>
          <w:sz w:val="28"/>
          <w:szCs w:val="28"/>
          <w:lang w:val="en-US" w:eastAsia="zh-CN"/>
        </w:rPr>
      </w:pPr>
      <w:r>
        <w:rPr>
          <w:rFonts w:hint="default" w:ascii="Times New Roman" w:hAnsi="Times New Roman" w:cs="Times New Roman"/>
          <w:b/>
          <w:bCs/>
          <w:color w:val="auto"/>
          <w:sz w:val="28"/>
          <w:szCs w:val="28"/>
          <w:lang w:val="en-US" w:eastAsia="zh-CN"/>
        </w:rPr>
        <w:t>6.1.2.1地基基础</w:t>
      </w:r>
    </w:p>
    <w:p w14:paraId="0DB76977">
      <w:pPr>
        <w:spacing w:before="0" w:after="0" w:line="360" w:lineRule="auto"/>
        <w:ind w:firstLine="480" w:firstLineChars="200"/>
        <w:rPr>
          <w:rFonts w:hint="default" w:ascii="Times New Roman" w:hAnsi="Times New Roman" w:eastAsia="宋体" w:cs="Times New Roman"/>
          <w:b/>
          <w:color w:val="auto"/>
          <w:sz w:val="24"/>
          <w:szCs w:val="21"/>
        </w:rPr>
      </w:pPr>
      <w:r>
        <w:rPr>
          <w:rFonts w:hint="default" w:ascii="Times New Roman" w:hAnsi="Times New Roman" w:eastAsia="宋体" w:cs="Times New Roman"/>
          <w:color w:val="auto"/>
          <w:sz w:val="24"/>
          <w:szCs w:val="24"/>
        </w:rPr>
        <w:t>地基基础的安全性鉴定评级，依据《工业建筑安全性鉴定标准》（GB 50144-2019）7.2节评定），详见表6.1.2-1。</w:t>
      </w:r>
    </w:p>
    <w:p w14:paraId="786B66B8">
      <w:pPr>
        <w:spacing w:before="0" w:after="0" w:line="240" w:lineRule="auto"/>
        <w:ind w:right="2" w:rightChars="1" w:firstLine="422" w:firstLineChars="200"/>
        <w:jc w:val="center"/>
        <w:rPr>
          <w:rFonts w:hint="default" w:ascii="Times New Roman" w:hAnsi="Times New Roman" w:eastAsia="宋体" w:cs="Times New Roman"/>
          <w:b/>
          <w:color w:val="auto"/>
          <w:sz w:val="21"/>
          <w:szCs w:val="21"/>
        </w:rPr>
      </w:pPr>
    </w:p>
    <w:p w14:paraId="7E7F1F79">
      <w:pPr>
        <w:spacing w:before="0" w:after="0" w:line="240" w:lineRule="auto"/>
        <w:ind w:right="2" w:rightChars="1" w:firstLine="422" w:firstLineChars="20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表6.1.2-1 地基基础安全性鉴定评级</w:t>
      </w:r>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1384"/>
        <w:gridCol w:w="2024"/>
        <w:gridCol w:w="2512"/>
        <w:gridCol w:w="897"/>
        <w:gridCol w:w="1705"/>
      </w:tblGrid>
      <w:tr w14:paraId="0AC3721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384" w:type="dxa"/>
            <w:vAlign w:val="center"/>
          </w:tcPr>
          <w:p w14:paraId="42E34317">
            <w:pPr>
              <w:autoSpaceDE w:val="0"/>
              <w:autoSpaceDN w:val="0"/>
              <w:adjustRightInd w:val="0"/>
              <w:spacing w:before="0" w:after="0" w:line="240" w:lineRule="auto"/>
              <w:jc w:val="center"/>
              <w:rPr>
                <w:rFonts w:hint="default" w:ascii="Times New Roman" w:hAnsi="Times New Roman" w:eastAsia="宋体" w:cs="Times New Roman"/>
                <w:b/>
                <w:color w:val="auto"/>
                <w:kern w:val="0"/>
                <w:sz w:val="24"/>
                <w:szCs w:val="21"/>
              </w:rPr>
            </w:pPr>
            <w:r>
              <w:rPr>
                <w:rFonts w:hint="default" w:ascii="Times New Roman" w:hAnsi="Times New Roman" w:eastAsia="宋体" w:cs="Times New Roman"/>
                <w:b/>
                <w:color w:val="auto"/>
                <w:kern w:val="0"/>
                <w:sz w:val="24"/>
                <w:szCs w:val="21"/>
              </w:rPr>
              <w:t>鉴定部位</w:t>
            </w:r>
          </w:p>
        </w:tc>
        <w:tc>
          <w:tcPr>
            <w:tcW w:w="2024" w:type="dxa"/>
            <w:vAlign w:val="center"/>
          </w:tcPr>
          <w:p w14:paraId="60954DCD">
            <w:pPr>
              <w:autoSpaceDE w:val="0"/>
              <w:autoSpaceDN w:val="0"/>
              <w:adjustRightInd w:val="0"/>
              <w:spacing w:before="0" w:after="0" w:line="240" w:lineRule="auto"/>
              <w:jc w:val="center"/>
              <w:rPr>
                <w:rFonts w:hint="default" w:ascii="Times New Roman" w:hAnsi="Times New Roman" w:eastAsia="宋体" w:cs="Times New Roman"/>
                <w:b/>
                <w:color w:val="auto"/>
                <w:kern w:val="0"/>
                <w:sz w:val="24"/>
                <w:szCs w:val="21"/>
              </w:rPr>
            </w:pPr>
            <w:r>
              <w:rPr>
                <w:rFonts w:hint="default" w:ascii="Times New Roman" w:hAnsi="Times New Roman" w:eastAsia="宋体" w:cs="Times New Roman"/>
                <w:b/>
                <w:color w:val="auto"/>
                <w:kern w:val="0"/>
                <w:sz w:val="24"/>
                <w:szCs w:val="21"/>
              </w:rPr>
              <w:t>评定项目</w:t>
            </w:r>
          </w:p>
        </w:tc>
        <w:tc>
          <w:tcPr>
            <w:tcW w:w="2512" w:type="dxa"/>
            <w:vAlign w:val="center"/>
          </w:tcPr>
          <w:p w14:paraId="06C4A16C">
            <w:pPr>
              <w:autoSpaceDE w:val="0"/>
              <w:autoSpaceDN w:val="0"/>
              <w:adjustRightInd w:val="0"/>
              <w:spacing w:before="0" w:after="0" w:line="240" w:lineRule="auto"/>
              <w:jc w:val="center"/>
              <w:rPr>
                <w:rFonts w:hint="default" w:ascii="Times New Roman" w:hAnsi="Times New Roman" w:eastAsia="宋体" w:cs="Times New Roman"/>
                <w:b/>
                <w:color w:val="auto"/>
                <w:kern w:val="0"/>
                <w:sz w:val="24"/>
                <w:szCs w:val="21"/>
              </w:rPr>
            </w:pPr>
            <w:r>
              <w:rPr>
                <w:rFonts w:hint="default" w:ascii="Times New Roman" w:hAnsi="Times New Roman" w:eastAsia="宋体" w:cs="Times New Roman"/>
                <w:b/>
                <w:color w:val="auto"/>
                <w:kern w:val="0"/>
                <w:sz w:val="24"/>
                <w:szCs w:val="21"/>
              </w:rPr>
              <w:t>现场检测结果</w:t>
            </w:r>
          </w:p>
        </w:tc>
        <w:tc>
          <w:tcPr>
            <w:tcW w:w="897" w:type="dxa"/>
            <w:vAlign w:val="center"/>
          </w:tcPr>
          <w:p w14:paraId="2BA5B2BC">
            <w:pPr>
              <w:autoSpaceDE w:val="0"/>
              <w:autoSpaceDN w:val="0"/>
              <w:adjustRightInd w:val="0"/>
              <w:spacing w:before="0" w:after="0" w:line="240" w:lineRule="auto"/>
              <w:jc w:val="center"/>
              <w:rPr>
                <w:rFonts w:hint="default" w:ascii="Times New Roman" w:hAnsi="Times New Roman" w:eastAsia="宋体" w:cs="Times New Roman"/>
                <w:b/>
                <w:color w:val="auto"/>
                <w:kern w:val="0"/>
                <w:sz w:val="24"/>
                <w:szCs w:val="21"/>
              </w:rPr>
            </w:pPr>
            <w:r>
              <w:rPr>
                <w:rFonts w:hint="default" w:ascii="Times New Roman" w:hAnsi="Times New Roman" w:eastAsia="宋体" w:cs="Times New Roman"/>
                <w:b/>
                <w:color w:val="auto"/>
                <w:kern w:val="0"/>
                <w:sz w:val="24"/>
                <w:szCs w:val="21"/>
              </w:rPr>
              <w:t>评级</w:t>
            </w:r>
          </w:p>
        </w:tc>
        <w:tc>
          <w:tcPr>
            <w:tcW w:w="1705" w:type="dxa"/>
            <w:vAlign w:val="center"/>
          </w:tcPr>
          <w:p w14:paraId="1693278B">
            <w:pPr>
              <w:autoSpaceDE w:val="0"/>
              <w:autoSpaceDN w:val="0"/>
              <w:adjustRightInd w:val="0"/>
              <w:spacing w:before="0" w:after="0" w:line="240" w:lineRule="auto"/>
              <w:jc w:val="center"/>
              <w:rPr>
                <w:rFonts w:hint="default" w:ascii="Times New Roman" w:hAnsi="Times New Roman" w:eastAsia="宋体" w:cs="Times New Roman"/>
                <w:b/>
                <w:color w:val="auto"/>
                <w:kern w:val="0"/>
                <w:sz w:val="24"/>
                <w:szCs w:val="21"/>
              </w:rPr>
            </w:pPr>
            <w:r>
              <w:rPr>
                <w:rFonts w:hint="default" w:ascii="Times New Roman" w:hAnsi="Times New Roman" w:eastAsia="宋体" w:cs="Times New Roman"/>
                <w:b/>
                <w:color w:val="auto"/>
                <w:kern w:val="0"/>
                <w:sz w:val="24"/>
                <w:szCs w:val="21"/>
              </w:rPr>
              <w:t>综合评级</w:t>
            </w:r>
          </w:p>
        </w:tc>
      </w:tr>
      <w:tr w14:paraId="64E3091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384" w:type="dxa"/>
            <w:vMerge w:val="restart"/>
            <w:vAlign w:val="center"/>
          </w:tcPr>
          <w:p w14:paraId="0E1AB9AB">
            <w:pPr>
              <w:autoSpaceDE w:val="0"/>
              <w:autoSpaceDN w:val="0"/>
              <w:adjustRightInd w:val="0"/>
              <w:spacing w:before="0" w:after="0" w:line="240" w:lineRule="auto"/>
              <w:jc w:val="center"/>
              <w:rPr>
                <w:rFonts w:hint="default" w:ascii="Times New Roman" w:hAnsi="Times New Roman" w:eastAsia="宋体" w:cs="Times New Roman"/>
                <w:color w:val="auto"/>
                <w:kern w:val="0"/>
                <w:sz w:val="24"/>
                <w:szCs w:val="21"/>
              </w:rPr>
            </w:pPr>
            <w:r>
              <w:rPr>
                <w:rFonts w:hint="default" w:ascii="Times New Roman" w:hAnsi="Times New Roman" w:eastAsia="宋体" w:cs="Times New Roman"/>
                <w:color w:val="auto"/>
                <w:kern w:val="0"/>
                <w:sz w:val="24"/>
                <w:szCs w:val="21"/>
              </w:rPr>
              <w:t>地基基础</w:t>
            </w:r>
          </w:p>
        </w:tc>
        <w:tc>
          <w:tcPr>
            <w:tcW w:w="2024" w:type="dxa"/>
            <w:vAlign w:val="center"/>
          </w:tcPr>
          <w:p w14:paraId="4473772A">
            <w:pPr>
              <w:autoSpaceDE w:val="0"/>
              <w:autoSpaceDN w:val="0"/>
              <w:adjustRightInd w:val="0"/>
              <w:spacing w:before="0" w:after="0" w:line="240" w:lineRule="auto"/>
              <w:jc w:val="center"/>
              <w:rPr>
                <w:rFonts w:hint="default" w:ascii="Times New Roman" w:hAnsi="Times New Roman" w:eastAsia="宋体" w:cs="Times New Roman"/>
                <w:color w:val="auto"/>
                <w:kern w:val="0"/>
                <w:sz w:val="24"/>
                <w:szCs w:val="21"/>
              </w:rPr>
            </w:pPr>
            <w:r>
              <w:rPr>
                <w:rFonts w:hint="default" w:ascii="Times New Roman" w:hAnsi="Times New Roman" w:eastAsia="宋体" w:cs="Times New Roman"/>
                <w:color w:val="auto"/>
                <w:kern w:val="0"/>
                <w:sz w:val="24"/>
                <w:szCs w:val="21"/>
              </w:rPr>
              <w:t>按地基变形评级</w:t>
            </w:r>
          </w:p>
        </w:tc>
        <w:tc>
          <w:tcPr>
            <w:tcW w:w="2512" w:type="dxa"/>
            <w:vAlign w:val="center"/>
          </w:tcPr>
          <w:p w14:paraId="46ECA8F9">
            <w:pPr>
              <w:autoSpaceDE w:val="0"/>
              <w:autoSpaceDN w:val="0"/>
              <w:adjustRightInd w:val="0"/>
              <w:spacing w:before="0" w:after="0" w:line="240" w:lineRule="auto"/>
              <w:jc w:val="left"/>
              <w:rPr>
                <w:rFonts w:hint="default" w:ascii="Times New Roman" w:hAnsi="Times New Roman" w:eastAsia="宋体" w:cs="Times New Roman"/>
                <w:color w:val="auto"/>
                <w:kern w:val="0"/>
                <w:sz w:val="24"/>
                <w:szCs w:val="21"/>
              </w:rPr>
            </w:pPr>
            <w:r>
              <w:rPr>
                <w:rFonts w:hint="default" w:ascii="Times New Roman" w:hAnsi="Times New Roman" w:eastAsia="宋体" w:cs="Times New Roman"/>
                <w:color w:val="auto"/>
                <w:kern w:val="0"/>
                <w:sz w:val="24"/>
                <w:szCs w:val="21"/>
              </w:rPr>
              <w:t>上部承重构件无因地基变形引起的开裂、变形或位移。</w:t>
            </w:r>
          </w:p>
        </w:tc>
        <w:tc>
          <w:tcPr>
            <w:tcW w:w="897" w:type="dxa"/>
            <w:vAlign w:val="center"/>
          </w:tcPr>
          <w:p w14:paraId="7B57EC33">
            <w:pPr>
              <w:autoSpaceDE w:val="0"/>
              <w:autoSpaceDN w:val="0"/>
              <w:adjustRightInd w:val="0"/>
              <w:spacing w:before="0" w:after="0" w:line="240" w:lineRule="auto"/>
              <w:jc w:val="center"/>
              <w:rPr>
                <w:rFonts w:hint="default" w:ascii="Times New Roman" w:hAnsi="Times New Roman" w:eastAsia="宋体" w:cs="Times New Roman"/>
                <w:color w:val="auto"/>
                <w:kern w:val="0"/>
                <w:sz w:val="24"/>
                <w:szCs w:val="21"/>
              </w:rPr>
            </w:pPr>
            <w:r>
              <w:rPr>
                <w:rFonts w:hint="default" w:ascii="Times New Roman" w:hAnsi="Times New Roman" w:eastAsia="宋体" w:cs="Times New Roman"/>
                <w:color w:val="auto"/>
                <w:kern w:val="0"/>
                <w:sz w:val="24"/>
                <w:szCs w:val="21"/>
              </w:rPr>
              <w:t>A</w:t>
            </w:r>
          </w:p>
        </w:tc>
        <w:tc>
          <w:tcPr>
            <w:tcW w:w="1705" w:type="dxa"/>
            <w:vMerge w:val="restart"/>
            <w:vAlign w:val="center"/>
          </w:tcPr>
          <w:p w14:paraId="3B7E7E93">
            <w:pPr>
              <w:autoSpaceDE w:val="0"/>
              <w:autoSpaceDN w:val="0"/>
              <w:adjustRightInd w:val="0"/>
              <w:spacing w:before="0" w:after="0" w:line="240" w:lineRule="auto"/>
              <w:rPr>
                <w:rFonts w:hint="default" w:ascii="Times New Roman" w:hAnsi="Times New Roman" w:eastAsia="宋体" w:cs="Times New Roman"/>
                <w:color w:val="auto"/>
                <w:kern w:val="0"/>
                <w:sz w:val="24"/>
                <w:szCs w:val="21"/>
              </w:rPr>
            </w:pPr>
            <w:r>
              <w:rPr>
                <w:rFonts w:hint="default" w:ascii="Times New Roman" w:hAnsi="Times New Roman" w:eastAsia="宋体" w:cs="Times New Roman"/>
                <w:color w:val="auto"/>
                <w:kern w:val="0"/>
                <w:sz w:val="24"/>
                <w:szCs w:val="21"/>
              </w:rPr>
              <w:t>按7.2条的原则，评定地基基础的安全等级为A级</w:t>
            </w:r>
          </w:p>
        </w:tc>
      </w:tr>
      <w:tr w14:paraId="27020B5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384" w:type="dxa"/>
            <w:vMerge w:val="continue"/>
            <w:vAlign w:val="center"/>
          </w:tcPr>
          <w:p w14:paraId="178ACB51">
            <w:pPr>
              <w:autoSpaceDE w:val="0"/>
              <w:autoSpaceDN w:val="0"/>
              <w:adjustRightInd w:val="0"/>
              <w:spacing w:before="0" w:after="0" w:line="240" w:lineRule="auto"/>
              <w:jc w:val="center"/>
              <w:rPr>
                <w:rFonts w:hint="default" w:ascii="Times New Roman" w:hAnsi="Times New Roman" w:eastAsia="宋体" w:cs="Times New Roman"/>
                <w:color w:val="auto"/>
                <w:kern w:val="0"/>
                <w:sz w:val="24"/>
                <w:szCs w:val="21"/>
              </w:rPr>
            </w:pPr>
          </w:p>
        </w:tc>
        <w:tc>
          <w:tcPr>
            <w:tcW w:w="2024" w:type="dxa"/>
            <w:vAlign w:val="center"/>
          </w:tcPr>
          <w:p w14:paraId="7FCCD5E0">
            <w:pPr>
              <w:autoSpaceDE w:val="0"/>
              <w:autoSpaceDN w:val="0"/>
              <w:adjustRightInd w:val="0"/>
              <w:spacing w:before="0" w:after="0" w:line="240" w:lineRule="auto"/>
              <w:jc w:val="center"/>
              <w:rPr>
                <w:rFonts w:hint="default" w:ascii="Times New Roman" w:hAnsi="Times New Roman" w:eastAsia="宋体" w:cs="Times New Roman"/>
                <w:color w:val="auto"/>
                <w:kern w:val="0"/>
                <w:sz w:val="24"/>
                <w:szCs w:val="21"/>
              </w:rPr>
            </w:pPr>
            <w:r>
              <w:rPr>
                <w:rFonts w:hint="default" w:ascii="Times New Roman" w:hAnsi="Times New Roman" w:eastAsia="宋体" w:cs="Times New Roman"/>
                <w:color w:val="auto"/>
                <w:kern w:val="0"/>
                <w:sz w:val="24"/>
                <w:szCs w:val="21"/>
              </w:rPr>
              <w:t>按承载能力评级</w:t>
            </w:r>
          </w:p>
        </w:tc>
        <w:tc>
          <w:tcPr>
            <w:tcW w:w="2512" w:type="dxa"/>
            <w:vAlign w:val="center"/>
          </w:tcPr>
          <w:p w14:paraId="2E27CDF2">
            <w:pPr>
              <w:autoSpaceDE w:val="0"/>
              <w:autoSpaceDN w:val="0"/>
              <w:adjustRightInd w:val="0"/>
              <w:spacing w:before="0" w:after="0" w:line="240" w:lineRule="auto"/>
              <w:jc w:val="left"/>
              <w:rPr>
                <w:rFonts w:hint="default" w:ascii="Times New Roman" w:hAnsi="Times New Roman" w:eastAsia="宋体" w:cs="Times New Roman"/>
                <w:color w:val="auto"/>
                <w:kern w:val="0"/>
                <w:sz w:val="24"/>
                <w:szCs w:val="21"/>
              </w:rPr>
            </w:pPr>
            <w:r>
              <w:rPr>
                <w:rFonts w:hint="default" w:ascii="Times New Roman" w:hAnsi="Times New Roman" w:eastAsia="宋体" w:cs="Times New Roman"/>
                <w:color w:val="auto"/>
                <w:sz w:val="24"/>
                <w:szCs w:val="21"/>
              </w:rPr>
              <w:t>符合现行设计规范要求，建筑物的完好程度较好</w:t>
            </w:r>
            <w:r>
              <w:rPr>
                <w:rFonts w:hint="default" w:ascii="Times New Roman" w:hAnsi="Times New Roman" w:eastAsia="宋体" w:cs="Times New Roman"/>
                <w:color w:val="auto"/>
                <w:sz w:val="24"/>
                <w:szCs w:val="24"/>
              </w:rPr>
              <w:t>。</w:t>
            </w:r>
          </w:p>
        </w:tc>
        <w:tc>
          <w:tcPr>
            <w:tcW w:w="897" w:type="dxa"/>
            <w:vAlign w:val="center"/>
          </w:tcPr>
          <w:p w14:paraId="104C2F49">
            <w:pPr>
              <w:autoSpaceDE w:val="0"/>
              <w:autoSpaceDN w:val="0"/>
              <w:adjustRightInd w:val="0"/>
              <w:spacing w:before="0" w:after="0" w:line="240" w:lineRule="auto"/>
              <w:jc w:val="center"/>
              <w:rPr>
                <w:rFonts w:hint="default" w:ascii="Times New Roman" w:hAnsi="Times New Roman" w:eastAsia="宋体" w:cs="Times New Roman"/>
                <w:color w:val="auto"/>
                <w:kern w:val="0"/>
                <w:sz w:val="24"/>
                <w:szCs w:val="21"/>
              </w:rPr>
            </w:pPr>
            <w:r>
              <w:rPr>
                <w:rFonts w:hint="default" w:ascii="Times New Roman" w:hAnsi="Times New Roman" w:eastAsia="宋体" w:cs="Times New Roman"/>
                <w:color w:val="auto"/>
                <w:kern w:val="0"/>
                <w:sz w:val="24"/>
                <w:szCs w:val="21"/>
              </w:rPr>
              <w:t>A</w:t>
            </w:r>
          </w:p>
        </w:tc>
        <w:tc>
          <w:tcPr>
            <w:tcW w:w="1705" w:type="dxa"/>
            <w:vMerge w:val="continue"/>
            <w:vAlign w:val="center"/>
          </w:tcPr>
          <w:p w14:paraId="6266EBB3">
            <w:pPr>
              <w:autoSpaceDE w:val="0"/>
              <w:autoSpaceDN w:val="0"/>
              <w:adjustRightInd w:val="0"/>
              <w:spacing w:before="0" w:after="0" w:line="240" w:lineRule="auto"/>
              <w:jc w:val="center"/>
              <w:rPr>
                <w:rFonts w:hint="default" w:ascii="Times New Roman" w:hAnsi="Times New Roman" w:eastAsia="宋体" w:cs="Times New Roman"/>
                <w:color w:val="auto"/>
                <w:kern w:val="0"/>
                <w:sz w:val="24"/>
                <w:szCs w:val="21"/>
              </w:rPr>
            </w:pPr>
          </w:p>
        </w:tc>
      </w:tr>
    </w:tbl>
    <w:p w14:paraId="1BA9BFD0">
      <w:pPr>
        <w:keepNext w:val="0"/>
        <w:keepLines w:val="0"/>
        <w:pageBreakBefore w:val="0"/>
        <w:widowControl w:val="0"/>
        <w:kinsoku/>
        <w:wordWrap/>
        <w:overflowPunct/>
        <w:topLinePunct w:val="0"/>
        <w:autoSpaceDE/>
        <w:autoSpaceDN/>
        <w:bidi w:val="0"/>
        <w:adjustRightInd/>
        <w:snapToGrid/>
        <w:spacing w:before="157" w:beforeLines="50" w:after="157" w:afterLines="50"/>
        <w:textAlignment w:val="auto"/>
        <w:rPr>
          <w:rFonts w:hint="default" w:ascii="Times New Roman" w:hAnsi="Times New Roman" w:cs="Times New Roman"/>
          <w:b/>
          <w:bCs/>
          <w:color w:val="auto"/>
          <w:sz w:val="28"/>
          <w:szCs w:val="28"/>
          <w:lang w:val="en-US" w:eastAsia="zh-CN"/>
        </w:rPr>
      </w:pPr>
      <w:r>
        <w:rPr>
          <w:rFonts w:hint="default" w:ascii="Times New Roman" w:hAnsi="Times New Roman" w:cs="Times New Roman"/>
          <w:b/>
          <w:bCs/>
          <w:color w:val="auto"/>
          <w:sz w:val="28"/>
          <w:szCs w:val="28"/>
          <w:lang w:val="en-US" w:eastAsia="zh-CN"/>
        </w:rPr>
        <w:t>6.1.2.2 上部承重结构</w:t>
      </w:r>
    </w:p>
    <w:p w14:paraId="1C75E4A0">
      <w:pPr>
        <w:autoSpaceDE w:val="0"/>
        <w:autoSpaceDN w:val="0"/>
        <w:adjustRightInd w:val="0"/>
        <w:spacing w:before="120" w:after="120" w:line="360" w:lineRule="auto"/>
        <w:ind w:firstLine="480" w:firstLineChars="200"/>
        <w:jc w:val="left"/>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上部承重结构的安全性鉴定评级（依据</w:t>
      </w:r>
      <w:r>
        <w:rPr>
          <w:rFonts w:hint="default" w:ascii="Times New Roman" w:hAnsi="Times New Roman" w:eastAsia="宋体" w:cs="Times New Roman"/>
          <w:color w:val="auto"/>
          <w:sz w:val="24"/>
          <w:szCs w:val="24"/>
        </w:rPr>
        <w:t>《工业建筑可靠性鉴定标准》(GB 50144-2019)</w:t>
      </w:r>
      <w:r>
        <w:rPr>
          <w:rFonts w:hint="default" w:ascii="Times New Roman" w:hAnsi="Times New Roman" w:eastAsia="宋体" w:cs="Times New Roman"/>
          <w:color w:val="auto"/>
          <w:kern w:val="0"/>
          <w:sz w:val="24"/>
          <w:szCs w:val="24"/>
        </w:rPr>
        <w:t>7.3节评定），详见表</w:t>
      </w:r>
      <w:r>
        <w:rPr>
          <w:rFonts w:hint="default" w:ascii="Times New Roman" w:hAnsi="Times New Roman" w:eastAsia="宋体" w:cs="Times New Roman"/>
          <w:color w:val="auto"/>
          <w:sz w:val="24"/>
          <w:szCs w:val="24"/>
        </w:rPr>
        <w:t>6.1.2</w:t>
      </w:r>
      <w:r>
        <w:rPr>
          <w:rFonts w:hint="default" w:ascii="Times New Roman" w:hAnsi="Times New Roman" w:eastAsia="宋体" w:cs="Times New Roman"/>
          <w:color w:val="auto"/>
          <w:kern w:val="0"/>
          <w:sz w:val="24"/>
          <w:szCs w:val="24"/>
        </w:rPr>
        <w:t>-2。</w:t>
      </w:r>
    </w:p>
    <w:p w14:paraId="3DE5F24C">
      <w:pPr>
        <w:spacing w:before="0" w:after="0" w:line="240" w:lineRule="auto"/>
        <w:ind w:right="2" w:rightChars="1" w:firstLine="422" w:firstLineChars="20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表6.1.2-2 上部承重结构安全性鉴定评级表</w:t>
      </w:r>
    </w:p>
    <w:tbl>
      <w:tblPr>
        <w:tblStyle w:val="22"/>
        <w:tblW w:w="889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160"/>
        <w:gridCol w:w="4184"/>
        <w:gridCol w:w="744"/>
        <w:gridCol w:w="1809"/>
      </w:tblGrid>
      <w:tr w14:paraId="0D61B8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160" w:type="dxa"/>
            <w:vAlign w:val="center"/>
          </w:tcPr>
          <w:p w14:paraId="2104E9C8">
            <w:pPr>
              <w:spacing w:before="0" w:after="0" w:line="240" w:lineRule="auto"/>
              <w:jc w:val="center"/>
              <w:rPr>
                <w:rFonts w:hint="default" w:ascii="Times New Roman" w:hAnsi="Times New Roman" w:eastAsia="宋体" w:cs="Times New Roman"/>
                <w:b/>
                <w:bCs/>
                <w:color w:val="auto"/>
                <w:sz w:val="24"/>
                <w:szCs w:val="21"/>
              </w:rPr>
            </w:pPr>
            <w:r>
              <w:rPr>
                <w:rFonts w:hint="default" w:ascii="Times New Roman" w:hAnsi="Times New Roman" w:eastAsia="宋体" w:cs="Times New Roman"/>
                <w:b/>
                <w:bCs/>
                <w:color w:val="auto"/>
                <w:sz w:val="24"/>
                <w:szCs w:val="21"/>
              </w:rPr>
              <w:t>评定项目</w:t>
            </w:r>
          </w:p>
        </w:tc>
        <w:tc>
          <w:tcPr>
            <w:tcW w:w="4184" w:type="dxa"/>
            <w:vAlign w:val="center"/>
          </w:tcPr>
          <w:p w14:paraId="6FF7E0F0">
            <w:pPr>
              <w:spacing w:before="0" w:after="0" w:line="240" w:lineRule="auto"/>
              <w:jc w:val="center"/>
              <w:rPr>
                <w:rFonts w:hint="default" w:ascii="Times New Roman" w:hAnsi="Times New Roman" w:eastAsia="宋体" w:cs="Times New Roman"/>
                <w:b/>
                <w:bCs/>
                <w:color w:val="auto"/>
                <w:sz w:val="24"/>
                <w:szCs w:val="21"/>
              </w:rPr>
            </w:pPr>
            <w:r>
              <w:rPr>
                <w:rFonts w:hint="default" w:ascii="Times New Roman" w:hAnsi="Times New Roman" w:eastAsia="宋体" w:cs="Times New Roman"/>
                <w:b/>
                <w:bCs/>
                <w:color w:val="auto"/>
                <w:sz w:val="24"/>
                <w:szCs w:val="21"/>
              </w:rPr>
              <w:t>构件评级汇总</w:t>
            </w:r>
          </w:p>
        </w:tc>
        <w:tc>
          <w:tcPr>
            <w:tcW w:w="744" w:type="dxa"/>
            <w:vAlign w:val="center"/>
          </w:tcPr>
          <w:p w14:paraId="60779391">
            <w:pPr>
              <w:spacing w:before="0" w:after="0" w:line="240" w:lineRule="auto"/>
              <w:jc w:val="center"/>
              <w:rPr>
                <w:rFonts w:hint="default" w:ascii="Times New Roman" w:hAnsi="Times New Roman" w:eastAsia="宋体" w:cs="Times New Roman"/>
                <w:b/>
                <w:bCs/>
                <w:color w:val="auto"/>
                <w:sz w:val="24"/>
                <w:szCs w:val="21"/>
              </w:rPr>
            </w:pPr>
            <w:r>
              <w:rPr>
                <w:rFonts w:hint="default" w:ascii="Times New Roman" w:hAnsi="Times New Roman" w:eastAsia="宋体" w:cs="Times New Roman"/>
                <w:b/>
                <w:bCs/>
                <w:color w:val="auto"/>
                <w:sz w:val="24"/>
                <w:szCs w:val="21"/>
              </w:rPr>
              <w:t>评定等级</w:t>
            </w:r>
          </w:p>
        </w:tc>
        <w:tc>
          <w:tcPr>
            <w:tcW w:w="1809" w:type="dxa"/>
            <w:vAlign w:val="center"/>
          </w:tcPr>
          <w:p w14:paraId="09B15BAD">
            <w:pPr>
              <w:spacing w:before="0" w:after="0" w:line="240" w:lineRule="auto"/>
              <w:jc w:val="center"/>
              <w:rPr>
                <w:rFonts w:hint="default" w:ascii="Times New Roman" w:hAnsi="Times New Roman" w:eastAsia="宋体" w:cs="Times New Roman"/>
                <w:b/>
                <w:bCs/>
                <w:color w:val="auto"/>
                <w:sz w:val="24"/>
                <w:szCs w:val="21"/>
              </w:rPr>
            </w:pPr>
            <w:r>
              <w:rPr>
                <w:rFonts w:hint="default" w:ascii="Times New Roman" w:hAnsi="Times New Roman" w:eastAsia="宋体" w:cs="Times New Roman"/>
                <w:b/>
                <w:bCs/>
                <w:color w:val="auto"/>
                <w:sz w:val="24"/>
                <w:szCs w:val="21"/>
              </w:rPr>
              <w:t>上部承重结构综合评级</w:t>
            </w:r>
          </w:p>
        </w:tc>
      </w:tr>
      <w:tr w14:paraId="52DAC3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7" w:hRule="atLeast"/>
          <w:jc w:val="center"/>
        </w:trPr>
        <w:tc>
          <w:tcPr>
            <w:tcW w:w="2160" w:type="dxa"/>
            <w:vAlign w:val="center"/>
          </w:tcPr>
          <w:p w14:paraId="1D6AE0FD">
            <w:pPr>
              <w:spacing w:before="0" w:after="0" w:line="240" w:lineRule="auto"/>
              <w:jc w:val="center"/>
              <w:rPr>
                <w:rFonts w:hint="default" w:ascii="Times New Roman" w:hAnsi="Times New Roman" w:eastAsia="宋体" w:cs="Times New Roman"/>
                <w:color w:val="auto"/>
                <w:sz w:val="24"/>
                <w:szCs w:val="21"/>
              </w:rPr>
            </w:pPr>
            <w:r>
              <w:rPr>
                <w:rFonts w:hint="default" w:ascii="Times New Roman" w:hAnsi="Times New Roman" w:eastAsia="宋体" w:cs="Times New Roman"/>
                <w:color w:val="auto"/>
                <w:sz w:val="24"/>
                <w:szCs w:val="21"/>
              </w:rPr>
              <w:t>结构整体性</w:t>
            </w:r>
          </w:p>
        </w:tc>
        <w:tc>
          <w:tcPr>
            <w:tcW w:w="4184" w:type="dxa"/>
            <w:vAlign w:val="center"/>
          </w:tcPr>
          <w:p w14:paraId="3CFB0772">
            <w:pPr>
              <w:spacing w:before="0" w:after="0" w:line="240" w:lineRule="auto"/>
              <w:jc w:val="left"/>
              <w:rPr>
                <w:rFonts w:hint="default" w:ascii="Times New Roman" w:hAnsi="Times New Roman" w:eastAsia="宋体" w:cs="Times New Roman"/>
                <w:color w:val="auto"/>
                <w:sz w:val="24"/>
                <w:szCs w:val="21"/>
              </w:rPr>
            </w:pPr>
            <w:r>
              <w:rPr>
                <w:rFonts w:hint="default" w:ascii="Times New Roman" w:hAnsi="Times New Roman" w:eastAsia="宋体" w:cs="Times New Roman"/>
                <w:color w:val="auto"/>
                <w:sz w:val="24"/>
                <w:szCs w:val="21"/>
              </w:rPr>
              <w:t>结构布置合理，体系完整；传力路径明确；结构形式和构件选型、整体性构造和连接符合国家现行标准的规定，不影响安全。</w:t>
            </w:r>
          </w:p>
        </w:tc>
        <w:tc>
          <w:tcPr>
            <w:tcW w:w="744" w:type="dxa"/>
            <w:vAlign w:val="center"/>
          </w:tcPr>
          <w:p w14:paraId="07EA3834">
            <w:pPr>
              <w:spacing w:before="0" w:after="0" w:line="240" w:lineRule="auto"/>
              <w:jc w:val="center"/>
              <w:rPr>
                <w:rFonts w:hint="default" w:ascii="Times New Roman" w:hAnsi="Times New Roman" w:eastAsia="宋体" w:cs="Times New Roman"/>
                <w:color w:val="auto"/>
                <w:sz w:val="24"/>
                <w:szCs w:val="21"/>
              </w:rPr>
            </w:pPr>
            <w:r>
              <w:rPr>
                <w:rFonts w:hint="default" w:ascii="Times New Roman" w:hAnsi="Times New Roman" w:eastAsia="宋体" w:cs="Times New Roman"/>
                <w:color w:val="auto"/>
                <w:sz w:val="24"/>
                <w:szCs w:val="21"/>
              </w:rPr>
              <w:t>A</w:t>
            </w:r>
          </w:p>
        </w:tc>
        <w:tc>
          <w:tcPr>
            <w:tcW w:w="1809" w:type="dxa"/>
            <w:vMerge w:val="restart"/>
            <w:vAlign w:val="center"/>
          </w:tcPr>
          <w:p w14:paraId="09097C5F">
            <w:pPr>
              <w:spacing w:before="0" w:after="0" w:line="240" w:lineRule="auto"/>
              <w:rPr>
                <w:rFonts w:hint="default" w:ascii="Times New Roman" w:hAnsi="Times New Roman" w:eastAsia="宋体" w:cs="Times New Roman"/>
                <w:color w:val="auto"/>
                <w:sz w:val="24"/>
                <w:szCs w:val="21"/>
              </w:rPr>
            </w:pPr>
            <w:r>
              <w:rPr>
                <w:rFonts w:hint="default" w:ascii="Times New Roman" w:hAnsi="Times New Roman" w:eastAsia="宋体" w:cs="Times New Roman"/>
                <w:color w:val="auto"/>
                <w:sz w:val="24"/>
                <w:szCs w:val="21"/>
              </w:rPr>
              <w:t>按7.3.1条原则，评定上部承重结构的安全性等级为A级</w:t>
            </w:r>
          </w:p>
        </w:tc>
      </w:tr>
      <w:tr w14:paraId="7B4043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4" w:hRule="atLeast"/>
          <w:jc w:val="center"/>
        </w:trPr>
        <w:tc>
          <w:tcPr>
            <w:tcW w:w="2160" w:type="dxa"/>
            <w:vAlign w:val="center"/>
          </w:tcPr>
          <w:p w14:paraId="4D7BD358">
            <w:pPr>
              <w:spacing w:before="0" w:after="0" w:line="240" w:lineRule="auto"/>
              <w:jc w:val="center"/>
              <w:rPr>
                <w:rFonts w:hint="default" w:ascii="Times New Roman" w:hAnsi="Times New Roman" w:eastAsia="宋体" w:cs="Times New Roman"/>
                <w:color w:val="auto"/>
                <w:sz w:val="24"/>
                <w:szCs w:val="21"/>
              </w:rPr>
            </w:pPr>
            <w:r>
              <w:rPr>
                <w:rFonts w:hint="default" w:ascii="Times New Roman" w:hAnsi="Times New Roman" w:eastAsia="宋体" w:cs="Times New Roman"/>
                <w:color w:val="auto"/>
                <w:sz w:val="24"/>
                <w:szCs w:val="21"/>
              </w:rPr>
              <w:t>承载功能</w:t>
            </w:r>
          </w:p>
        </w:tc>
        <w:tc>
          <w:tcPr>
            <w:tcW w:w="4184" w:type="dxa"/>
            <w:vAlign w:val="center"/>
          </w:tcPr>
          <w:p w14:paraId="67BEC255">
            <w:pPr>
              <w:spacing w:before="0" w:after="0" w:line="240" w:lineRule="auto"/>
              <w:rPr>
                <w:rFonts w:hint="default" w:ascii="Times New Roman" w:hAnsi="Times New Roman" w:eastAsia="宋体" w:cs="Times New Roman"/>
                <w:color w:val="auto"/>
                <w:sz w:val="24"/>
                <w:szCs w:val="21"/>
              </w:rPr>
            </w:pPr>
            <w:r>
              <w:rPr>
                <w:rFonts w:hint="default" w:ascii="Times New Roman" w:hAnsi="Times New Roman" w:eastAsia="宋体" w:cs="Times New Roman"/>
                <w:color w:val="auto"/>
                <w:sz w:val="24"/>
                <w:szCs w:val="21"/>
              </w:rPr>
              <w:t>钢柱、钢梁安全等级为a级。</w:t>
            </w:r>
          </w:p>
        </w:tc>
        <w:tc>
          <w:tcPr>
            <w:tcW w:w="744" w:type="dxa"/>
            <w:vAlign w:val="center"/>
          </w:tcPr>
          <w:p w14:paraId="0C6BF1B4">
            <w:pPr>
              <w:spacing w:before="0" w:after="0" w:line="240" w:lineRule="auto"/>
              <w:jc w:val="center"/>
              <w:rPr>
                <w:rFonts w:hint="default" w:ascii="Times New Roman" w:hAnsi="Times New Roman" w:eastAsia="宋体" w:cs="Times New Roman"/>
                <w:color w:val="auto"/>
                <w:sz w:val="24"/>
                <w:szCs w:val="21"/>
              </w:rPr>
            </w:pPr>
            <w:r>
              <w:rPr>
                <w:rFonts w:hint="default" w:ascii="Times New Roman" w:hAnsi="Times New Roman" w:eastAsia="宋体" w:cs="Times New Roman"/>
                <w:color w:val="auto"/>
                <w:sz w:val="24"/>
                <w:szCs w:val="21"/>
              </w:rPr>
              <w:t>A</w:t>
            </w:r>
          </w:p>
        </w:tc>
        <w:tc>
          <w:tcPr>
            <w:tcW w:w="1809" w:type="dxa"/>
            <w:vMerge w:val="continue"/>
            <w:vAlign w:val="center"/>
          </w:tcPr>
          <w:p w14:paraId="61C23F0E">
            <w:pPr>
              <w:spacing w:before="0" w:after="0" w:line="240" w:lineRule="auto"/>
              <w:rPr>
                <w:rFonts w:hint="default" w:ascii="Times New Roman" w:hAnsi="Times New Roman" w:eastAsia="宋体" w:cs="Times New Roman"/>
                <w:color w:val="auto"/>
                <w:sz w:val="24"/>
                <w:szCs w:val="21"/>
              </w:rPr>
            </w:pPr>
          </w:p>
        </w:tc>
      </w:tr>
    </w:tbl>
    <w:p w14:paraId="5A2EDF09">
      <w:pPr>
        <w:keepNext w:val="0"/>
        <w:keepLines w:val="0"/>
        <w:pageBreakBefore w:val="0"/>
        <w:widowControl w:val="0"/>
        <w:kinsoku/>
        <w:wordWrap/>
        <w:overflowPunct/>
        <w:topLinePunct w:val="0"/>
        <w:autoSpaceDE/>
        <w:autoSpaceDN/>
        <w:bidi w:val="0"/>
        <w:adjustRightInd/>
        <w:snapToGrid/>
        <w:spacing w:before="157" w:beforeLines="50" w:after="157" w:afterLines="50"/>
        <w:textAlignment w:val="auto"/>
        <w:rPr>
          <w:rFonts w:hint="default" w:ascii="Times New Roman" w:hAnsi="Times New Roman" w:cs="Times New Roman"/>
          <w:b/>
          <w:bCs/>
          <w:color w:val="auto"/>
          <w:sz w:val="28"/>
          <w:szCs w:val="28"/>
          <w:lang w:val="en-US" w:eastAsia="zh-CN"/>
        </w:rPr>
      </w:pPr>
      <w:r>
        <w:rPr>
          <w:rFonts w:hint="default" w:ascii="Times New Roman" w:hAnsi="Times New Roman" w:cs="Times New Roman"/>
          <w:b/>
          <w:bCs/>
          <w:color w:val="auto"/>
          <w:sz w:val="28"/>
          <w:szCs w:val="28"/>
          <w:lang w:val="en-US" w:eastAsia="zh-CN"/>
        </w:rPr>
        <w:t>6.1.2.3 围护结构系统</w:t>
      </w:r>
    </w:p>
    <w:p w14:paraId="41AFCBA1">
      <w:pPr>
        <w:autoSpaceDE w:val="0"/>
        <w:autoSpaceDN w:val="0"/>
        <w:adjustRightInd w:val="0"/>
        <w:spacing w:before="120" w:after="120"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rPr>
        <w:t>围护结构系统的安全性鉴定评级（依据《工业建筑可靠性鉴定标准》(GB 50144-2019)7.4节评定），详见表6.1.2-3。</w:t>
      </w:r>
    </w:p>
    <w:p w14:paraId="4A4196AC">
      <w:pPr>
        <w:spacing w:before="0" w:after="0" w:line="240" w:lineRule="auto"/>
        <w:ind w:right="2" w:rightChars="1" w:firstLine="422" w:firstLineChars="20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表6.1.2-3 围护结构系统的安全性鉴定评级</w:t>
      </w:r>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98"/>
        <w:gridCol w:w="1704"/>
        <w:gridCol w:w="3260"/>
        <w:gridCol w:w="755"/>
        <w:gridCol w:w="1705"/>
      </w:tblGrid>
      <w:tr w14:paraId="116E0B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98" w:type="dxa"/>
            <w:vAlign w:val="center"/>
          </w:tcPr>
          <w:p w14:paraId="020FA368">
            <w:pPr>
              <w:autoSpaceDE w:val="0"/>
              <w:autoSpaceDN w:val="0"/>
              <w:adjustRightInd w:val="0"/>
              <w:spacing w:before="0" w:after="0" w:line="240" w:lineRule="auto"/>
              <w:jc w:val="center"/>
              <w:rPr>
                <w:rFonts w:hint="default" w:ascii="Times New Roman" w:hAnsi="Times New Roman" w:eastAsia="宋体" w:cs="Times New Roman"/>
                <w:b/>
                <w:color w:val="auto"/>
                <w:kern w:val="0"/>
                <w:sz w:val="24"/>
                <w:szCs w:val="21"/>
              </w:rPr>
            </w:pPr>
            <w:r>
              <w:rPr>
                <w:rFonts w:hint="default" w:ascii="Times New Roman" w:hAnsi="Times New Roman" w:eastAsia="宋体" w:cs="Times New Roman"/>
                <w:b/>
                <w:color w:val="auto"/>
                <w:kern w:val="0"/>
                <w:sz w:val="24"/>
                <w:szCs w:val="21"/>
              </w:rPr>
              <w:t>鉴定</w:t>
            </w:r>
          </w:p>
          <w:p w14:paraId="6C400458">
            <w:pPr>
              <w:autoSpaceDE w:val="0"/>
              <w:autoSpaceDN w:val="0"/>
              <w:adjustRightInd w:val="0"/>
              <w:spacing w:before="0" w:after="0" w:line="240" w:lineRule="auto"/>
              <w:jc w:val="center"/>
              <w:rPr>
                <w:rFonts w:hint="default" w:ascii="Times New Roman" w:hAnsi="Times New Roman" w:eastAsia="宋体" w:cs="Times New Roman"/>
                <w:b/>
                <w:color w:val="auto"/>
                <w:kern w:val="0"/>
                <w:sz w:val="24"/>
                <w:szCs w:val="21"/>
              </w:rPr>
            </w:pPr>
            <w:r>
              <w:rPr>
                <w:rFonts w:hint="default" w:ascii="Times New Roman" w:hAnsi="Times New Roman" w:eastAsia="宋体" w:cs="Times New Roman"/>
                <w:b/>
                <w:color w:val="auto"/>
                <w:kern w:val="0"/>
                <w:sz w:val="24"/>
                <w:szCs w:val="21"/>
              </w:rPr>
              <w:t>部位</w:t>
            </w:r>
          </w:p>
        </w:tc>
        <w:tc>
          <w:tcPr>
            <w:tcW w:w="1704" w:type="dxa"/>
            <w:vAlign w:val="center"/>
          </w:tcPr>
          <w:p w14:paraId="462062AA">
            <w:pPr>
              <w:autoSpaceDE w:val="0"/>
              <w:autoSpaceDN w:val="0"/>
              <w:adjustRightInd w:val="0"/>
              <w:spacing w:before="0" w:after="0" w:line="240" w:lineRule="auto"/>
              <w:jc w:val="center"/>
              <w:rPr>
                <w:rFonts w:hint="default" w:ascii="Times New Roman" w:hAnsi="Times New Roman" w:eastAsia="宋体" w:cs="Times New Roman"/>
                <w:b/>
                <w:color w:val="auto"/>
                <w:kern w:val="0"/>
                <w:sz w:val="24"/>
                <w:szCs w:val="21"/>
              </w:rPr>
            </w:pPr>
            <w:r>
              <w:rPr>
                <w:rFonts w:hint="default" w:ascii="Times New Roman" w:hAnsi="Times New Roman" w:eastAsia="宋体" w:cs="Times New Roman"/>
                <w:b/>
                <w:color w:val="auto"/>
                <w:kern w:val="0"/>
                <w:sz w:val="24"/>
                <w:szCs w:val="21"/>
              </w:rPr>
              <w:t>评定项目</w:t>
            </w:r>
          </w:p>
        </w:tc>
        <w:tc>
          <w:tcPr>
            <w:tcW w:w="3260" w:type="dxa"/>
            <w:vAlign w:val="center"/>
          </w:tcPr>
          <w:p w14:paraId="5A11B2B5">
            <w:pPr>
              <w:autoSpaceDE w:val="0"/>
              <w:autoSpaceDN w:val="0"/>
              <w:adjustRightInd w:val="0"/>
              <w:spacing w:before="0" w:after="0" w:line="240" w:lineRule="auto"/>
              <w:jc w:val="center"/>
              <w:rPr>
                <w:rFonts w:hint="default" w:ascii="Times New Roman" w:hAnsi="Times New Roman" w:eastAsia="宋体" w:cs="Times New Roman"/>
                <w:b/>
                <w:color w:val="auto"/>
                <w:kern w:val="0"/>
                <w:sz w:val="24"/>
                <w:szCs w:val="21"/>
              </w:rPr>
            </w:pPr>
            <w:r>
              <w:rPr>
                <w:rFonts w:hint="default" w:ascii="Times New Roman" w:hAnsi="Times New Roman" w:eastAsia="宋体" w:cs="Times New Roman"/>
                <w:b/>
                <w:color w:val="auto"/>
                <w:kern w:val="0"/>
                <w:sz w:val="24"/>
                <w:szCs w:val="21"/>
              </w:rPr>
              <w:t>评定依据</w:t>
            </w:r>
          </w:p>
        </w:tc>
        <w:tc>
          <w:tcPr>
            <w:tcW w:w="755" w:type="dxa"/>
            <w:vAlign w:val="center"/>
          </w:tcPr>
          <w:p w14:paraId="75651E00">
            <w:pPr>
              <w:autoSpaceDE w:val="0"/>
              <w:autoSpaceDN w:val="0"/>
              <w:adjustRightInd w:val="0"/>
              <w:spacing w:before="0" w:after="0" w:line="240" w:lineRule="auto"/>
              <w:jc w:val="center"/>
              <w:rPr>
                <w:rFonts w:hint="default" w:ascii="Times New Roman" w:hAnsi="Times New Roman" w:eastAsia="宋体" w:cs="Times New Roman"/>
                <w:b/>
                <w:color w:val="auto"/>
                <w:kern w:val="0"/>
                <w:sz w:val="24"/>
                <w:szCs w:val="21"/>
              </w:rPr>
            </w:pPr>
            <w:r>
              <w:rPr>
                <w:rFonts w:hint="default" w:ascii="Times New Roman" w:hAnsi="Times New Roman" w:eastAsia="宋体" w:cs="Times New Roman"/>
                <w:b/>
                <w:color w:val="auto"/>
                <w:kern w:val="0"/>
                <w:sz w:val="24"/>
                <w:szCs w:val="21"/>
              </w:rPr>
              <w:t>评级</w:t>
            </w:r>
          </w:p>
        </w:tc>
        <w:tc>
          <w:tcPr>
            <w:tcW w:w="1705" w:type="dxa"/>
            <w:vAlign w:val="center"/>
          </w:tcPr>
          <w:p w14:paraId="40792FFF">
            <w:pPr>
              <w:autoSpaceDE w:val="0"/>
              <w:autoSpaceDN w:val="0"/>
              <w:adjustRightInd w:val="0"/>
              <w:spacing w:before="0" w:after="0" w:line="240" w:lineRule="auto"/>
              <w:jc w:val="center"/>
              <w:rPr>
                <w:rFonts w:hint="default" w:ascii="Times New Roman" w:hAnsi="Times New Roman" w:eastAsia="宋体" w:cs="Times New Roman"/>
                <w:b/>
                <w:color w:val="auto"/>
                <w:kern w:val="0"/>
                <w:sz w:val="24"/>
                <w:szCs w:val="21"/>
              </w:rPr>
            </w:pPr>
            <w:r>
              <w:rPr>
                <w:rFonts w:hint="default" w:ascii="Times New Roman" w:hAnsi="Times New Roman" w:eastAsia="宋体" w:cs="Times New Roman"/>
                <w:b/>
                <w:color w:val="auto"/>
                <w:kern w:val="0"/>
                <w:sz w:val="24"/>
                <w:szCs w:val="21"/>
              </w:rPr>
              <w:t>综合评级</w:t>
            </w:r>
          </w:p>
        </w:tc>
      </w:tr>
      <w:tr w14:paraId="65CEB8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98" w:type="dxa"/>
            <w:vMerge w:val="restart"/>
            <w:vAlign w:val="center"/>
          </w:tcPr>
          <w:p w14:paraId="316A02AB">
            <w:pPr>
              <w:autoSpaceDE w:val="0"/>
              <w:autoSpaceDN w:val="0"/>
              <w:adjustRightInd w:val="0"/>
              <w:spacing w:before="0" w:after="0" w:line="240" w:lineRule="auto"/>
              <w:jc w:val="center"/>
              <w:rPr>
                <w:rFonts w:hint="default" w:ascii="Times New Roman" w:hAnsi="Times New Roman" w:eastAsia="宋体" w:cs="Times New Roman"/>
                <w:color w:val="auto"/>
                <w:kern w:val="0"/>
                <w:sz w:val="24"/>
                <w:szCs w:val="21"/>
              </w:rPr>
            </w:pPr>
            <w:r>
              <w:rPr>
                <w:rFonts w:hint="default" w:ascii="Times New Roman" w:hAnsi="Times New Roman" w:eastAsia="宋体" w:cs="Times New Roman"/>
                <w:color w:val="auto"/>
                <w:kern w:val="0"/>
                <w:sz w:val="24"/>
                <w:szCs w:val="21"/>
              </w:rPr>
              <w:t>围护结构系统</w:t>
            </w:r>
          </w:p>
        </w:tc>
        <w:tc>
          <w:tcPr>
            <w:tcW w:w="1704" w:type="dxa"/>
            <w:vAlign w:val="center"/>
          </w:tcPr>
          <w:p w14:paraId="711446FA">
            <w:pPr>
              <w:autoSpaceDE w:val="0"/>
              <w:autoSpaceDN w:val="0"/>
              <w:adjustRightInd w:val="0"/>
              <w:spacing w:before="0" w:after="0" w:line="240" w:lineRule="auto"/>
              <w:jc w:val="center"/>
              <w:rPr>
                <w:rFonts w:hint="default" w:ascii="Times New Roman" w:hAnsi="Times New Roman" w:eastAsia="宋体" w:cs="Times New Roman"/>
                <w:color w:val="auto"/>
                <w:kern w:val="0"/>
                <w:sz w:val="24"/>
                <w:szCs w:val="21"/>
              </w:rPr>
            </w:pPr>
            <w:r>
              <w:rPr>
                <w:rFonts w:hint="default" w:ascii="Times New Roman" w:hAnsi="Times New Roman" w:eastAsia="宋体" w:cs="Times New Roman"/>
                <w:color w:val="auto"/>
                <w:kern w:val="0"/>
                <w:sz w:val="24"/>
                <w:szCs w:val="21"/>
              </w:rPr>
              <w:t>承载功能</w:t>
            </w:r>
          </w:p>
        </w:tc>
        <w:tc>
          <w:tcPr>
            <w:tcW w:w="3260" w:type="dxa"/>
            <w:vAlign w:val="center"/>
          </w:tcPr>
          <w:p w14:paraId="27ED7ECA">
            <w:pPr>
              <w:autoSpaceDE w:val="0"/>
              <w:autoSpaceDN w:val="0"/>
              <w:adjustRightInd w:val="0"/>
              <w:spacing w:before="0" w:after="0" w:line="240" w:lineRule="auto"/>
              <w:rPr>
                <w:rFonts w:hint="default" w:ascii="Times New Roman" w:hAnsi="Times New Roman" w:eastAsia="宋体" w:cs="Times New Roman"/>
                <w:color w:val="auto"/>
                <w:sz w:val="24"/>
                <w:szCs w:val="21"/>
              </w:rPr>
            </w:pPr>
            <w:r>
              <w:rPr>
                <w:rFonts w:hint="default" w:ascii="Times New Roman" w:hAnsi="Times New Roman" w:eastAsia="宋体" w:cs="Times New Roman"/>
                <w:color w:val="auto"/>
                <w:sz w:val="24"/>
                <w:szCs w:val="24"/>
              </w:rPr>
              <w:t>围护结构未发现影响到承载功能的缺陷。</w:t>
            </w:r>
          </w:p>
        </w:tc>
        <w:tc>
          <w:tcPr>
            <w:tcW w:w="755" w:type="dxa"/>
            <w:vAlign w:val="center"/>
          </w:tcPr>
          <w:p w14:paraId="23A7895F">
            <w:pPr>
              <w:autoSpaceDE w:val="0"/>
              <w:autoSpaceDN w:val="0"/>
              <w:adjustRightInd w:val="0"/>
              <w:spacing w:before="0" w:after="0" w:line="240" w:lineRule="auto"/>
              <w:jc w:val="center"/>
              <w:rPr>
                <w:rFonts w:hint="default" w:ascii="Times New Roman" w:hAnsi="Times New Roman" w:eastAsia="宋体" w:cs="Times New Roman"/>
                <w:color w:val="auto"/>
                <w:kern w:val="0"/>
                <w:sz w:val="24"/>
                <w:szCs w:val="21"/>
              </w:rPr>
            </w:pPr>
            <w:r>
              <w:rPr>
                <w:rFonts w:hint="default" w:ascii="Times New Roman" w:hAnsi="Times New Roman" w:eastAsia="宋体" w:cs="Times New Roman"/>
                <w:color w:val="auto"/>
                <w:kern w:val="0"/>
                <w:sz w:val="24"/>
                <w:szCs w:val="21"/>
              </w:rPr>
              <w:t>A</w:t>
            </w:r>
          </w:p>
        </w:tc>
        <w:tc>
          <w:tcPr>
            <w:tcW w:w="1705" w:type="dxa"/>
            <w:vMerge w:val="restart"/>
            <w:vAlign w:val="center"/>
          </w:tcPr>
          <w:p w14:paraId="2E34B4BA">
            <w:pPr>
              <w:autoSpaceDE w:val="0"/>
              <w:autoSpaceDN w:val="0"/>
              <w:adjustRightInd w:val="0"/>
              <w:spacing w:before="0" w:after="0" w:line="240" w:lineRule="auto"/>
              <w:rPr>
                <w:rFonts w:hint="default" w:ascii="Times New Roman" w:hAnsi="Times New Roman" w:eastAsia="宋体" w:cs="Times New Roman"/>
                <w:color w:val="auto"/>
                <w:kern w:val="0"/>
                <w:sz w:val="24"/>
                <w:szCs w:val="21"/>
              </w:rPr>
            </w:pPr>
            <w:r>
              <w:rPr>
                <w:rFonts w:hint="default" w:ascii="Times New Roman" w:hAnsi="Times New Roman" w:eastAsia="宋体" w:cs="Times New Roman"/>
                <w:color w:val="auto"/>
                <w:kern w:val="0"/>
                <w:sz w:val="24"/>
                <w:szCs w:val="21"/>
              </w:rPr>
              <w:t>按7.4.1条原则，评定围护结构系统的安全性等级为A级</w:t>
            </w:r>
          </w:p>
        </w:tc>
      </w:tr>
      <w:tr w14:paraId="2048D4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98" w:type="dxa"/>
            <w:vMerge w:val="continue"/>
            <w:vAlign w:val="center"/>
          </w:tcPr>
          <w:p w14:paraId="6FD4BE59">
            <w:pPr>
              <w:autoSpaceDE w:val="0"/>
              <w:autoSpaceDN w:val="0"/>
              <w:adjustRightInd w:val="0"/>
              <w:spacing w:before="0" w:after="0" w:line="240" w:lineRule="auto"/>
              <w:jc w:val="center"/>
              <w:rPr>
                <w:rFonts w:hint="default" w:ascii="Times New Roman" w:hAnsi="Times New Roman" w:eastAsia="宋体" w:cs="Times New Roman"/>
                <w:color w:val="auto"/>
                <w:kern w:val="0"/>
                <w:sz w:val="24"/>
                <w:szCs w:val="21"/>
              </w:rPr>
            </w:pPr>
          </w:p>
        </w:tc>
        <w:tc>
          <w:tcPr>
            <w:tcW w:w="1704" w:type="dxa"/>
            <w:vAlign w:val="center"/>
          </w:tcPr>
          <w:p w14:paraId="3A3C1FAA">
            <w:pPr>
              <w:autoSpaceDE w:val="0"/>
              <w:autoSpaceDN w:val="0"/>
              <w:adjustRightInd w:val="0"/>
              <w:spacing w:before="0" w:after="0" w:line="240" w:lineRule="auto"/>
              <w:jc w:val="center"/>
              <w:rPr>
                <w:rFonts w:hint="default" w:ascii="Times New Roman" w:hAnsi="Times New Roman" w:eastAsia="宋体" w:cs="Times New Roman"/>
                <w:color w:val="auto"/>
                <w:kern w:val="0"/>
                <w:sz w:val="24"/>
                <w:szCs w:val="21"/>
              </w:rPr>
            </w:pPr>
            <w:r>
              <w:rPr>
                <w:rFonts w:hint="default" w:ascii="Times New Roman" w:hAnsi="Times New Roman" w:eastAsia="宋体" w:cs="Times New Roman"/>
                <w:color w:val="auto"/>
                <w:kern w:val="0"/>
                <w:sz w:val="24"/>
                <w:szCs w:val="21"/>
              </w:rPr>
              <w:t>构造连接</w:t>
            </w:r>
          </w:p>
        </w:tc>
        <w:tc>
          <w:tcPr>
            <w:tcW w:w="3260" w:type="dxa"/>
            <w:vAlign w:val="center"/>
          </w:tcPr>
          <w:p w14:paraId="76CDF105">
            <w:pPr>
              <w:autoSpaceDE w:val="0"/>
              <w:autoSpaceDN w:val="0"/>
              <w:adjustRightInd w:val="0"/>
              <w:spacing w:before="0" w:after="0" w:line="240" w:lineRule="auto"/>
              <w:rPr>
                <w:rFonts w:hint="default" w:ascii="Times New Roman" w:hAnsi="Times New Roman" w:eastAsia="宋体" w:cs="Times New Roman"/>
                <w:color w:val="auto"/>
                <w:kern w:val="0"/>
                <w:sz w:val="24"/>
                <w:szCs w:val="21"/>
              </w:rPr>
            </w:pPr>
            <w:r>
              <w:rPr>
                <w:rFonts w:hint="default" w:ascii="Times New Roman" w:hAnsi="Times New Roman" w:eastAsia="宋体" w:cs="Times New Roman"/>
                <w:color w:val="auto"/>
                <w:kern w:val="0"/>
                <w:sz w:val="24"/>
                <w:szCs w:val="21"/>
              </w:rPr>
              <w:t xml:space="preserve">构造合理，连接方式正确，对主体结构没有不利的影响。 </w:t>
            </w:r>
          </w:p>
        </w:tc>
        <w:tc>
          <w:tcPr>
            <w:tcW w:w="755" w:type="dxa"/>
            <w:vAlign w:val="center"/>
          </w:tcPr>
          <w:p w14:paraId="0FD30513">
            <w:pPr>
              <w:autoSpaceDE w:val="0"/>
              <w:autoSpaceDN w:val="0"/>
              <w:adjustRightInd w:val="0"/>
              <w:spacing w:before="0" w:after="0" w:line="240" w:lineRule="auto"/>
              <w:jc w:val="center"/>
              <w:rPr>
                <w:rFonts w:hint="default" w:ascii="Times New Roman" w:hAnsi="Times New Roman" w:eastAsia="宋体" w:cs="Times New Roman"/>
                <w:color w:val="auto"/>
                <w:kern w:val="0"/>
                <w:sz w:val="24"/>
                <w:szCs w:val="21"/>
              </w:rPr>
            </w:pPr>
            <w:r>
              <w:rPr>
                <w:rFonts w:hint="default" w:ascii="Times New Roman" w:hAnsi="Times New Roman" w:eastAsia="宋体" w:cs="Times New Roman"/>
                <w:color w:val="auto"/>
                <w:kern w:val="0"/>
                <w:sz w:val="24"/>
                <w:szCs w:val="21"/>
              </w:rPr>
              <w:t>A</w:t>
            </w:r>
          </w:p>
        </w:tc>
        <w:tc>
          <w:tcPr>
            <w:tcW w:w="1705" w:type="dxa"/>
            <w:vMerge w:val="continue"/>
            <w:vAlign w:val="center"/>
          </w:tcPr>
          <w:p w14:paraId="100DDC14">
            <w:pPr>
              <w:autoSpaceDE w:val="0"/>
              <w:autoSpaceDN w:val="0"/>
              <w:adjustRightInd w:val="0"/>
              <w:spacing w:before="0" w:after="0" w:line="240" w:lineRule="auto"/>
              <w:jc w:val="center"/>
              <w:rPr>
                <w:rFonts w:hint="default" w:ascii="Times New Roman" w:hAnsi="Times New Roman" w:eastAsia="宋体" w:cs="Times New Roman"/>
                <w:color w:val="auto"/>
                <w:kern w:val="0"/>
                <w:sz w:val="24"/>
                <w:szCs w:val="21"/>
              </w:rPr>
            </w:pPr>
          </w:p>
        </w:tc>
      </w:tr>
    </w:tbl>
    <w:p w14:paraId="504B3488">
      <w:pPr>
        <w:keepNext w:val="0"/>
        <w:keepLines w:val="0"/>
        <w:pageBreakBefore w:val="0"/>
        <w:widowControl w:val="0"/>
        <w:kinsoku/>
        <w:wordWrap/>
        <w:overflowPunct/>
        <w:topLinePunct w:val="0"/>
        <w:autoSpaceDE/>
        <w:autoSpaceDN/>
        <w:bidi w:val="0"/>
        <w:adjustRightInd/>
        <w:snapToGrid/>
        <w:spacing w:before="157" w:beforeLines="50" w:after="157" w:afterLines="50"/>
        <w:textAlignment w:val="auto"/>
        <w:rPr>
          <w:rFonts w:hint="default" w:ascii="Times New Roman" w:hAnsi="Times New Roman" w:cs="Times New Roman"/>
          <w:b/>
          <w:bCs/>
          <w:color w:val="auto"/>
          <w:sz w:val="28"/>
          <w:szCs w:val="28"/>
          <w:lang w:val="en-US" w:eastAsia="zh-CN"/>
        </w:rPr>
      </w:pPr>
      <w:bookmarkStart w:id="295" w:name="_Toc82013315"/>
      <w:bookmarkStart w:id="296" w:name="_Toc93949084"/>
      <w:bookmarkStart w:id="297" w:name="_Toc91854094"/>
      <w:bookmarkStart w:id="298" w:name="_Toc93948759"/>
      <w:bookmarkStart w:id="299" w:name="_Toc89760178"/>
      <w:bookmarkStart w:id="300" w:name="_Toc93867318"/>
      <w:bookmarkStart w:id="301" w:name="_Toc89760964"/>
      <w:bookmarkStart w:id="302" w:name="_Toc102725856"/>
      <w:bookmarkStart w:id="303" w:name="_Toc102744910"/>
      <w:bookmarkStart w:id="304" w:name="_Toc20595"/>
      <w:bookmarkStart w:id="305" w:name="_Toc141107161"/>
      <w:bookmarkStart w:id="306" w:name="_Toc89760437"/>
      <w:bookmarkStart w:id="307" w:name="_Toc141257795"/>
      <w:bookmarkStart w:id="308" w:name="_Toc88734988"/>
      <w:bookmarkStart w:id="309" w:name="_Toc92440411"/>
      <w:bookmarkStart w:id="310" w:name="_Toc89696782"/>
      <w:bookmarkStart w:id="311" w:name="_Toc89436835"/>
      <w:bookmarkStart w:id="312" w:name="_Toc88827331"/>
      <w:bookmarkStart w:id="313" w:name="_Toc93756722"/>
      <w:bookmarkStart w:id="314" w:name="_Toc141107571"/>
      <w:bookmarkStart w:id="315" w:name="_Toc31771"/>
      <w:bookmarkStart w:id="316" w:name="_Toc105078967"/>
      <w:bookmarkStart w:id="317" w:name="_Toc141349650"/>
      <w:bookmarkStart w:id="318" w:name="_Toc93919446"/>
      <w:bookmarkStart w:id="319" w:name="_Toc93755624"/>
      <w:bookmarkStart w:id="320" w:name="_Toc88817151"/>
      <w:r>
        <w:rPr>
          <w:rFonts w:hint="default" w:ascii="Times New Roman" w:hAnsi="Times New Roman" w:cs="Times New Roman"/>
          <w:b/>
          <w:bCs/>
          <w:color w:val="auto"/>
          <w:sz w:val="28"/>
          <w:szCs w:val="28"/>
          <w:lang w:val="en-US" w:eastAsia="zh-CN"/>
        </w:rPr>
        <w:t>6.1.3鉴定单元安全性评定</w:t>
      </w:r>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p w14:paraId="35E8EFFF">
      <w:pPr>
        <w:autoSpaceDE w:val="0"/>
        <w:autoSpaceDN w:val="0"/>
        <w:adjustRightInd w:val="0"/>
        <w:spacing w:before="0" w:after="0" w:line="360" w:lineRule="auto"/>
        <w:ind w:firstLine="480" w:firstLineChars="200"/>
        <w:jc w:val="left"/>
        <w:rPr>
          <w:rFonts w:hint="default" w:ascii="Times New Roman" w:hAnsi="Times New Roman" w:eastAsia="宋体" w:cs="Times New Roman"/>
          <w:color w:val="auto"/>
          <w:kern w:val="0"/>
          <w:sz w:val="24"/>
          <w:szCs w:val="24"/>
        </w:rPr>
      </w:pPr>
      <w:bookmarkStart w:id="321" w:name="_Toc17411"/>
      <w:r>
        <w:rPr>
          <w:rFonts w:hint="default" w:ascii="Times New Roman" w:hAnsi="Times New Roman" w:eastAsia="宋体" w:cs="Times New Roman"/>
          <w:color w:val="auto"/>
          <w:kern w:val="0"/>
          <w:sz w:val="24"/>
          <w:szCs w:val="24"/>
        </w:rPr>
        <w:t>根据结构系统安全性鉴定评级结果，依据</w:t>
      </w:r>
      <w:r>
        <w:rPr>
          <w:rFonts w:hint="default" w:ascii="Times New Roman" w:hAnsi="Times New Roman" w:eastAsia="宋体" w:cs="Times New Roman"/>
          <w:color w:val="auto"/>
          <w:sz w:val="24"/>
          <w:szCs w:val="24"/>
        </w:rPr>
        <w:t>《工业建筑安全性鉴定标准》（GB 50144-2019）8.0.2节评定）</w:t>
      </w:r>
      <w:r>
        <w:rPr>
          <w:rFonts w:hint="default" w:ascii="Times New Roman" w:hAnsi="Times New Roman" w:eastAsia="宋体" w:cs="Times New Roman"/>
          <w:color w:val="auto"/>
          <w:kern w:val="0"/>
          <w:sz w:val="24"/>
          <w:szCs w:val="24"/>
        </w:rPr>
        <w:t>的相关规定，评定该厂房鉴定单元的安全性等级，详见表6.1.3-1。</w:t>
      </w:r>
    </w:p>
    <w:p w14:paraId="14CD587A">
      <w:pPr>
        <w:spacing w:before="0" w:after="0" w:line="240" w:lineRule="auto"/>
        <w:ind w:right="2" w:rightChars="1" w:firstLine="422" w:firstLineChars="20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表6.1.3-1 鉴定单元安全性鉴定评级</w:t>
      </w:r>
    </w:p>
    <w:tbl>
      <w:tblPr>
        <w:tblStyle w:val="22"/>
        <w:tblW w:w="852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840"/>
        <w:gridCol w:w="2841"/>
        <w:gridCol w:w="2841"/>
      </w:tblGrid>
      <w:tr w14:paraId="106561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2840" w:type="dxa"/>
            <w:vAlign w:val="center"/>
          </w:tcPr>
          <w:p w14:paraId="7285BA51">
            <w:pPr>
              <w:autoSpaceDE w:val="0"/>
              <w:autoSpaceDN w:val="0"/>
              <w:adjustRightInd w:val="0"/>
              <w:spacing w:before="0" w:after="0" w:line="240" w:lineRule="auto"/>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结构系统</w:t>
            </w:r>
          </w:p>
        </w:tc>
        <w:tc>
          <w:tcPr>
            <w:tcW w:w="2841" w:type="dxa"/>
            <w:vAlign w:val="center"/>
          </w:tcPr>
          <w:p w14:paraId="4894813F">
            <w:pPr>
              <w:autoSpaceDE w:val="0"/>
              <w:autoSpaceDN w:val="0"/>
              <w:adjustRightInd w:val="0"/>
              <w:spacing w:before="0" w:after="0" w:line="240" w:lineRule="auto"/>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鉴定评级</w:t>
            </w:r>
          </w:p>
        </w:tc>
        <w:tc>
          <w:tcPr>
            <w:tcW w:w="2841" w:type="dxa"/>
            <w:vAlign w:val="center"/>
          </w:tcPr>
          <w:p w14:paraId="5344333A">
            <w:pPr>
              <w:autoSpaceDE w:val="0"/>
              <w:autoSpaceDN w:val="0"/>
              <w:adjustRightInd w:val="0"/>
              <w:spacing w:before="0" w:after="0" w:line="240" w:lineRule="auto"/>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鉴定单元评级</w:t>
            </w:r>
          </w:p>
        </w:tc>
      </w:tr>
      <w:tr w14:paraId="32B937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2840" w:type="dxa"/>
            <w:vAlign w:val="center"/>
          </w:tcPr>
          <w:p w14:paraId="65AAD4DF">
            <w:pPr>
              <w:autoSpaceDE w:val="0"/>
              <w:autoSpaceDN w:val="0"/>
              <w:adjustRightInd w:val="0"/>
              <w:spacing w:before="0" w:after="0"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地基基础</w:t>
            </w:r>
          </w:p>
        </w:tc>
        <w:tc>
          <w:tcPr>
            <w:tcW w:w="2841" w:type="dxa"/>
            <w:vAlign w:val="center"/>
          </w:tcPr>
          <w:p w14:paraId="114ED096">
            <w:pPr>
              <w:autoSpaceDE w:val="0"/>
              <w:autoSpaceDN w:val="0"/>
              <w:adjustRightInd w:val="0"/>
              <w:spacing w:before="0" w:after="0" w:line="240" w:lineRule="auto"/>
              <w:jc w:val="center"/>
              <w:rPr>
                <w:rFonts w:hint="default" w:ascii="Times New Roman" w:hAnsi="Times New Roman" w:eastAsia="宋体" w:cs="Times New Roman"/>
                <w:color w:val="auto"/>
                <w:kern w:val="0"/>
                <w:sz w:val="24"/>
                <w:szCs w:val="21"/>
              </w:rPr>
            </w:pPr>
            <w:r>
              <w:rPr>
                <w:rFonts w:hint="default" w:ascii="Times New Roman" w:hAnsi="Times New Roman" w:eastAsia="宋体" w:cs="Times New Roman"/>
                <w:color w:val="auto"/>
                <w:kern w:val="0"/>
                <w:sz w:val="24"/>
                <w:szCs w:val="21"/>
              </w:rPr>
              <w:t>A</w:t>
            </w:r>
          </w:p>
        </w:tc>
        <w:tc>
          <w:tcPr>
            <w:tcW w:w="2841" w:type="dxa"/>
            <w:vMerge w:val="restart"/>
            <w:vAlign w:val="center"/>
          </w:tcPr>
          <w:p w14:paraId="563ACCF6">
            <w:pPr>
              <w:autoSpaceDE w:val="0"/>
              <w:autoSpaceDN w:val="0"/>
              <w:adjustRightInd w:val="0"/>
              <w:spacing w:before="0" w:after="0" w:line="240" w:lineRule="auto"/>
              <w:rPr>
                <w:rFonts w:hint="default" w:ascii="Times New Roman" w:hAnsi="Times New Roman" w:eastAsia="宋体" w:cs="Times New Roman"/>
                <w:color w:val="auto"/>
                <w:kern w:val="0"/>
                <w:sz w:val="24"/>
                <w:szCs w:val="21"/>
              </w:rPr>
            </w:pPr>
            <w:r>
              <w:rPr>
                <w:rFonts w:hint="default" w:ascii="Times New Roman" w:hAnsi="Times New Roman" w:eastAsia="宋体" w:cs="Times New Roman"/>
                <w:color w:val="auto"/>
                <w:kern w:val="0"/>
                <w:sz w:val="21"/>
                <w:szCs w:val="21"/>
              </w:rPr>
              <w:t>按8.0.2节鉴定单元安全性评级原则，评定安全性等级为一级。</w:t>
            </w:r>
          </w:p>
        </w:tc>
      </w:tr>
      <w:tr w14:paraId="4E5885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0" w:hRule="atLeast"/>
          <w:jc w:val="center"/>
        </w:trPr>
        <w:tc>
          <w:tcPr>
            <w:tcW w:w="2840" w:type="dxa"/>
            <w:vAlign w:val="center"/>
          </w:tcPr>
          <w:p w14:paraId="4BEEB0B9">
            <w:pPr>
              <w:autoSpaceDE w:val="0"/>
              <w:autoSpaceDN w:val="0"/>
              <w:adjustRightInd w:val="0"/>
              <w:spacing w:before="0" w:after="0"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上部承重结构</w:t>
            </w:r>
          </w:p>
        </w:tc>
        <w:tc>
          <w:tcPr>
            <w:tcW w:w="2841" w:type="dxa"/>
            <w:vAlign w:val="center"/>
          </w:tcPr>
          <w:p w14:paraId="19C6B48B">
            <w:pPr>
              <w:autoSpaceDE w:val="0"/>
              <w:autoSpaceDN w:val="0"/>
              <w:adjustRightInd w:val="0"/>
              <w:spacing w:before="0" w:after="0" w:line="240" w:lineRule="auto"/>
              <w:jc w:val="center"/>
              <w:rPr>
                <w:rFonts w:hint="default" w:ascii="Times New Roman" w:hAnsi="Times New Roman" w:eastAsia="宋体" w:cs="Times New Roman"/>
                <w:color w:val="auto"/>
                <w:kern w:val="0"/>
                <w:sz w:val="24"/>
                <w:szCs w:val="21"/>
              </w:rPr>
            </w:pPr>
            <w:r>
              <w:rPr>
                <w:rFonts w:hint="default" w:ascii="Times New Roman" w:hAnsi="Times New Roman" w:eastAsia="宋体" w:cs="Times New Roman"/>
                <w:color w:val="auto"/>
                <w:kern w:val="0"/>
                <w:sz w:val="24"/>
                <w:szCs w:val="21"/>
              </w:rPr>
              <w:t>A</w:t>
            </w:r>
          </w:p>
        </w:tc>
        <w:tc>
          <w:tcPr>
            <w:tcW w:w="2841" w:type="dxa"/>
            <w:vMerge w:val="continue"/>
          </w:tcPr>
          <w:p w14:paraId="2540DFF9">
            <w:pPr>
              <w:autoSpaceDE w:val="0"/>
              <w:autoSpaceDN w:val="0"/>
              <w:adjustRightInd w:val="0"/>
              <w:spacing w:before="0" w:after="0" w:line="240" w:lineRule="auto"/>
              <w:jc w:val="left"/>
              <w:rPr>
                <w:rFonts w:hint="default" w:ascii="Times New Roman" w:hAnsi="Times New Roman" w:eastAsia="宋体" w:cs="Times New Roman"/>
                <w:color w:val="auto"/>
                <w:kern w:val="0"/>
                <w:sz w:val="24"/>
                <w:szCs w:val="21"/>
              </w:rPr>
            </w:pPr>
          </w:p>
        </w:tc>
      </w:tr>
      <w:tr w14:paraId="1724C4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1" w:hRule="atLeast"/>
          <w:jc w:val="center"/>
        </w:trPr>
        <w:tc>
          <w:tcPr>
            <w:tcW w:w="2840" w:type="dxa"/>
            <w:vAlign w:val="center"/>
          </w:tcPr>
          <w:p w14:paraId="59C4F791">
            <w:pPr>
              <w:autoSpaceDE w:val="0"/>
              <w:autoSpaceDN w:val="0"/>
              <w:adjustRightInd w:val="0"/>
              <w:spacing w:before="0" w:after="0"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围护结构系统</w:t>
            </w:r>
          </w:p>
        </w:tc>
        <w:tc>
          <w:tcPr>
            <w:tcW w:w="2841" w:type="dxa"/>
            <w:vAlign w:val="center"/>
          </w:tcPr>
          <w:p w14:paraId="7264C93E">
            <w:pPr>
              <w:autoSpaceDE w:val="0"/>
              <w:autoSpaceDN w:val="0"/>
              <w:adjustRightInd w:val="0"/>
              <w:spacing w:before="0" w:after="0" w:line="240" w:lineRule="auto"/>
              <w:jc w:val="center"/>
              <w:rPr>
                <w:rFonts w:hint="default" w:ascii="Times New Roman" w:hAnsi="Times New Roman" w:eastAsia="宋体" w:cs="Times New Roman"/>
                <w:color w:val="auto"/>
                <w:kern w:val="0"/>
                <w:sz w:val="24"/>
                <w:szCs w:val="21"/>
              </w:rPr>
            </w:pPr>
            <w:r>
              <w:rPr>
                <w:rFonts w:hint="default" w:ascii="Times New Roman" w:hAnsi="Times New Roman" w:eastAsia="宋体" w:cs="Times New Roman"/>
                <w:color w:val="auto"/>
                <w:kern w:val="0"/>
                <w:sz w:val="24"/>
                <w:szCs w:val="21"/>
              </w:rPr>
              <w:t>A</w:t>
            </w:r>
          </w:p>
        </w:tc>
        <w:tc>
          <w:tcPr>
            <w:tcW w:w="2841" w:type="dxa"/>
            <w:vMerge w:val="continue"/>
          </w:tcPr>
          <w:p w14:paraId="49406727">
            <w:pPr>
              <w:autoSpaceDE w:val="0"/>
              <w:autoSpaceDN w:val="0"/>
              <w:adjustRightInd w:val="0"/>
              <w:spacing w:before="0" w:after="0" w:line="240" w:lineRule="auto"/>
              <w:jc w:val="left"/>
              <w:rPr>
                <w:rFonts w:hint="default" w:ascii="Times New Roman" w:hAnsi="Times New Roman" w:eastAsia="宋体" w:cs="Times New Roman"/>
                <w:color w:val="auto"/>
                <w:kern w:val="0"/>
                <w:sz w:val="24"/>
                <w:szCs w:val="21"/>
              </w:rPr>
            </w:pPr>
          </w:p>
        </w:tc>
      </w:tr>
      <w:bookmarkEnd w:id="321"/>
    </w:tbl>
    <w:p w14:paraId="070BB1B5">
      <w:pPr>
        <w:keepNext w:val="0"/>
        <w:keepLines w:val="0"/>
        <w:pageBreakBefore w:val="0"/>
        <w:widowControl w:val="0"/>
        <w:kinsoku/>
        <w:wordWrap/>
        <w:overflowPunct/>
        <w:topLinePunct w:val="0"/>
        <w:autoSpaceDE/>
        <w:autoSpaceDN/>
        <w:bidi w:val="0"/>
        <w:adjustRightInd/>
        <w:snapToGrid/>
        <w:spacing w:before="157" w:beforeLines="50" w:after="157" w:afterLines="50"/>
        <w:textAlignment w:val="auto"/>
        <w:rPr>
          <w:rFonts w:hint="default" w:ascii="Times New Roman" w:hAnsi="Times New Roman" w:cs="Times New Roman"/>
          <w:b/>
          <w:bCs/>
          <w:color w:val="auto"/>
          <w:sz w:val="30"/>
          <w:szCs w:val="30"/>
          <w:lang w:val="en-US" w:eastAsia="zh-CN"/>
        </w:rPr>
      </w:pPr>
      <w:bookmarkStart w:id="322" w:name="_Toc82013316"/>
      <w:bookmarkStart w:id="323" w:name="_Toc105078968"/>
      <w:bookmarkStart w:id="324" w:name="_Toc10575"/>
      <w:r>
        <w:rPr>
          <w:rFonts w:hint="default" w:ascii="Times New Roman" w:hAnsi="Times New Roman" w:cs="Times New Roman"/>
          <w:b/>
          <w:bCs/>
          <w:color w:val="auto"/>
          <w:sz w:val="30"/>
          <w:szCs w:val="30"/>
          <w:lang w:val="en-US" w:eastAsia="zh-CN"/>
        </w:rPr>
        <w:t>6.2使用性</w:t>
      </w:r>
      <w:bookmarkEnd w:id="322"/>
      <w:r>
        <w:rPr>
          <w:rFonts w:hint="default" w:ascii="Times New Roman" w:hAnsi="Times New Roman" w:cs="Times New Roman"/>
          <w:b/>
          <w:bCs/>
          <w:color w:val="auto"/>
          <w:sz w:val="30"/>
          <w:szCs w:val="30"/>
          <w:lang w:val="en-US" w:eastAsia="zh-CN"/>
        </w:rPr>
        <w:t>评级</w:t>
      </w:r>
      <w:bookmarkEnd w:id="323"/>
      <w:bookmarkEnd w:id="324"/>
    </w:p>
    <w:p w14:paraId="21E39826">
      <w:pPr>
        <w:keepNext w:val="0"/>
        <w:keepLines w:val="0"/>
        <w:pageBreakBefore w:val="0"/>
        <w:widowControl w:val="0"/>
        <w:kinsoku/>
        <w:wordWrap/>
        <w:overflowPunct/>
        <w:topLinePunct w:val="0"/>
        <w:autoSpaceDE/>
        <w:autoSpaceDN/>
        <w:bidi w:val="0"/>
        <w:adjustRightInd/>
        <w:snapToGrid/>
        <w:spacing w:before="157" w:beforeLines="50" w:after="157" w:afterLines="50"/>
        <w:textAlignment w:val="auto"/>
        <w:rPr>
          <w:rFonts w:hint="default" w:ascii="Times New Roman" w:hAnsi="Times New Roman" w:cs="Times New Roman"/>
          <w:b/>
          <w:bCs/>
          <w:color w:val="auto"/>
          <w:sz w:val="28"/>
          <w:szCs w:val="28"/>
          <w:lang w:val="en-US" w:eastAsia="zh-CN"/>
        </w:rPr>
      </w:pPr>
      <w:bookmarkStart w:id="325" w:name="_Toc102725858"/>
      <w:bookmarkStart w:id="326" w:name="_Toc89760180"/>
      <w:bookmarkStart w:id="327" w:name="_Toc93755626"/>
      <w:bookmarkStart w:id="328" w:name="_Toc141107573"/>
      <w:bookmarkStart w:id="329" w:name="_Toc93756724"/>
      <w:bookmarkStart w:id="330" w:name="_Toc102744912"/>
      <w:bookmarkStart w:id="331" w:name="_Toc89760966"/>
      <w:bookmarkStart w:id="332" w:name="_Toc93949086"/>
      <w:bookmarkStart w:id="333" w:name="_Toc93948761"/>
      <w:bookmarkStart w:id="334" w:name="_Toc82013317"/>
      <w:bookmarkStart w:id="335" w:name="_Toc141257797"/>
      <w:bookmarkStart w:id="336" w:name="_Toc21133"/>
      <w:bookmarkStart w:id="337" w:name="_Toc141107163"/>
      <w:bookmarkStart w:id="338" w:name="_Toc141349652"/>
      <w:bookmarkStart w:id="339" w:name="_Toc91854096"/>
      <w:bookmarkStart w:id="340" w:name="_Toc105078969"/>
      <w:bookmarkStart w:id="341" w:name="_Toc7300"/>
      <w:bookmarkStart w:id="342" w:name="_Toc93919448"/>
      <w:bookmarkStart w:id="343" w:name="_Toc92440413"/>
      <w:bookmarkStart w:id="344" w:name="_Toc93867320"/>
      <w:bookmarkStart w:id="345" w:name="_Toc89760439"/>
      <w:r>
        <w:rPr>
          <w:rFonts w:hint="default" w:ascii="Times New Roman" w:hAnsi="Times New Roman" w:cs="Times New Roman"/>
          <w:b/>
          <w:bCs/>
          <w:color w:val="auto"/>
          <w:sz w:val="28"/>
          <w:szCs w:val="28"/>
          <w:lang w:val="en-US" w:eastAsia="zh-CN"/>
        </w:rPr>
        <w:t>6.2.1构件使用性评定</w:t>
      </w:r>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p>
    <w:p w14:paraId="398884FD">
      <w:pPr>
        <w:autoSpaceDE w:val="0"/>
        <w:autoSpaceDN w:val="0"/>
        <w:adjustRightInd w:val="0"/>
        <w:spacing w:before="156" w:beforeLines="50" w:after="120" w:line="360" w:lineRule="auto"/>
        <w:ind w:firstLine="480"/>
        <w:rPr>
          <w:rFonts w:hint="default" w:ascii="Times New Roman" w:hAnsi="Times New Roman" w:eastAsia="宋体" w:cs="Times New Roman"/>
          <w:color w:val="auto"/>
          <w:sz w:val="24"/>
          <w:szCs w:val="22"/>
          <w:lang w:val="en-US" w:eastAsia="zh-CN" w:bidi="ar-SA"/>
        </w:rPr>
      </w:pPr>
      <w:r>
        <w:rPr>
          <w:rFonts w:hint="default" w:ascii="Times New Roman" w:hAnsi="Times New Roman" w:eastAsia="宋体" w:cs="Times New Roman"/>
          <w:color w:val="auto"/>
          <w:sz w:val="24"/>
          <w:szCs w:val="24"/>
        </w:rPr>
        <w:t>承重结构构件的使用性鉴定（依据《工业建筑可靠性鉴定标准》(GB 50144-2019) 6.3节评定），钢构件应按变形、偏差、一般构造和腐蚀四个项目评定，并取其中最低一级作为该构件使用性等级，具体评定结果见表</w:t>
      </w:r>
      <w:r>
        <w:rPr>
          <w:rFonts w:hint="default" w:ascii="Times New Roman" w:hAnsi="Times New Roman" w:eastAsia="宋体" w:cs="Times New Roman"/>
          <w:color w:val="auto"/>
          <w:sz w:val="24"/>
          <w:szCs w:val="32"/>
        </w:rPr>
        <w:t>6.2.1-1。</w:t>
      </w:r>
    </w:p>
    <w:p w14:paraId="56E52772">
      <w:pPr>
        <w:spacing w:before="0" w:after="0" w:line="240" w:lineRule="auto"/>
        <w:ind w:right="2" w:rightChars="1" w:firstLine="422" w:firstLineChars="20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表6.2.1-1结构构件使用性鉴定评级</w:t>
      </w:r>
    </w:p>
    <w:tbl>
      <w:tblPr>
        <w:tblStyle w:val="22"/>
        <w:tblW w:w="852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39"/>
        <w:gridCol w:w="1134"/>
        <w:gridCol w:w="3686"/>
        <w:gridCol w:w="758"/>
        <w:gridCol w:w="1705"/>
      </w:tblGrid>
      <w:tr w14:paraId="3603FD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39" w:type="dxa"/>
            <w:vAlign w:val="center"/>
          </w:tcPr>
          <w:p w14:paraId="3A14607D">
            <w:pPr>
              <w:autoSpaceDE w:val="0"/>
              <w:autoSpaceDN w:val="0"/>
              <w:adjustRightInd w:val="0"/>
              <w:spacing w:before="0" w:after="0" w:line="240" w:lineRule="auto"/>
              <w:jc w:val="center"/>
              <w:rPr>
                <w:rFonts w:hint="default" w:ascii="Times New Roman" w:hAnsi="Times New Roman" w:eastAsia="宋体" w:cs="Times New Roman"/>
                <w:b/>
                <w:color w:val="auto"/>
                <w:kern w:val="0"/>
                <w:sz w:val="24"/>
                <w:szCs w:val="21"/>
              </w:rPr>
            </w:pPr>
            <w:r>
              <w:rPr>
                <w:rFonts w:hint="default" w:ascii="Times New Roman" w:hAnsi="Times New Roman" w:eastAsia="宋体" w:cs="Times New Roman"/>
                <w:b/>
                <w:color w:val="auto"/>
                <w:kern w:val="0"/>
                <w:sz w:val="24"/>
                <w:szCs w:val="21"/>
              </w:rPr>
              <w:t>鉴定部位</w:t>
            </w:r>
          </w:p>
        </w:tc>
        <w:tc>
          <w:tcPr>
            <w:tcW w:w="1134" w:type="dxa"/>
            <w:vAlign w:val="center"/>
          </w:tcPr>
          <w:p w14:paraId="3AEF0DFB">
            <w:pPr>
              <w:autoSpaceDE w:val="0"/>
              <w:autoSpaceDN w:val="0"/>
              <w:adjustRightInd w:val="0"/>
              <w:spacing w:before="0" w:after="0" w:line="240" w:lineRule="auto"/>
              <w:jc w:val="center"/>
              <w:rPr>
                <w:rFonts w:hint="default" w:ascii="Times New Roman" w:hAnsi="Times New Roman" w:eastAsia="宋体" w:cs="Times New Roman"/>
                <w:b/>
                <w:color w:val="auto"/>
                <w:kern w:val="0"/>
                <w:sz w:val="24"/>
                <w:szCs w:val="21"/>
              </w:rPr>
            </w:pPr>
            <w:r>
              <w:rPr>
                <w:rFonts w:hint="default" w:ascii="Times New Roman" w:hAnsi="Times New Roman" w:eastAsia="宋体" w:cs="Times New Roman"/>
                <w:b/>
                <w:color w:val="auto"/>
                <w:kern w:val="0"/>
                <w:sz w:val="24"/>
                <w:szCs w:val="21"/>
              </w:rPr>
              <w:t>评定项目</w:t>
            </w:r>
          </w:p>
        </w:tc>
        <w:tc>
          <w:tcPr>
            <w:tcW w:w="3686" w:type="dxa"/>
            <w:vAlign w:val="center"/>
          </w:tcPr>
          <w:p w14:paraId="35DC6B69">
            <w:pPr>
              <w:autoSpaceDE w:val="0"/>
              <w:autoSpaceDN w:val="0"/>
              <w:adjustRightInd w:val="0"/>
              <w:spacing w:before="0" w:after="0" w:line="240" w:lineRule="auto"/>
              <w:jc w:val="center"/>
              <w:rPr>
                <w:rFonts w:hint="default" w:ascii="Times New Roman" w:hAnsi="Times New Roman" w:eastAsia="宋体" w:cs="Times New Roman"/>
                <w:b/>
                <w:color w:val="auto"/>
                <w:kern w:val="0"/>
                <w:sz w:val="24"/>
                <w:szCs w:val="21"/>
              </w:rPr>
            </w:pPr>
            <w:r>
              <w:rPr>
                <w:rFonts w:hint="default" w:ascii="Times New Roman" w:hAnsi="Times New Roman" w:eastAsia="宋体" w:cs="Times New Roman"/>
                <w:b/>
                <w:color w:val="auto"/>
                <w:kern w:val="0"/>
                <w:sz w:val="24"/>
                <w:szCs w:val="21"/>
              </w:rPr>
              <w:t>现场检测结果</w:t>
            </w:r>
          </w:p>
        </w:tc>
        <w:tc>
          <w:tcPr>
            <w:tcW w:w="758" w:type="dxa"/>
            <w:vAlign w:val="center"/>
          </w:tcPr>
          <w:p w14:paraId="139CAF9C">
            <w:pPr>
              <w:autoSpaceDE w:val="0"/>
              <w:autoSpaceDN w:val="0"/>
              <w:adjustRightInd w:val="0"/>
              <w:spacing w:before="0" w:after="0" w:line="240" w:lineRule="auto"/>
              <w:jc w:val="center"/>
              <w:rPr>
                <w:rFonts w:hint="default" w:ascii="Times New Roman" w:hAnsi="Times New Roman" w:eastAsia="宋体" w:cs="Times New Roman"/>
                <w:b/>
                <w:color w:val="auto"/>
                <w:kern w:val="0"/>
                <w:sz w:val="24"/>
                <w:szCs w:val="21"/>
              </w:rPr>
            </w:pPr>
            <w:r>
              <w:rPr>
                <w:rFonts w:hint="default" w:ascii="Times New Roman" w:hAnsi="Times New Roman" w:eastAsia="宋体" w:cs="Times New Roman"/>
                <w:b/>
                <w:color w:val="auto"/>
                <w:kern w:val="0"/>
                <w:sz w:val="24"/>
                <w:szCs w:val="21"/>
              </w:rPr>
              <w:t>评级</w:t>
            </w:r>
          </w:p>
        </w:tc>
        <w:tc>
          <w:tcPr>
            <w:tcW w:w="1705" w:type="dxa"/>
            <w:vAlign w:val="center"/>
          </w:tcPr>
          <w:p w14:paraId="71EE49BD">
            <w:pPr>
              <w:autoSpaceDE w:val="0"/>
              <w:autoSpaceDN w:val="0"/>
              <w:adjustRightInd w:val="0"/>
              <w:spacing w:before="0" w:after="0" w:line="240" w:lineRule="auto"/>
              <w:jc w:val="center"/>
              <w:rPr>
                <w:rFonts w:hint="default" w:ascii="Times New Roman" w:hAnsi="Times New Roman" w:eastAsia="宋体" w:cs="Times New Roman"/>
                <w:b/>
                <w:color w:val="auto"/>
                <w:kern w:val="0"/>
                <w:sz w:val="24"/>
                <w:szCs w:val="21"/>
              </w:rPr>
            </w:pPr>
            <w:r>
              <w:rPr>
                <w:rFonts w:hint="default" w:ascii="Times New Roman" w:hAnsi="Times New Roman" w:eastAsia="宋体" w:cs="Times New Roman"/>
                <w:b/>
                <w:color w:val="auto"/>
                <w:kern w:val="0"/>
                <w:sz w:val="24"/>
                <w:szCs w:val="21"/>
              </w:rPr>
              <w:t>综合评级</w:t>
            </w:r>
          </w:p>
        </w:tc>
      </w:tr>
      <w:tr w14:paraId="213D39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39" w:type="dxa"/>
            <w:vMerge w:val="restart"/>
            <w:vAlign w:val="center"/>
          </w:tcPr>
          <w:p w14:paraId="4AFD4755">
            <w:pPr>
              <w:autoSpaceDE w:val="0"/>
              <w:autoSpaceDN w:val="0"/>
              <w:adjustRightInd w:val="0"/>
              <w:spacing w:before="0" w:after="0" w:line="240" w:lineRule="auto"/>
              <w:jc w:val="center"/>
              <w:rPr>
                <w:rFonts w:hint="default" w:ascii="Times New Roman" w:hAnsi="Times New Roman" w:eastAsia="宋体" w:cs="Times New Roman"/>
                <w:color w:val="auto"/>
                <w:kern w:val="0"/>
                <w:sz w:val="24"/>
                <w:szCs w:val="21"/>
              </w:rPr>
            </w:pPr>
            <w:r>
              <w:rPr>
                <w:rFonts w:hint="default" w:ascii="Times New Roman" w:hAnsi="Times New Roman" w:eastAsia="宋体" w:cs="Times New Roman"/>
                <w:color w:val="auto"/>
                <w:kern w:val="0"/>
                <w:sz w:val="24"/>
                <w:szCs w:val="21"/>
              </w:rPr>
              <w:t>钢柱</w:t>
            </w:r>
          </w:p>
        </w:tc>
        <w:tc>
          <w:tcPr>
            <w:tcW w:w="1134" w:type="dxa"/>
            <w:vAlign w:val="center"/>
          </w:tcPr>
          <w:p w14:paraId="0A5231ED">
            <w:pPr>
              <w:autoSpaceDE w:val="0"/>
              <w:autoSpaceDN w:val="0"/>
              <w:adjustRightInd w:val="0"/>
              <w:spacing w:before="0" w:after="0" w:line="240" w:lineRule="auto"/>
              <w:jc w:val="center"/>
              <w:rPr>
                <w:rFonts w:hint="default" w:ascii="Times New Roman" w:hAnsi="Times New Roman" w:eastAsia="宋体" w:cs="Times New Roman"/>
                <w:color w:val="auto"/>
                <w:kern w:val="0"/>
                <w:sz w:val="24"/>
                <w:szCs w:val="21"/>
              </w:rPr>
            </w:pPr>
            <w:r>
              <w:rPr>
                <w:rFonts w:hint="default" w:ascii="Times New Roman" w:hAnsi="Times New Roman" w:eastAsia="宋体" w:cs="Times New Roman"/>
                <w:color w:val="auto"/>
                <w:kern w:val="0"/>
                <w:sz w:val="24"/>
                <w:szCs w:val="21"/>
              </w:rPr>
              <w:t>变形</w:t>
            </w:r>
          </w:p>
        </w:tc>
        <w:tc>
          <w:tcPr>
            <w:tcW w:w="3686" w:type="dxa"/>
            <w:vAlign w:val="center"/>
          </w:tcPr>
          <w:p w14:paraId="67EE3699">
            <w:pPr>
              <w:autoSpaceDE w:val="0"/>
              <w:autoSpaceDN w:val="0"/>
              <w:adjustRightInd w:val="0"/>
              <w:spacing w:before="0" w:after="0" w:line="240" w:lineRule="auto"/>
              <w:jc w:val="left"/>
              <w:rPr>
                <w:rFonts w:hint="default" w:ascii="Times New Roman" w:hAnsi="Times New Roman" w:eastAsia="宋体" w:cs="Times New Roman"/>
                <w:color w:val="auto"/>
                <w:kern w:val="0"/>
                <w:sz w:val="24"/>
                <w:szCs w:val="21"/>
              </w:rPr>
            </w:pPr>
            <w:r>
              <w:rPr>
                <w:rFonts w:hint="default" w:ascii="Times New Roman" w:hAnsi="Times New Roman" w:eastAsia="宋体" w:cs="Times New Roman"/>
                <w:color w:val="auto"/>
                <w:kern w:val="0"/>
                <w:sz w:val="24"/>
                <w:szCs w:val="21"/>
              </w:rPr>
              <w:t>钢柱未发现变形。</w:t>
            </w:r>
          </w:p>
        </w:tc>
        <w:tc>
          <w:tcPr>
            <w:tcW w:w="758" w:type="dxa"/>
            <w:vAlign w:val="center"/>
          </w:tcPr>
          <w:p w14:paraId="23005D2C">
            <w:pPr>
              <w:autoSpaceDE w:val="0"/>
              <w:autoSpaceDN w:val="0"/>
              <w:adjustRightInd w:val="0"/>
              <w:spacing w:before="0" w:after="0" w:line="240" w:lineRule="auto"/>
              <w:jc w:val="center"/>
              <w:rPr>
                <w:rFonts w:hint="default" w:ascii="Times New Roman" w:hAnsi="Times New Roman" w:eastAsia="宋体" w:cs="Times New Roman"/>
                <w:color w:val="auto"/>
                <w:kern w:val="0"/>
                <w:sz w:val="24"/>
                <w:szCs w:val="21"/>
              </w:rPr>
            </w:pPr>
            <w:r>
              <w:rPr>
                <w:rFonts w:hint="default" w:ascii="Times New Roman" w:hAnsi="Times New Roman" w:eastAsia="宋体" w:cs="Times New Roman"/>
                <w:color w:val="auto"/>
                <w:kern w:val="0"/>
                <w:sz w:val="24"/>
                <w:szCs w:val="21"/>
              </w:rPr>
              <w:t>a</w:t>
            </w:r>
          </w:p>
        </w:tc>
        <w:tc>
          <w:tcPr>
            <w:tcW w:w="1705" w:type="dxa"/>
            <w:vMerge w:val="restart"/>
            <w:vAlign w:val="center"/>
          </w:tcPr>
          <w:p w14:paraId="7F0DD1DA">
            <w:pPr>
              <w:autoSpaceDE w:val="0"/>
              <w:autoSpaceDN w:val="0"/>
              <w:adjustRightInd w:val="0"/>
              <w:spacing w:before="0" w:after="0" w:line="240" w:lineRule="auto"/>
              <w:jc w:val="left"/>
              <w:rPr>
                <w:rFonts w:hint="default" w:ascii="Times New Roman" w:hAnsi="Times New Roman" w:eastAsia="宋体" w:cs="Times New Roman"/>
                <w:color w:val="auto"/>
                <w:kern w:val="0"/>
                <w:sz w:val="24"/>
                <w:szCs w:val="21"/>
              </w:rPr>
            </w:pPr>
            <w:r>
              <w:rPr>
                <w:rFonts w:hint="default" w:ascii="Times New Roman" w:hAnsi="Times New Roman" w:eastAsia="宋体" w:cs="Times New Roman"/>
                <w:color w:val="auto"/>
                <w:kern w:val="0"/>
                <w:sz w:val="24"/>
                <w:szCs w:val="21"/>
              </w:rPr>
              <w:t>按6.3.8条的原则，评定钢柱的使用等级为b级</w:t>
            </w:r>
          </w:p>
        </w:tc>
      </w:tr>
      <w:tr w14:paraId="03E187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39" w:type="dxa"/>
            <w:vMerge w:val="continue"/>
            <w:vAlign w:val="center"/>
          </w:tcPr>
          <w:p w14:paraId="544D5A51">
            <w:pPr>
              <w:autoSpaceDE w:val="0"/>
              <w:autoSpaceDN w:val="0"/>
              <w:adjustRightInd w:val="0"/>
              <w:spacing w:before="0" w:after="0" w:line="240" w:lineRule="auto"/>
              <w:jc w:val="center"/>
              <w:rPr>
                <w:rFonts w:hint="default" w:ascii="Times New Roman" w:hAnsi="Times New Roman" w:eastAsia="宋体" w:cs="Times New Roman"/>
                <w:color w:val="auto"/>
                <w:kern w:val="0"/>
                <w:sz w:val="24"/>
                <w:szCs w:val="21"/>
              </w:rPr>
            </w:pPr>
          </w:p>
        </w:tc>
        <w:tc>
          <w:tcPr>
            <w:tcW w:w="1134" w:type="dxa"/>
            <w:vAlign w:val="center"/>
          </w:tcPr>
          <w:p w14:paraId="57A19E39">
            <w:pPr>
              <w:autoSpaceDE w:val="0"/>
              <w:autoSpaceDN w:val="0"/>
              <w:adjustRightInd w:val="0"/>
              <w:spacing w:before="0" w:after="0" w:line="240" w:lineRule="auto"/>
              <w:jc w:val="center"/>
              <w:rPr>
                <w:rFonts w:hint="default" w:ascii="Times New Roman" w:hAnsi="Times New Roman" w:eastAsia="宋体" w:cs="Times New Roman"/>
                <w:color w:val="auto"/>
                <w:kern w:val="0"/>
                <w:sz w:val="24"/>
                <w:szCs w:val="21"/>
              </w:rPr>
            </w:pPr>
            <w:r>
              <w:rPr>
                <w:rFonts w:hint="default" w:ascii="Times New Roman" w:hAnsi="Times New Roman" w:eastAsia="宋体" w:cs="Times New Roman"/>
                <w:color w:val="auto"/>
                <w:kern w:val="0"/>
                <w:sz w:val="24"/>
                <w:szCs w:val="21"/>
              </w:rPr>
              <w:t>偏差</w:t>
            </w:r>
          </w:p>
        </w:tc>
        <w:tc>
          <w:tcPr>
            <w:tcW w:w="3686" w:type="dxa"/>
            <w:vAlign w:val="center"/>
          </w:tcPr>
          <w:p w14:paraId="67A44DF2">
            <w:pPr>
              <w:autoSpaceDE w:val="0"/>
              <w:autoSpaceDN w:val="0"/>
              <w:adjustRightInd w:val="0"/>
              <w:spacing w:before="0" w:after="0" w:line="240" w:lineRule="auto"/>
              <w:jc w:val="left"/>
              <w:rPr>
                <w:rFonts w:hint="default" w:ascii="Times New Roman" w:hAnsi="Times New Roman" w:eastAsia="宋体" w:cs="Times New Roman"/>
                <w:color w:val="auto"/>
                <w:kern w:val="0"/>
                <w:sz w:val="24"/>
                <w:szCs w:val="21"/>
              </w:rPr>
            </w:pPr>
            <w:r>
              <w:rPr>
                <w:rFonts w:hint="default" w:ascii="Times New Roman" w:hAnsi="Times New Roman" w:eastAsia="宋体" w:cs="Times New Roman"/>
                <w:color w:val="auto"/>
                <w:kern w:val="0"/>
                <w:sz w:val="24"/>
                <w:szCs w:val="21"/>
              </w:rPr>
              <w:t>钢柱安装完好，未发现偏差。</w:t>
            </w:r>
          </w:p>
        </w:tc>
        <w:tc>
          <w:tcPr>
            <w:tcW w:w="758" w:type="dxa"/>
            <w:vAlign w:val="center"/>
          </w:tcPr>
          <w:p w14:paraId="6722F3D4">
            <w:pPr>
              <w:autoSpaceDE w:val="0"/>
              <w:autoSpaceDN w:val="0"/>
              <w:adjustRightInd w:val="0"/>
              <w:spacing w:before="0" w:after="0" w:line="240" w:lineRule="auto"/>
              <w:jc w:val="center"/>
              <w:rPr>
                <w:rFonts w:hint="default" w:ascii="Times New Roman" w:hAnsi="Times New Roman" w:eastAsia="宋体" w:cs="Times New Roman"/>
                <w:color w:val="auto"/>
                <w:kern w:val="0"/>
                <w:sz w:val="24"/>
                <w:szCs w:val="21"/>
              </w:rPr>
            </w:pPr>
            <w:r>
              <w:rPr>
                <w:rFonts w:hint="default" w:ascii="Times New Roman" w:hAnsi="Times New Roman" w:eastAsia="宋体" w:cs="Times New Roman"/>
                <w:color w:val="auto"/>
                <w:kern w:val="0"/>
                <w:sz w:val="24"/>
                <w:szCs w:val="21"/>
              </w:rPr>
              <w:t>a</w:t>
            </w:r>
          </w:p>
        </w:tc>
        <w:tc>
          <w:tcPr>
            <w:tcW w:w="1705" w:type="dxa"/>
            <w:vMerge w:val="continue"/>
            <w:vAlign w:val="center"/>
          </w:tcPr>
          <w:p w14:paraId="2EF334E5">
            <w:pPr>
              <w:autoSpaceDE w:val="0"/>
              <w:autoSpaceDN w:val="0"/>
              <w:adjustRightInd w:val="0"/>
              <w:spacing w:before="0" w:after="0" w:line="240" w:lineRule="auto"/>
              <w:jc w:val="left"/>
              <w:rPr>
                <w:rFonts w:hint="default" w:ascii="Times New Roman" w:hAnsi="Times New Roman" w:eastAsia="宋体" w:cs="Times New Roman"/>
                <w:color w:val="auto"/>
                <w:kern w:val="0"/>
                <w:sz w:val="24"/>
                <w:szCs w:val="21"/>
              </w:rPr>
            </w:pPr>
          </w:p>
        </w:tc>
      </w:tr>
      <w:tr w14:paraId="7BCEE3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39" w:type="dxa"/>
            <w:vMerge w:val="continue"/>
            <w:vAlign w:val="center"/>
          </w:tcPr>
          <w:p w14:paraId="20D25EC2">
            <w:pPr>
              <w:autoSpaceDE w:val="0"/>
              <w:autoSpaceDN w:val="0"/>
              <w:adjustRightInd w:val="0"/>
              <w:spacing w:before="0" w:after="0" w:line="240" w:lineRule="auto"/>
              <w:jc w:val="center"/>
              <w:rPr>
                <w:rFonts w:hint="default" w:ascii="Times New Roman" w:hAnsi="Times New Roman" w:eastAsia="宋体" w:cs="Times New Roman"/>
                <w:color w:val="auto"/>
                <w:kern w:val="0"/>
                <w:sz w:val="24"/>
                <w:szCs w:val="21"/>
              </w:rPr>
            </w:pPr>
          </w:p>
        </w:tc>
        <w:tc>
          <w:tcPr>
            <w:tcW w:w="1134" w:type="dxa"/>
            <w:vAlign w:val="center"/>
          </w:tcPr>
          <w:p w14:paraId="628B06B7">
            <w:pPr>
              <w:autoSpaceDE w:val="0"/>
              <w:autoSpaceDN w:val="0"/>
              <w:adjustRightInd w:val="0"/>
              <w:spacing w:before="0" w:after="0" w:line="240" w:lineRule="auto"/>
              <w:jc w:val="center"/>
              <w:rPr>
                <w:rFonts w:hint="default" w:ascii="Times New Roman" w:hAnsi="Times New Roman" w:eastAsia="宋体" w:cs="Times New Roman"/>
                <w:color w:val="auto"/>
                <w:kern w:val="0"/>
                <w:sz w:val="24"/>
                <w:szCs w:val="21"/>
              </w:rPr>
            </w:pPr>
            <w:r>
              <w:rPr>
                <w:rFonts w:hint="default" w:ascii="Times New Roman" w:hAnsi="Times New Roman" w:eastAsia="宋体" w:cs="Times New Roman"/>
                <w:color w:val="auto"/>
                <w:kern w:val="0"/>
                <w:sz w:val="24"/>
                <w:szCs w:val="21"/>
              </w:rPr>
              <w:t>一般</w:t>
            </w:r>
          </w:p>
          <w:p w14:paraId="38E21BF3">
            <w:pPr>
              <w:autoSpaceDE w:val="0"/>
              <w:autoSpaceDN w:val="0"/>
              <w:adjustRightInd w:val="0"/>
              <w:spacing w:before="0" w:after="0" w:line="240" w:lineRule="auto"/>
              <w:jc w:val="center"/>
              <w:rPr>
                <w:rFonts w:hint="default" w:ascii="Times New Roman" w:hAnsi="Times New Roman" w:eastAsia="宋体" w:cs="Times New Roman"/>
                <w:color w:val="auto"/>
                <w:kern w:val="0"/>
                <w:sz w:val="24"/>
                <w:szCs w:val="21"/>
              </w:rPr>
            </w:pPr>
            <w:r>
              <w:rPr>
                <w:rFonts w:hint="default" w:ascii="Times New Roman" w:hAnsi="Times New Roman" w:eastAsia="宋体" w:cs="Times New Roman"/>
                <w:color w:val="auto"/>
                <w:kern w:val="0"/>
                <w:sz w:val="24"/>
                <w:szCs w:val="21"/>
              </w:rPr>
              <w:t>构造</w:t>
            </w:r>
          </w:p>
        </w:tc>
        <w:tc>
          <w:tcPr>
            <w:tcW w:w="3686" w:type="dxa"/>
            <w:vAlign w:val="center"/>
          </w:tcPr>
          <w:p w14:paraId="78E38C94">
            <w:pPr>
              <w:autoSpaceDE w:val="0"/>
              <w:autoSpaceDN w:val="0"/>
              <w:adjustRightInd w:val="0"/>
              <w:spacing w:before="0" w:after="0" w:line="240" w:lineRule="auto"/>
              <w:jc w:val="left"/>
              <w:rPr>
                <w:rFonts w:hint="default" w:ascii="Times New Roman" w:hAnsi="Times New Roman" w:eastAsia="宋体" w:cs="Times New Roman"/>
                <w:color w:val="auto"/>
                <w:kern w:val="0"/>
                <w:sz w:val="24"/>
                <w:szCs w:val="21"/>
              </w:rPr>
            </w:pPr>
            <w:r>
              <w:rPr>
                <w:rFonts w:hint="default" w:ascii="Times New Roman" w:hAnsi="Times New Roman" w:eastAsia="宋体" w:cs="Times New Roman"/>
                <w:color w:val="auto"/>
                <w:kern w:val="0"/>
                <w:sz w:val="24"/>
                <w:szCs w:val="21"/>
              </w:rPr>
              <w:t>结构构造布置合理。</w:t>
            </w:r>
          </w:p>
        </w:tc>
        <w:tc>
          <w:tcPr>
            <w:tcW w:w="758" w:type="dxa"/>
            <w:vAlign w:val="center"/>
          </w:tcPr>
          <w:p w14:paraId="63A69983">
            <w:pPr>
              <w:autoSpaceDE w:val="0"/>
              <w:autoSpaceDN w:val="0"/>
              <w:adjustRightInd w:val="0"/>
              <w:spacing w:before="0" w:after="0" w:line="240" w:lineRule="auto"/>
              <w:jc w:val="center"/>
              <w:rPr>
                <w:rFonts w:hint="default" w:ascii="Times New Roman" w:hAnsi="Times New Roman" w:eastAsia="宋体" w:cs="Times New Roman"/>
                <w:color w:val="auto"/>
                <w:kern w:val="0"/>
                <w:sz w:val="24"/>
                <w:szCs w:val="21"/>
              </w:rPr>
            </w:pPr>
            <w:r>
              <w:rPr>
                <w:rFonts w:hint="default" w:ascii="Times New Roman" w:hAnsi="Times New Roman" w:eastAsia="宋体" w:cs="Times New Roman"/>
                <w:color w:val="auto"/>
                <w:kern w:val="0"/>
                <w:sz w:val="24"/>
                <w:szCs w:val="21"/>
              </w:rPr>
              <w:t>a</w:t>
            </w:r>
          </w:p>
        </w:tc>
        <w:tc>
          <w:tcPr>
            <w:tcW w:w="1705" w:type="dxa"/>
            <w:vMerge w:val="continue"/>
            <w:vAlign w:val="center"/>
          </w:tcPr>
          <w:p w14:paraId="5A571741">
            <w:pPr>
              <w:autoSpaceDE w:val="0"/>
              <w:autoSpaceDN w:val="0"/>
              <w:adjustRightInd w:val="0"/>
              <w:spacing w:before="0" w:after="0" w:line="240" w:lineRule="auto"/>
              <w:jc w:val="left"/>
              <w:rPr>
                <w:rFonts w:hint="default" w:ascii="Times New Roman" w:hAnsi="Times New Roman" w:eastAsia="宋体" w:cs="Times New Roman"/>
                <w:color w:val="auto"/>
                <w:kern w:val="0"/>
                <w:sz w:val="24"/>
                <w:szCs w:val="21"/>
              </w:rPr>
            </w:pPr>
          </w:p>
        </w:tc>
      </w:tr>
      <w:tr w14:paraId="7DB339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39" w:type="dxa"/>
            <w:vMerge w:val="continue"/>
            <w:vAlign w:val="center"/>
          </w:tcPr>
          <w:p w14:paraId="11D27217">
            <w:pPr>
              <w:autoSpaceDE w:val="0"/>
              <w:autoSpaceDN w:val="0"/>
              <w:adjustRightInd w:val="0"/>
              <w:spacing w:before="0" w:after="0" w:line="240" w:lineRule="auto"/>
              <w:jc w:val="center"/>
              <w:rPr>
                <w:rFonts w:hint="default" w:ascii="Times New Roman" w:hAnsi="Times New Roman" w:eastAsia="宋体" w:cs="Times New Roman"/>
                <w:color w:val="auto"/>
                <w:kern w:val="0"/>
                <w:sz w:val="24"/>
                <w:szCs w:val="21"/>
              </w:rPr>
            </w:pPr>
          </w:p>
        </w:tc>
        <w:tc>
          <w:tcPr>
            <w:tcW w:w="1134" w:type="dxa"/>
            <w:vAlign w:val="center"/>
          </w:tcPr>
          <w:p w14:paraId="7E8198E1">
            <w:pPr>
              <w:autoSpaceDE w:val="0"/>
              <w:autoSpaceDN w:val="0"/>
              <w:adjustRightInd w:val="0"/>
              <w:spacing w:before="0" w:after="0" w:line="240" w:lineRule="auto"/>
              <w:jc w:val="center"/>
              <w:rPr>
                <w:rFonts w:hint="default" w:ascii="Times New Roman" w:hAnsi="Times New Roman" w:eastAsia="宋体" w:cs="Times New Roman"/>
                <w:color w:val="auto"/>
                <w:kern w:val="0"/>
                <w:sz w:val="24"/>
                <w:szCs w:val="21"/>
              </w:rPr>
            </w:pPr>
            <w:r>
              <w:rPr>
                <w:rFonts w:hint="default" w:ascii="Times New Roman" w:hAnsi="Times New Roman" w:eastAsia="宋体" w:cs="Times New Roman"/>
                <w:color w:val="auto"/>
                <w:kern w:val="0"/>
                <w:sz w:val="24"/>
                <w:szCs w:val="21"/>
              </w:rPr>
              <w:t>腐蚀</w:t>
            </w:r>
          </w:p>
        </w:tc>
        <w:tc>
          <w:tcPr>
            <w:tcW w:w="3686" w:type="dxa"/>
            <w:vAlign w:val="center"/>
          </w:tcPr>
          <w:p w14:paraId="00FAC134">
            <w:pPr>
              <w:autoSpaceDE w:val="0"/>
              <w:autoSpaceDN w:val="0"/>
              <w:adjustRightInd w:val="0"/>
              <w:spacing w:before="0" w:after="0" w:line="240" w:lineRule="auto"/>
              <w:jc w:val="left"/>
              <w:rPr>
                <w:rFonts w:hint="default" w:ascii="Times New Roman" w:hAnsi="Times New Roman" w:eastAsia="宋体" w:cs="Times New Roman"/>
                <w:color w:val="auto"/>
                <w:kern w:val="0"/>
                <w:sz w:val="24"/>
                <w:szCs w:val="21"/>
              </w:rPr>
            </w:pPr>
            <w:r>
              <w:rPr>
                <w:rFonts w:hint="default" w:ascii="Times New Roman" w:hAnsi="Times New Roman" w:eastAsia="宋体" w:cs="Times New Roman"/>
                <w:color w:val="auto"/>
                <w:kern w:val="0"/>
                <w:sz w:val="24"/>
                <w:szCs w:val="21"/>
              </w:rPr>
              <w:t>20/A柱脚轻微锈蚀。</w:t>
            </w:r>
          </w:p>
        </w:tc>
        <w:tc>
          <w:tcPr>
            <w:tcW w:w="758" w:type="dxa"/>
            <w:vAlign w:val="center"/>
          </w:tcPr>
          <w:p w14:paraId="67B0FA21">
            <w:pPr>
              <w:autoSpaceDE w:val="0"/>
              <w:autoSpaceDN w:val="0"/>
              <w:adjustRightInd w:val="0"/>
              <w:spacing w:before="0" w:after="0" w:line="240" w:lineRule="auto"/>
              <w:jc w:val="center"/>
              <w:rPr>
                <w:rFonts w:hint="default" w:ascii="Times New Roman" w:hAnsi="Times New Roman" w:eastAsia="宋体" w:cs="Times New Roman"/>
                <w:color w:val="auto"/>
                <w:kern w:val="0"/>
                <w:sz w:val="24"/>
                <w:szCs w:val="21"/>
              </w:rPr>
            </w:pPr>
            <w:r>
              <w:rPr>
                <w:rFonts w:hint="default" w:ascii="Times New Roman" w:hAnsi="Times New Roman" w:eastAsia="宋体" w:cs="Times New Roman"/>
                <w:color w:val="auto"/>
                <w:kern w:val="0"/>
                <w:sz w:val="24"/>
                <w:szCs w:val="21"/>
              </w:rPr>
              <w:t>b</w:t>
            </w:r>
          </w:p>
        </w:tc>
        <w:tc>
          <w:tcPr>
            <w:tcW w:w="1705" w:type="dxa"/>
            <w:vMerge w:val="continue"/>
            <w:vAlign w:val="center"/>
          </w:tcPr>
          <w:p w14:paraId="31E30CEC">
            <w:pPr>
              <w:autoSpaceDE w:val="0"/>
              <w:autoSpaceDN w:val="0"/>
              <w:adjustRightInd w:val="0"/>
              <w:spacing w:before="0" w:after="0" w:line="240" w:lineRule="auto"/>
              <w:jc w:val="left"/>
              <w:rPr>
                <w:rFonts w:hint="default" w:ascii="Times New Roman" w:hAnsi="Times New Roman" w:eastAsia="宋体" w:cs="Times New Roman"/>
                <w:color w:val="auto"/>
                <w:kern w:val="0"/>
                <w:sz w:val="24"/>
                <w:szCs w:val="21"/>
              </w:rPr>
            </w:pPr>
          </w:p>
        </w:tc>
      </w:tr>
      <w:tr w14:paraId="25F639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39" w:type="dxa"/>
            <w:vMerge w:val="restart"/>
            <w:vAlign w:val="center"/>
          </w:tcPr>
          <w:p w14:paraId="27B89073">
            <w:pPr>
              <w:autoSpaceDE w:val="0"/>
              <w:autoSpaceDN w:val="0"/>
              <w:adjustRightInd w:val="0"/>
              <w:spacing w:before="0" w:after="0" w:line="240" w:lineRule="auto"/>
              <w:jc w:val="center"/>
              <w:rPr>
                <w:rFonts w:hint="default" w:ascii="Times New Roman" w:hAnsi="Times New Roman" w:eastAsia="宋体" w:cs="Times New Roman"/>
                <w:color w:val="auto"/>
                <w:kern w:val="0"/>
                <w:sz w:val="24"/>
                <w:szCs w:val="21"/>
              </w:rPr>
            </w:pPr>
            <w:r>
              <w:rPr>
                <w:rFonts w:hint="default" w:ascii="Times New Roman" w:hAnsi="Times New Roman" w:eastAsia="宋体" w:cs="Times New Roman"/>
                <w:color w:val="auto"/>
                <w:kern w:val="0"/>
                <w:sz w:val="24"/>
                <w:szCs w:val="21"/>
              </w:rPr>
              <w:t>钢梁</w:t>
            </w:r>
          </w:p>
        </w:tc>
        <w:tc>
          <w:tcPr>
            <w:tcW w:w="1134" w:type="dxa"/>
            <w:vAlign w:val="center"/>
          </w:tcPr>
          <w:p w14:paraId="2E38BB4F">
            <w:pPr>
              <w:autoSpaceDE w:val="0"/>
              <w:autoSpaceDN w:val="0"/>
              <w:adjustRightInd w:val="0"/>
              <w:spacing w:before="0" w:after="0" w:line="240" w:lineRule="auto"/>
              <w:jc w:val="center"/>
              <w:rPr>
                <w:rFonts w:hint="default" w:ascii="Times New Roman" w:hAnsi="Times New Roman" w:eastAsia="宋体" w:cs="Times New Roman"/>
                <w:color w:val="auto"/>
                <w:kern w:val="0"/>
                <w:sz w:val="24"/>
                <w:szCs w:val="21"/>
              </w:rPr>
            </w:pPr>
            <w:r>
              <w:rPr>
                <w:rFonts w:hint="default" w:ascii="Times New Roman" w:hAnsi="Times New Roman" w:eastAsia="宋体" w:cs="Times New Roman"/>
                <w:color w:val="auto"/>
                <w:kern w:val="0"/>
                <w:sz w:val="24"/>
                <w:szCs w:val="21"/>
              </w:rPr>
              <w:t>变形</w:t>
            </w:r>
          </w:p>
        </w:tc>
        <w:tc>
          <w:tcPr>
            <w:tcW w:w="3686" w:type="dxa"/>
            <w:vAlign w:val="center"/>
          </w:tcPr>
          <w:p w14:paraId="1717B53E">
            <w:pPr>
              <w:autoSpaceDE w:val="0"/>
              <w:autoSpaceDN w:val="0"/>
              <w:adjustRightInd w:val="0"/>
              <w:spacing w:before="0" w:after="0" w:line="240" w:lineRule="auto"/>
              <w:jc w:val="left"/>
              <w:rPr>
                <w:rFonts w:hint="default" w:ascii="Times New Roman" w:hAnsi="Times New Roman" w:eastAsia="宋体" w:cs="Times New Roman"/>
                <w:color w:val="auto"/>
                <w:kern w:val="0"/>
                <w:sz w:val="24"/>
                <w:szCs w:val="21"/>
              </w:rPr>
            </w:pPr>
            <w:r>
              <w:rPr>
                <w:rFonts w:hint="default" w:ascii="Times New Roman" w:hAnsi="Times New Roman" w:eastAsia="宋体" w:cs="Times New Roman"/>
                <w:color w:val="auto"/>
                <w:kern w:val="0"/>
                <w:sz w:val="24"/>
                <w:szCs w:val="21"/>
              </w:rPr>
              <w:t>钢梁未发现变形。</w:t>
            </w:r>
          </w:p>
        </w:tc>
        <w:tc>
          <w:tcPr>
            <w:tcW w:w="758" w:type="dxa"/>
            <w:vAlign w:val="center"/>
          </w:tcPr>
          <w:p w14:paraId="082D2851">
            <w:pPr>
              <w:autoSpaceDE w:val="0"/>
              <w:autoSpaceDN w:val="0"/>
              <w:adjustRightInd w:val="0"/>
              <w:spacing w:before="0" w:after="0" w:line="240" w:lineRule="auto"/>
              <w:jc w:val="center"/>
              <w:rPr>
                <w:rFonts w:hint="default" w:ascii="Times New Roman" w:hAnsi="Times New Roman" w:eastAsia="宋体" w:cs="Times New Roman"/>
                <w:color w:val="auto"/>
                <w:kern w:val="0"/>
                <w:sz w:val="24"/>
                <w:szCs w:val="21"/>
              </w:rPr>
            </w:pPr>
            <w:r>
              <w:rPr>
                <w:rFonts w:hint="default" w:ascii="Times New Roman" w:hAnsi="Times New Roman" w:eastAsia="宋体" w:cs="Times New Roman"/>
                <w:color w:val="auto"/>
                <w:kern w:val="0"/>
                <w:sz w:val="24"/>
                <w:szCs w:val="21"/>
              </w:rPr>
              <w:t>a</w:t>
            </w:r>
          </w:p>
        </w:tc>
        <w:tc>
          <w:tcPr>
            <w:tcW w:w="1705" w:type="dxa"/>
            <w:vMerge w:val="restart"/>
            <w:vAlign w:val="center"/>
          </w:tcPr>
          <w:p w14:paraId="537B20E9">
            <w:pPr>
              <w:autoSpaceDE w:val="0"/>
              <w:autoSpaceDN w:val="0"/>
              <w:adjustRightInd w:val="0"/>
              <w:spacing w:before="0" w:after="0" w:line="240" w:lineRule="auto"/>
              <w:jc w:val="left"/>
              <w:rPr>
                <w:rFonts w:hint="default" w:ascii="Times New Roman" w:hAnsi="Times New Roman" w:eastAsia="宋体" w:cs="Times New Roman"/>
                <w:color w:val="auto"/>
                <w:kern w:val="0"/>
                <w:sz w:val="24"/>
                <w:szCs w:val="21"/>
              </w:rPr>
            </w:pPr>
            <w:r>
              <w:rPr>
                <w:rFonts w:hint="default" w:ascii="Times New Roman" w:hAnsi="Times New Roman" w:eastAsia="宋体" w:cs="Times New Roman"/>
                <w:color w:val="auto"/>
                <w:kern w:val="0"/>
                <w:sz w:val="24"/>
                <w:szCs w:val="21"/>
              </w:rPr>
              <w:t>按6.3.8条的原则，评定钢梁的使用等级为a级</w:t>
            </w:r>
          </w:p>
        </w:tc>
      </w:tr>
      <w:tr w14:paraId="2C7469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39" w:type="dxa"/>
            <w:vMerge w:val="continue"/>
            <w:vAlign w:val="center"/>
          </w:tcPr>
          <w:p w14:paraId="5B2EE2C6">
            <w:pPr>
              <w:autoSpaceDE w:val="0"/>
              <w:autoSpaceDN w:val="0"/>
              <w:adjustRightInd w:val="0"/>
              <w:spacing w:before="0" w:after="0" w:line="240" w:lineRule="auto"/>
              <w:jc w:val="center"/>
              <w:rPr>
                <w:rFonts w:hint="default" w:ascii="Times New Roman" w:hAnsi="Times New Roman" w:eastAsia="宋体" w:cs="Times New Roman"/>
                <w:color w:val="auto"/>
                <w:kern w:val="0"/>
                <w:sz w:val="24"/>
                <w:szCs w:val="21"/>
              </w:rPr>
            </w:pPr>
          </w:p>
        </w:tc>
        <w:tc>
          <w:tcPr>
            <w:tcW w:w="1134" w:type="dxa"/>
            <w:vAlign w:val="center"/>
          </w:tcPr>
          <w:p w14:paraId="1A413110">
            <w:pPr>
              <w:autoSpaceDE w:val="0"/>
              <w:autoSpaceDN w:val="0"/>
              <w:adjustRightInd w:val="0"/>
              <w:spacing w:before="0" w:after="0" w:line="240" w:lineRule="auto"/>
              <w:jc w:val="center"/>
              <w:rPr>
                <w:rFonts w:hint="default" w:ascii="Times New Roman" w:hAnsi="Times New Roman" w:eastAsia="宋体" w:cs="Times New Roman"/>
                <w:color w:val="auto"/>
                <w:kern w:val="0"/>
                <w:sz w:val="24"/>
                <w:szCs w:val="21"/>
              </w:rPr>
            </w:pPr>
            <w:r>
              <w:rPr>
                <w:rFonts w:hint="default" w:ascii="Times New Roman" w:hAnsi="Times New Roman" w:eastAsia="宋体" w:cs="Times New Roman"/>
                <w:color w:val="auto"/>
                <w:kern w:val="0"/>
                <w:sz w:val="24"/>
                <w:szCs w:val="21"/>
              </w:rPr>
              <w:t>偏差</w:t>
            </w:r>
          </w:p>
        </w:tc>
        <w:tc>
          <w:tcPr>
            <w:tcW w:w="3686" w:type="dxa"/>
            <w:vAlign w:val="center"/>
          </w:tcPr>
          <w:p w14:paraId="226B6660">
            <w:pPr>
              <w:autoSpaceDE w:val="0"/>
              <w:autoSpaceDN w:val="0"/>
              <w:adjustRightInd w:val="0"/>
              <w:spacing w:before="0" w:after="0" w:line="240" w:lineRule="auto"/>
              <w:jc w:val="left"/>
              <w:rPr>
                <w:rFonts w:hint="default" w:ascii="Times New Roman" w:hAnsi="Times New Roman" w:eastAsia="宋体" w:cs="Times New Roman"/>
                <w:color w:val="auto"/>
                <w:kern w:val="0"/>
                <w:sz w:val="24"/>
                <w:szCs w:val="21"/>
              </w:rPr>
            </w:pPr>
            <w:r>
              <w:rPr>
                <w:rFonts w:hint="default" w:ascii="Times New Roman" w:hAnsi="Times New Roman" w:eastAsia="宋体" w:cs="Times New Roman"/>
                <w:color w:val="auto"/>
                <w:kern w:val="0"/>
                <w:sz w:val="24"/>
                <w:szCs w:val="21"/>
              </w:rPr>
              <w:t>钢梁安装完好，未发现偏差。</w:t>
            </w:r>
          </w:p>
        </w:tc>
        <w:tc>
          <w:tcPr>
            <w:tcW w:w="758" w:type="dxa"/>
            <w:vAlign w:val="center"/>
          </w:tcPr>
          <w:p w14:paraId="6271A9DD">
            <w:pPr>
              <w:autoSpaceDE w:val="0"/>
              <w:autoSpaceDN w:val="0"/>
              <w:adjustRightInd w:val="0"/>
              <w:spacing w:before="0" w:after="0" w:line="240" w:lineRule="auto"/>
              <w:jc w:val="center"/>
              <w:rPr>
                <w:rFonts w:hint="default" w:ascii="Times New Roman" w:hAnsi="Times New Roman" w:eastAsia="宋体" w:cs="Times New Roman"/>
                <w:i/>
                <w:color w:val="auto"/>
                <w:kern w:val="0"/>
                <w:sz w:val="24"/>
                <w:szCs w:val="21"/>
              </w:rPr>
            </w:pPr>
            <w:r>
              <w:rPr>
                <w:rFonts w:hint="default" w:ascii="Times New Roman" w:hAnsi="Times New Roman" w:eastAsia="宋体" w:cs="Times New Roman"/>
                <w:color w:val="auto"/>
                <w:sz w:val="24"/>
                <w:szCs w:val="21"/>
              </w:rPr>
              <w:t>a</w:t>
            </w:r>
          </w:p>
        </w:tc>
        <w:tc>
          <w:tcPr>
            <w:tcW w:w="1705" w:type="dxa"/>
            <w:vMerge w:val="continue"/>
            <w:vAlign w:val="center"/>
          </w:tcPr>
          <w:p w14:paraId="6925B3F3">
            <w:pPr>
              <w:autoSpaceDE w:val="0"/>
              <w:autoSpaceDN w:val="0"/>
              <w:adjustRightInd w:val="0"/>
              <w:spacing w:before="0" w:after="0" w:line="240" w:lineRule="auto"/>
              <w:jc w:val="center"/>
              <w:rPr>
                <w:rFonts w:hint="default" w:ascii="Times New Roman" w:hAnsi="Times New Roman" w:eastAsia="宋体" w:cs="Times New Roman"/>
                <w:color w:val="auto"/>
                <w:kern w:val="0"/>
                <w:sz w:val="24"/>
                <w:szCs w:val="21"/>
              </w:rPr>
            </w:pPr>
          </w:p>
        </w:tc>
      </w:tr>
      <w:tr w14:paraId="230245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39" w:type="dxa"/>
            <w:vMerge w:val="continue"/>
            <w:vAlign w:val="center"/>
          </w:tcPr>
          <w:p w14:paraId="2F36793D">
            <w:pPr>
              <w:autoSpaceDE w:val="0"/>
              <w:autoSpaceDN w:val="0"/>
              <w:adjustRightInd w:val="0"/>
              <w:spacing w:before="0" w:after="0" w:line="240" w:lineRule="auto"/>
              <w:jc w:val="center"/>
              <w:rPr>
                <w:rFonts w:hint="default" w:ascii="Times New Roman" w:hAnsi="Times New Roman" w:eastAsia="宋体" w:cs="Times New Roman"/>
                <w:color w:val="auto"/>
                <w:kern w:val="0"/>
                <w:sz w:val="24"/>
                <w:szCs w:val="21"/>
              </w:rPr>
            </w:pPr>
          </w:p>
        </w:tc>
        <w:tc>
          <w:tcPr>
            <w:tcW w:w="1134" w:type="dxa"/>
            <w:vAlign w:val="center"/>
          </w:tcPr>
          <w:p w14:paraId="39AE5476">
            <w:pPr>
              <w:autoSpaceDE w:val="0"/>
              <w:autoSpaceDN w:val="0"/>
              <w:adjustRightInd w:val="0"/>
              <w:spacing w:before="0" w:after="0" w:line="240" w:lineRule="auto"/>
              <w:jc w:val="center"/>
              <w:rPr>
                <w:rFonts w:hint="default" w:ascii="Times New Roman" w:hAnsi="Times New Roman" w:eastAsia="宋体" w:cs="Times New Roman"/>
                <w:color w:val="auto"/>
                <w:kern w:val="0"/>
                <w:sz w:val="24"/>
                <w:szCs w:val="21"/>
              </w:rPr>
            </w:pPr>
            <w:r>
              <w:rPr>
                <w:rFonts w:hint="default" w:ascii="Times New Roman" w:hAnsi="Times New Roman" w:eastAsia="宋体" w:cs="Times New Roman"/>
                <w:color w:val="auto"/>
                <w:kern w:val="0"/>
                <w:sz w:val="24"/>
                <w:szCs w:val="21"/>
              </w:rPr>
              <w:t>一般</w:t>
            </w:r>
          </w:p>
          <w:p w14:paraId="3FE5C691">
            <w:pPr>
              <w:autoSpaceDE w:val="0"/>
              <w:autoSpaceDN w:val="0"/>
              <w:adjustRightInd w:val="0"/>
              <w:spacing w:before="0" w:after="0" w:line="240" w:lineRule="auto"/>
              <w:jc w:val="center"/>
              <w:rPr>
                <w:rFonts w:hint="default" w:ascii="Times New Roman" w:hAnsi="Times New Roman" w:eastAsia="宋体" w:cs="Times New Roman"/>
                <w:color w:val="auto"/>
                <w:kern w:val="0"/>
                <w:sz w:val="24"/>
                <w:szCs w:val="21"/>
              </w:rPr>
            </w:pPr>
            <w:r>
              <w:rPr>
                <w:rFonts w:hint="default" w:ascii="Times New Roman" w:hAnsi="Times New Roman" w:eastAsia="宋体" w:cs="Times New Roman"/>
                <w:color w:val="auto"/>
                <w:kern w:val="0"/>
                <w:sz w:val="24"/>
                <w:szCs w:val="21"/>
              </w:rPr>
              <w:t>构造</w:t>
            </w:r>
          </w:p>
        </w:tc>
        <w:tc>
          <w:tcPr>
            <w:tcW w:w="3686" w:type="dxa"/>
            <w:vAlign w:val="center"/>
          </w:tcPr>
          <w:p w14:paraId="1DED0403">
            <w:pPr>
              <w:autoSpaceDE w:val="0"/>
              <w:autoSpaceDN w:val="0"/>
              <w:adjustRightInd w:val="0"/>
              <w:spacing w:before="0" w:after="0" w:line="240" w:lineRule="auto"/>
              <w:jc w:val="left"/>
              <w:rPr>
                <w:rFonts w:hint="default" w:ascii="Times New Roman" w:hAnsi="Times New Roman" w:eastAsia="宋体" w:cs="Times New Roman"/>
                <w:color w:val="auto"/>
                <w:kern w:val="0"/>
                <w:sz w:val="24"/>
                <w:szCs w:val="21"/>
              </w:rPr>
            </w:pPr>
            <w:r>
              <w:rPr>
                <w:rFonts w:hint="default" w:ascii="Times New Roman" w:hAnsi="Times New Roman" w:eastAsia="宋体" w:cs="Times New Roman"/>
                <w:color w:val="auto"/>
                <w:kern w:val="0"/>
                <w:sz w:val="24"/>
                <w:szCs w:val="21"/>
              </w:rPr>
              <w:t>结构构造布置合理。</w:t>
            </w:r>
          </w:p>
        </w:tc>
        <w:tc>
          <w:tcPr>
            <w:tcW w:w="758" w:type="dxa"/>
            <w:vAlign w:val="center"/>
          </w:tcPr>
          <w:p w14:paraId="71F006CA">
            <w:pPr>
              <w:autoSpaceDE w:val="0"/>
              <w:autoSpaceDN w:val="0"/>
              <w:adjustRightInd w:val="0"/>
              <w:spacing w:before="0" w:after="0" w:line="240" w:lineRule="auto"/>
              <w:jc w:val="center"/>
              <w:rPr>
                <w:rFonts w:hint="default" w:ascii="Times New Roman" w:hAnsi="Times New Roman" w:eastAsia="宋体" w:cs="Times New Roman"/>
                <w:i/>
                <w:color w:val="auto"/>
                <w:kern w:val="0"/>
                <w:sz w:val="24"/>
                <w:szCs w:val="21"/>
              </w:rPr>
            </w:pPr>
            <w:r>
              <w:rPr>
                <w:rFonts w:hint="default" w:ascii="Times New Roman" w:hAnsi="Times New Roman" w:eastAsia="宋体" w:cs="Times New Roman"/>
                <w:color w:val="auto"/>
                <w:sz w:val="24"/>
                <w:szCs w:val="21"/>
              </w:rPr>
              <w:t>a</w:t>
            </w:r>
            <w:r>
              <w:rPr>
                <w:rFonts w:hint="default" w:ascii="Times New Roman" w:hAnsi="Times New Roman" w:eastAsia="宋体" w:cs="Times New Roman"/>
                <w:i/>
                <w:color w:val="auto"/>
                <w:sz w:val="24"/>
                <w:szCs w:val="21"/>
                <w:vertAlign w:val="subscript"/>
              </w:rPr>
              <w:t xml:space="preserve"> </w:t>
            </w:r>
          </w:p>
        </w:tc>
        <w:tc>
          <w:tcPr>
            <w:tcW w:w="1705" w:type="dxa"/>
            <w:vMerge w:val="continue"/>
            <w:vAlign w:val="center"/>
          </w:tcPr>
          <w:p w14:paraId="4C26763E">
            <w:pPr>
              <w:autoSpaceDE w:val="0"/>
              <w:autoSpaceDN w:val="0"/>
              <w:adjustRightInd w:val="0"/>
              <w:spacing w:before="0" w:after="0" w:line="240" w:lineRule="auto"/>
              <w:jc w:val="center"/>
              <w:rPr>
                <w:rFonts w:hint="default" w:ascii="Times New Roman" w:hAnsi="Times New Roman" w:eastAsia="宋体" w:cs="Times New Roman"/>
                <w:color w:val="auto"/>
                <w:kern w:val="0"/>
                <w:sz w:val="24"/>
                <w:szCs w:val="21"/>
              </w:rPr>
            </w:pPr>
          </w:p>
        </w:tc>
      </w:tr>
      <w:tr w14:paraId="4E5D5C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39" w:type="dxa"/>
            <w:vMerge w:val="continue"/>
            <w:vAlign w:val="center"/>
          </w:tcPr>
          <w:p w14:paraId="6EFC253D">
            <w:pPr>
              <w:autoSpaceDE w:val="0"/>
              <w:autoSpaceDN w:val="0"/>
              <w:adjustRightInd w:val="0"/>
              <w:spacing w:before="0" w:after="0" w:line="240" w:lineRule="auto"/>
              <w:jc w:val="center"/>
              <w:rPr>
                <w:rFonts w:hint="default" w:ascii="Times New Roman" w:hAnsi="Times New Roman" w:eastAsia="宋体" w:cs="Times New Roman"/>
                <w:color w:val="auto"/>
                <w:kern w:val="0"/>
                <w:sz w:val="24"/>
                <w:szCs w:val="21"/>
              </w:rPr>
            </w:pPr>
          </w:p>
        </w:tc>
        <w:tc>
          <w:tcPr>
            <w:tcW w:w="1134" w:type="dxa"/>
            <w:vAlign w:val="center"/>
          </w:tcPr>
          <w:p w14:paraId="391102BF">
            <w:pPr>
              <w:autoSpaceDE w:val="0"/>
              <w:autoSpaceDN w:val="0"/>
              <w:adjustRightInd w:val="0"/>
              <w:spacing w:before="0" w:after="0" w:line="240" w:lineRule="auto"/>
              <w:jc w:val="center"/>
              <w:rPr>
                <w:rFonts w:hint="default" w:ascii="Times New Roman" w:hAnsi="Times New Roman" w:eastAsia="宋体" w:cs="Times New Roman"/>
                <w:color w:val="auto"/>
                <w:kern w:val="0"/>
                <w:sz w:val="24"/>
                <w:szCs w:val="21"/>
              </w:rPr>
            </w:pPr>
            <w:r>
              <w:rPr>
                <w:rFonts w:hint="default" w:ascii="Times New Roman" w:hAnsi="Times New Roman" w:eastAsia="宋体" w:cs="Times New Roman"/>
                <w:color w:val="auto"/>
                <w:kern w:val="0"/>
                <w:sz w:val="24"/>
                <w:szCs w:val="21"/>
              </w:rPr>
              <w:t>腐蚀</w:t>
            </w:r>
          </w:p>
        </w:tc>
        <w:tc>
          <w:tcPr>
            <w:tcW w:w="3686" w:type="dxa"/>
            <w:vAlign w:val="center"/>
          </w:tcPr>
          <w:p w14:paraId="51109650">
            <w:pPr>
              <w:autoSpaceDE w:val="0"/>
              <w:autoSpaceDN w:val="0"/>
              <w:adjustRightInd w:val="0"/>
              <w:spacing w:before="0" w:after="0" w:line="240" w:lineRule="auto"/>
              <w:jc w:val="left"/>
              <w:rPr>
                <w:rFonts w:hint="default" w:ascii="Times New Roman" w:hAnsi="Times New Roman" w:eastAsia="宋体" w:cs="Times New Roman"/>
                <w:color w:val="auto"/>
                <w:kern w:val="0"/>
                <w:sz w:val="24"/>
                <w:szCs w:val="21"/>
              </w:rPr>
            </w:pPr>
            <w:r>
              <w:rPr>
                <w:rFonts w:hint="default" w:ascii="Times New Roman" w:hAnsi="Times New Roman" w:eastAsia="宋体" w:cs="Times New Roman"/>
                <w:color w:val="auto"/>
                <w:kern w:val="0"/>
                <w:sz w:val="24"/>
                <w:szCs w:val="21"/>
              </w:rPr>
              <w:t>钢梁未发现腐蚀。</w:t>
            </w:r>
          </w:p>
        </w:tc>
        <w:tc>
          <w:tcPr>
            <w:tcW w:w="758" w:type="dxa"/>
            <w:vAlign w:val="center"/>
          </w:tcPr>
          <w:p w14:paraId="72909D79">
            <w:pPr>
              <w:autoSpaceDE w:val="0"/>
              <w:autoSpaceDN w:val="0"/>
              <w:adjustRightInd w:val="0"/>
              <w:spacing w:before="0" w:after="0" w:line="240" w:lineRule="auto"/>
              <w:jc w:val="center"/>
              <w:rPr>
                <w:rFonts w:hint="default" w:ascii="Times New Roman" w:hAnsi="Times New Roman" w:eastAsia="宋体" w:cs="Times New Roman"/>
                <w:i/>
                <w:color w:val="auto"/>
                <w:kern w:val="0"/>
                <w:sz w:val="24"/>
                <w:szCs w:val="21"/>
              </w:rPr>
            </w:pPr>
            <w:r>
              <w:rPr>
                <w:rFonts w:hint="default" w:ascii="Times New Roman" w:hAnsi="Times New Roman" w:eastAsia="宋体" w:cs="Times New Roman"/>
                <w:color w:val="auto"/>
                <w:sz w:val="24"/>
                <w:szCs w:val="21"/>
              </w:rPr>
              <w:t>a</w:t>
            </w:r>
          </w:p>
        </w:tc>
        <w:tc>
          <w:tcPr>
            <w:tcW w:w="1705" w:type="dxa"/>
            <w:vMerge w:val="continue"/>
            <w:vAlign w:val="center"/>
          </w:tcPr>
          <w:p w14:paraId="13E52CEA">
            <w:pPr>
              <w:autoSpaceDE w:val="0"/>
              <w:autoSpaceDN w:val="0"/>
              <w:adjustRightInd w:val="0"/>
              <w:spacing w:before="0" w:after="0" w:line="240" w:lineRule="auto"/>
              <w:jc w:val="center"/>
              <w:rPr>
                <w:rFonts w:hint="default" w:ascii="Times New Roman" w:hAnsi="Times New Roman" w:eastAsia="宋体" w:cs="Times New Roman"/>
                <w:color w:val="auto"/>
                <w:kern w:val="0"/>
                <w:sz w:val="24"/>
                <w:szCs w:val="21"/>
              </w:rPr>
            </w:pPr>
          </w:p>
        </w:tc>
      </w:tr>
    </w:tbl>
    <w:p w14:paraId="091B92DA">
      <w:pPr>
        <w:keepNext w:val="0"/>
        <w:keepLines w:val="0"/>
        <w:pageBreakBefore w:val="0"/>
        <w:widowControl w:val="0"/>
        <w:kinsoku/>
        <w:wordWrap/>
        <w:overflowPunct/>
        <w:topLinePunct w:val="0"/>
        <w:autoSpaceDE/>
        <w:autoSpaceDN/>
        <w:bidi w:val="0"/>
        <w:adjustRightInd/>
        <w:snapToGrid/>
        <w:spacing w:before="157" w:beforeLines="50" w:after="157" w:afterLines="50"/>
        <w:textAlignment w:val="auto"/>
        <w:rPr>
          <w:rFonts w:hint="default" w:ascii="Times New Roman" w:hAnsi="Times New Roman" w:cs="Times New Roman"/>
          <w:b/>
          <w:bCs/>
          <w:color w:val="auto"/>
          <w:sz w:val="28"/>
          <w:szCs w:val="28"/>
          <w:lang w:val="en-US" w:eastAsia="zh-CN"/>
        </w:rPr>
      </w:pPr>
      <w:bookmarkStart w:id="346" w:name="_Toc141107164"/>
      <w:bookmarkStart w:id="347" w:name="_Toc91854097"/>
      <w:bookmarkStart w:id="348" w:name="_Toc93949087"/>
      <w:bookmarkStart w:id="349" w:name="_Toc93867321"/>
      <w:bookmarkStart w:id="350" w:name="_Toc31772"/>
      <w:bookmarkStart w:id="351" w:name="_Toc82013318"/>
      <w:bookmarkStart w:id="352" w:name="_Toc102725859"/>
      <w:bookmarkStart w:id="353" w:name="_Toc3641"/>
      <w:bookmarkStart w:id="354" w:name="_Toc105078970"/>
      <w:bookmarkStart w:id="355" w:name="_Toc102744913"/>
      <w:bookmarkStart w:id="356" w:name="_Toc93755627"/>
      <w:bookmarkStart w:id="357" w:name="_Toc141349653"/>
      <w:bookmarkStart w:id="358" w:name="_Toc89760440"/>
      <w:bookmarkStart w:id="359" w:name="_Toc141257798"/>
      <w:bookmarkStart w:id="360" w:name="_Toc93919449"/>
      <w:bookmarkStart w:id="361" w:name="_Toc141107574"/>
      <w:bookmarkStart w:id="362" w:name="_Toc93756725"/>
      <w:bookmarkStart w:id="363" w:name="_Toc92440414"/>
      <w:bookmarkStart w:id="364" w:name="_Toc93948762"/>
      <w:bookmarkStart w:id="365" w:name="_Toc89760967"/>
      <w:bookmarkStart w:id="366" w:name="_Toc89760181"/>
      <w:r>
        <w:rPr>
          <w:rFonts w:hint="default" w:ascii="Times New Roman" w:hAnsi="Times New Roman" w:cs="Times New Roman"/>
          <w:b/>
          <w:bCs/>
          <w:color w:val="auto"/>
          <w:sz w:val="28"/>
          <w:szCs w:val="28"/>
          <w:lang w:val="en-US" w:eastAsia="zh-CN"/>
        </w:rPr>
        <w:t>6.2.2结构系统使用性评定</w:t>
      </w:r>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p>
    <w:p w14:paraId="1C63F33E">
      <w:pPr>
        <w:keepNext w:val="0"/>
        <w:keepLines w:val="0"/>
        <w:pageBreakBefore w:val="0"/>
        <w:widowControl w:val="0"/>
        <w:kinsoku/>
        <w:wordWrap/>
        <w:overflowPunct/>
        <w:topLinePunct w:val="0"/>
        <w:autoSpaceDE/>
        <w:autoSpaceDN/>
        <w:bidi w:val="0"/>
        <w:adjustRightInd/>
        <w:snapToGrid/>
        <w:spacing w:before="157" w:beforeLines="50" w:after="157" w:afterLines="50"/>
        <w:textAlignment w:val="auto"/>
        <w:rPr>
          <w:rFonts w:hint="default" w:ascii="Times New Roman" w:hAnsi="Times New Roman" w:cs="Times New Roman"/>
          <w:b/>
          <w:bCs/>
          <w:color w:val="auto"/>
          <w:sz w:val="28"/>
          <w:szCs w:val="28"/>
          <w:lang w:val="en-US" w:eastAsia="zh-CN"/>
        </w:rPr>
      </w:pPr>
      <w:r>
        <w:rPr>
          <w:rFonts w:hint="default" w:ascii="Times New Roman" w:hAnsi="Times New Roman" w:cs="Times New Roman"/>
          <w:b/>
          <w:bCs/>
          <w:color w:val="auto"/>
          <w:sz w:val="28"/>
          <w:szCs w:val="28"/>
          <w:lang w:val="en-US" w:eastAsia="zh-CN"/>
        </w:rPr>
        <w:t>6.2.2.1地基基础</w:t>
      </w:r>
    </w:p>
    <w:p w14:paraId="0DC72233">
      <w:pPr>
        <w:spacing w:before="120" w:after="120"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地基基础的使用性鉴定评级（依据《工业建筑可靠性鉴定标准》(GB 50144-2019)7.2节评定），详见表6.2.2-1。</w:t>
      </w:r>
    </w:p>
    <w:p w14:paraId="45A68948">
      <w:pPr>
        <w:spacing w:before="0" w:after="0" w:line="240" w:lineRule="auto"/>
        <w:ind w:right="2" w:rightChars="1" w:firstLine="422" w:firstLineChars="20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表6.2.2-1 地基基础使用性鉴定评级</w:t>
      </w:r>
    </w:p>
    <w:tbl>
      <w:tblPr>
        <w:tblStyle w:val="22"/>
        <w:tblW w:w="852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84"/>
        <w:gridCol w:w="2024"/>
        <w:gridCol w:w="2728"/>
        <w:gridCol w:w="681"/>
        <w:gridCol w:w="1705"/>
      </w:tblGrid>
      <w:tr w14:paraId="797109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84" w:type="dxa"/>
            <w:vAlign w:val="center"/>
          </w:tcPr>
          <w:p w14:paraId="11A52BA3">
            <w:pPr>
              <w:autoSpaceDE w:val="0"/>
              <w:autoSpaceDN w:val="0"/>
              <w:adjustRightInd w:val="0"/>
              <w:spacing w:before="0" w:after="0" w:line="240" w:lineRule="auto"/>
              <w:jc w:val="center"/>
              <w:rPr>
                <w:rFonts w:hint="default" w:ascii="Times New Roman" w:hAnsi="Times New Roman" w:eastAsia="宋体" w:cs="Times New Roman"/>
                <w:b/>
                <w:color w:val="auto"/>
                <w:kern w:val="0"/>
                <w:sz w:val="24"/>
                <w:szCs w:val="21"/>
              </w:rPr>
            </w:pPr>
            <w:r>
              <w:rPr>
                <w:rFonts w:hint="default" w:ascii="Times New Roman" w:hAnsi="Times New Roman" w:eastAsia="宋体" w:cs="Times New Roman"/>
                <w:b/>
                <w:color w:val="auto"/>
                <w:kern w:val="0"/>
                <w:sz w:val="24"/>
                <w:szCs w:val="21"/>
              </w:rPr>
              <w:t>鉴定部位</w:t>
            </w:r>
          </w:p>
        </w:tc>
        <w:tc>
          <w:tcPr>
            <w:tcW w:w="2024" w:type="dxa"/>
            <w:vAlign w:val="center"/>
          </w:tcPr>
          <w:p w14:paraId="0DC16F41">
            <w:pPr>
              <w:autoSpaceDE w:val="0"/>
              <w:autoSpaceDN w:val="0"/>
              <w:adjustRightInd w:val="0"/>
              <w:spacing w:before="0" w:after="0" w:line="240" w:lineRule="auto"/>
              <w:jc w:val="center"/>
              <w:rPr>
                <w:rFonts w:hint="default" w:ascii="Times New Roman" w:hAnsi="Times New Roman" w:eastAsia="宋体" w:cs="Times New Roman"/>
                <w:b/>
                <w:color w:val="auto"/>
                <w:kern w:val="0"/>
                <w:sz w:val="24"/>
                <w:szCs w:val="21"/>
              </w:rPr>
            </w:pPr>
            <w:r>
              <w:rPr>
                <w:rFonts w:hint="default" w:ascii="Times New Roman" w:hAnsi="Times New Roman" w:eastAsia="宋体" w:cs="Times New Roman"/>
                <w:b/>
                <w:color w:val="auto"/>
                <w:kern w:val="0"/>
                <w:sz w:val="24"/>
                <w:szCs w:val="21"/>
              </w:rPr>
              <w:t>评定项目</w:t>
            </w:r>
          </w:p>
        </w:tc>
        <w:tc>
          <w:tcPr>
            <w:tcW w:w="2728" w:type="dxa"/>
            <w:vAlign w:val="center"/>
          </w:tcPr>
          <w:p w14:paraId="24564BEC">
            <w:pPr>
              <w:autoSpaceDE w:val="0"/>
              <w:autoSpaceDN w:val="0"/>
              <w:adjustRightInd w:val="0"/>
              <w:spacing w:before="0" w:after="0" w:line="240" w:lineRule="auto"/>
              <w:jc w:val="center"/>
              <w:rPr>
                <w:rFonts w:hint="default" w:ascii="Times New Roman" w:hAnsi="Times New Roman" w:eastAsia="宋体" w:cs="Times New Roman"/>
                <w:b/>
                <w:color w:val="auto"/>
                <w:kern w:val="0"/>
                <w:sz w:val="24"/>
                <w:szCs w:val="21"/>
              </w:rPr>
            </w:pPr>
            <w:r>
              <w:rPr>
                <w:rFonts w:hint="default" w:ascii="Times New Roman" w:hAnsi="Times New Roman" w:eastAsia="宋体" w:cs="Times New Roman"/>
                <w:b/>
                <w:color w:val="auto"/>
                <w:kern w:val="0"/>
                <w:sz w:val="24"/>
                <w:szCs w:val="21"/>
              </w:rPr>
              <w:t>现场检测结果</w:t>
            </w:r>
          </w:p>
        </w:tc>
        <w:tc>
          <w:tcPr>
            <w:tcW w:w="681" w:type="dxa"/>
            <w:vAlign w:val="center"/>
          </w:tcPr>
          <w:p w14:paraId="641A190F">
            <w:pPr>
              <w:autoSpaceDE w:val="0"/>
              <w:autoSpaceDN w:val="0"/>
              <w:adjustRightInd w:val="0"/>
              <w:spacing w:before="0" w:after="0" w:line="240" w:lineRule="auto"/>
              <w:jc w:val="center"/>
              <w:rPr>
                <w:rFonts w:hint="default" w:ascii="Times New Roman" w:hAnsi="Times New Roman" w:eastAsia="宋体" w:cs="Times New Roman"/>
                <w:b/>
                <w:color w:val="auto"/>
                <w:kern w:val="0"/>
                <w:sz w:val="24"/>
                <w:szCs w:val="21"/>
              </w:rPr>
            </w:pPr>
            <w:r>
              <w:rPr>
                <w:rFonts w:hint="default" w:ascii="Times New Roman" w:hAnsi="Times New Roman" w:eastAsia="宋体" w:cs="Times New Roman"/>
                <w:b/>
                <w:color w:val="auto"/>
                <w:kern w:val="0"/>
                <w:sz w:val="24"/>
                <w:szCs w:val="21"/>
              </w:rPr>
              <w:t>评级</w:t>
            </w:r>
          </w:p>
        </w:tc>
        <w:tc>
          <w:tcPr>
            <w:tcW w:w="1705" w:type="dxa"/>
            <w:vAlign w:val="center"/>
          </w:tcPr>
          <w:p w14:paraId="58AF41D8">
            <w:pPr>
              <w:autoSpaceDE w:val="0"/>
              <w:autoSpaceDN w:val="0"/>
              <w:adjustRightInd w:val="0"/>
              <w:spacing w:before="0" w:after="0" w:line="240" w:lineRule="auto"/>
              <w:jc w:val="center"/>
              <w:rPr>
                <w:rFonts w:hint="default" w:ascii="Times New Roman" w:hAnsi="Times New Roman" w:eastAsia="宋体" w:cs="Times New Roman"/>
                <w:b/>
                <w:color w:val="auto"/>
                <w:kern w:val="0"/>
                <w:sz w:val="24"/>
                <w:szCs w:val="21"/>
              </w:rPr>
            </w:pPr>
            <w:r>
              <w:rPr>
                <w:rFonts w:hint="default" w:ascii="Times New Roman" w:hAnsi="Times New Roman" w:eastAsia="宋体" w:cs="Times New Roman"/>
                <w:b/>
                <w:color w:val="auto"/>
                <w:kern w:val="0"/>
                <w:sz w:val="24"/>
                <w:szCs w:val="21"/>
              </w:rPr>
              <w:t>综合评级</w:t>
            </w:r>
          </w:p>
        </w:tc>
      </w:tr>
      <w:tr w14:paraId="5E366F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77" w:hRule="atLeast"/>
          <w:jc w:val="center"/>
        </w:trPr>
        <w:tc>
          <w:tcPr>
            <w:tcW w:w="1384" w:type="dxa"/>
            <w:vMerge w:val="restart"/>
            <w:vAlign w:val="center"/>
          </w:tcPr>
          <w:p w14:paraId="7A89D8A2">
            <w:pPr>
              <w:autoSpaceDE w:val="0"/>
              <w:autoSpaceDN w:val="0"/>
              <w:adjustRightInd w:val="0"/>
              <w:spacing w:before="0" w:after="0" w:line="240" w:lineRule="auto"/>
              <w:jc w:val="center"/>
              <w:rPr>
                <w:rFonts w:hint="default" w:ascii="Times New Roman" w:hAnsi="Times New Roman" w:eastAsia="宋体" w:cs="Times New Roman"/>
                <w:color w:val="auto"/>
                <w:kern w:val="0"/>
                <w:sz w:val="24"/>
                <w:szCs w:val="21"/>
              </w:rPr>
            </w:pPr>
            <w:r>
              <w:rPr>
                <w:rFonts w:hint="default" w:ascii="Times New Roman" w:hAnsi="Times New Roman" w:eastAsia="宋体" w:cs="Times New Roman"/>
                <w:color w:val="auto"/>
                <w:kern w:val="0"/>
                <w:sz w:val="24"/>
                <w:szCs w:val="21"/>
              </w:rPr>
              <w:t>地基基础</w:t>
            </w:r>
          </w:p>
        </w:tc>
        <w:tc>
          <w:tcPr>
            <w:tcW w:w="2024" w:type="dxa"/>
            <w:vAlign w:val="center"/>
          </w:tcPr>
          <w:p w14:paraId="24EBA86C">
            <w:pPr>
              <w:autoSpaceDE w:val="0"/>
              <w:autoSpaceDN w:val="0"/>
              <w:adjustRightInd w:val="0"/>
              <w:spacing w:before="0" w:after="0" w:line="240" w:lineRule="auto"/>
              <w:jc w:val="center"/>
              <w:rPr>
                <w:rFonts w:hint="default" w:ascii="Times New Roman" w:hAnsi="Times New Roman" w:eastAsia="宋体" w:cs="Times New Roman"/>
                <w:color w:val="auto"/>
                <w:kern w:val="0"/>
                <w:sz w:val="24"/>
                <w:szCs w:val="21"/>
              </w:rPr>
            </w:pPr>
            <w:r>
              <w:rPr>
                <w:rFonts w:hint="default" w:ascii="Times New Roman" w:hAnsi="Times New Roman" w:eastAsia="宋体" w:cs="Times New Roman"/>
                <w:color w:val="auto"/>
                <w:kern w:val="0"/>
                <w:sz w:val="24"/>
                <w:szCs w:val="21"/>
              </w:rPr>
              <w:t>按上部承重结构使用状况</w:t>
            </w:r>
          </w:p>
        </w:tc>
        <w:tc>
          <w:tcPr>
            <w:tcW w:w="2728" w:type="dxa"/>
            <w:vAlign w:val="center"/>
          </w:tcPr>
          <w:p w14:paraId="3A3927AF">
            <w:pPr>
              <w:autoSpaceDE w:val="0"/>
              <w:autoSpaceDN w:val="0"/>
              <w:adjustRightInd w:val="0"/>
              <w:spacing w:before="0" w:after="0" w:line="240" w:lineRule="auto"/>
              <w:jc w:val="center"/>
              <w:rPr>
                <w:rFonts w:hint="default" w:ascii="Times New Roman" w:hAnsi="Times New Roman" w:eastAsia="宋体" w:cs="Times New Roman"/>
                <w:color w:val="auto"/>
                <w:kern w:val="0"/>
                <w:sz w:val="24"/>
                <w:szCs w:val="21"/>
              </w:rPr>
            </w:pPr>
            <w:r>
              <w:rPr>
                <w:rFonts w:hint="default" w:ascii="Times New Roman" w:hAnsi="Times New Roman" w:eastAsia="宋体" w:cs="Times New Roman"/>
                <w:color w:val="auto"/>
                <w:kern w:val="0"/>
                <w:sz w:val="24"/>
                <w:szCs w:val="21"/>
              </w:rPr>
              <w:t>上部承重结构未发现问题。</w:t>
            </w:r>
          </w:p>
        </w:tc>
        <w:tc>
          <w:tcPr>
            <w:tcW w:w="681" w:type="dxa"/>
            <w:vAlign w:val="center"/>
          </w:tcPr>
          <w:p w14:paraId="43F1C572">
            <w:pPr>
              <w:autoSpaceDE w:val="0"/>
              <w:autoSpaceDN w:val="0"/>
              <w:adjustRightInd w:val="0"/>
              <w:spacing w:before="0" w:after="0" w:line="240" w:lineRule="auto"/>
              <w:jc w:val="center"/>
              <w:rPr>
                <w:rFonts w:hint="default" w:ascii="Times New Roman" w:hAnsi="Times New Roman" w:eastAsia="宋体" w:cs="Times New Roman"/>
                <w:color w:val="auto"/>
                <w:kern w:val="0"/>
                <w:sz w:val="24"/>
                <w:szCs w:val="21"/>
              </w:rPr>
            </w:pPr>
            <w:r>
              <w:rPr>
                <w:rFonts w:hint="default" w:ascii="Times New Roman" w:hAnsi="Times New Roman" w:eastAsia="宋体" w:cs="Times New Roman"/>
                <w:color w:val="auto"/>
                <w:kern w:val="0"/>
                <w:sz w:val="24"/>
                <w:szCs w:val="21"/>
              </w:rPr>
              <w:t>A</w:t>
            </w:r>
          </w:p>
        </w:tc>
        <w:tc>
          <w:tcPr>
            <w:tcW w:w="1705" w:type="dxa"/>
            <w:vMerge w:val="restart"/>
            <w:vAlign w:val="center"/>
          </w:tcPr>
          <w:p w14:paraId="6C9B8419">
            <w:pPr>
              <w:autoSpaceDE w:val="0"/>
              <w:autoSpaceDN w:val="0"/>
              <w:adjustRightInd w:val="0"/>
              <w:spacing w:before="0" w:after="0" w:line="240" w:lineRule="auto"/>
              <w:rPr>
                <w:rFonts w:hint="default" w:ascii="Times New Roman" w:hAnsi="Times New Roman" w:eastAsia="宋体" w:cs="Times New Roman"/>
                <w:color w:val="auto"/>
                <w:kern w:val="0"/>
                <w:sz w:val="24"/>
                <w:szCs w:val="21"/>
              </w:rPr>
            </w:pPr>
            <w:r>
              <w:rPr>
                <w:rFonts w:hint="default" w:ascii="Times New Roman" w:hAnsi="Times New Roman" w:eastAsia="宋体" w:cs="Times New Roman"/>
                <w:color w:val="auto"/>
                <w:kern w:val="0"/>
                <w:sz w:val="24"/>
                <w:szCs w:val="21"/>
              </w:rPr>
              <w:t>按7.2.5条的原则，评定地基基础的使用性等级为A级</w:t>
            </w:r>
          </w:p>
        </w:tc>
      </w:tr>
      <w:tr w14:paraId="7F42E5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77" w:hRule="atLeast"/>
          <w:jc w:val="center"/>
        </w:trPr>
        <w:tc>
          <w:tcPr>
            <w:tcW w:w="1384" w:type="dxa"/>
            <w:vMerge w:val="continue"/>
            <w:vAlign w:val="center"/>
          </w:tcPr>
          <w:p w14:paraId="1EE9AECF">
            <w:pPr>
              <w:autoSpaceDE w:val="0"/>
              <w:autoSpaceDN w:val="0"/>
              <w:adjustRightInd w:val="0"/>
              <w:spacing w:before="0" w:after="0" w:line="240" w:lineRule="auto"/>
              <w:jc w:val="center"/>
              <w:rPr>
                <w:rFonts w:hint="default" w:ascii="Times New Roman" w:hAnsi="Times New Roman" w:eastAsia="宋体" w:cs="Times New Roman"/>
                <w:color w:val="auto"/>
                <w:kern w:val="0"/>
                <w:sz w:val="24"/>
                <w:szCs w:val="21"/>
              </w:rPr>
            </w:pPr>
          </w:p>
        </w:tc>
        <w:tc>
          <w:tcPr>
            <w:tcW w:w="2024" w:type="dxa"/>
            <w:vAlign w:val="center"/>
          </w:tcPr>
          <w:p w14:paraId="62AF0A95">
            <w:pPr>
              <w:autoSpaceDE w:val="0"/>
              <w:autoSpaceDN w:val="0"/>
              <w:adjustRightInd w:val="0"/>
              <w:spacing w:before="0" w:after="0" w:line="240" w:lineRule="auto"/>
              <w:jc w:val="center"/>
              <w:rPr>
                <w:rFonts w:hint="default" w:ascii="Times New Roman" w:hAnsi="Times New Roman" w:eastAsia="宋体" w:cs="Times New Roman"/>
                <w:color w:val="auto"/>
                <w:kern w:val="0"/>
                <w:sz w:val="24"/>
                <w:szCs w:val="21"/>
              </w:rPr>
            </w:pPr>
            <w:r>
              <w:rPr>
                <w:rFonts w:hint="default" w:ascii="Times New Roman" w:hAnsi="Times New Roman" w:eastAsia="宋体" w:cs="Times New Roman"/>
                <w:color w:val="auto"/>
                <w:kern w:val="0"/>
                <w:sz w:val="24"/>
                <w:szCs w:val="21"/>
              </w:rPr>
              <w:t>按围护结构使用状况</w:t>
            </w:r>
          </w:p>
        </w:tc>
        <w:tc>
          <w:tcPr>
            <w:tcW w:w="2728" w:type="dxa"/>
            <w:vAlign w:val="center"/>
          </w:tcPr>
          <w:p w14:paraId="67A8724E">
            <w:pPr>
              <w:autoSpaceDE w:val="0"/>
              <w:autoSpaceDN w:val="0"/>
              <w:adjustRightInd w:val="0"/>
              <w:spacing w:before="0" w:after="0" w:line="240" w:lineRule="auto"/>
              <w:jc w:val="center"/>
              <w:rPr>
                <w:rFonts w:hint="default" w:ascii="Times New Roman" w:hAnsi="Times New Roman" w:eastAsia="宋体" w:cs="Times New Roman"/>
                <w:color w:val="auto"/>
                <w:kern w:val="0"/>
                <w:sz w:val="24"/>
                <w:szCs w:val="21"/>
              </w:rPr>
            </w:pPr>
            <w:r>
              <w:rPr>
                <w:rFonts w:hint="default" w:ascii="Times New Roman" w:hAnsi="Times New Roman" w:eastAsia="宋体" w:cs="Times New Roman"/>
                <w:color w:val="auto"/>
                <w:kern w:val="0"/>
                <w:sz w:val="24"/>
                <w:szCs w:val="21"/>
              </w:rPr>
              <w:t>围护结构所出现的问题</w:t>
            </w:r>
          </w:p>
          <w:p w14:paraId="130E232F">
            <w:pPr>
              <w:autoSpaceDE w:val="0"/>
              <w:autoSpaceDN w:val="0"/>
              <w:adjustRightInd w:val="0"/>
              <w:spacing w:before="0" w:after="0" w:line="240" w:lineRule="auto"/>
              <w:jc w:val="center"/>
              <w:rPr>
                <w:rFonts w:hint="default" w:ascii="Times New Roman" w:hAnsi="Times New Roman" w:eastAsia="宋体" w:cs="Times New Roman"/>
                <w:color w:val="auto"/>
                <w:kern w:val="0"/>
                <w:sz w:val="24"/>
                <w:szCs w:val="21"/>
              </w:rPr>
            </w:pPr>
            <w:r>
              <w:rPr>
                <w:rFonts w:hint="default" w:ascii="Times New Roman" w:hAnsi="Times New Roman" w:eastAsia="宋体" w:cs="Times New Roman"/>
                <w:color w:val="auto"/>
                <w:kern w:val="0"/>
                <w:sz w:val="24"/>
                <w:szCs w:val="21"/>
              </w:rPr>
              <w:t>与地基基础无关。</w:t>
            </w:r>
          </w:p>
        </w:tc>
        <w:tc>
          <w:tcPr>
            <w:tcW w:w="681" w:type="dxa"/>
            <w:vAlign w:val="center"/>
          </w:tcPr>
          <w:p w14:paraId="6BE673F3">
            <w:pPr>
              <w:autoSpaceDE w:val="0"/>
              <w:autoSpaceDN w:val="0"/>
              <w:adjustRightInd w:val="0"/>
              <w:spacing w:before="0" w:after="0" w:line="240" w:lineRule="auto"/>
              <w:jc w:val="center"/>
              <w:rPr>
                <w:rFonts w:hint="default" w:ascii="Times New Roman" w:hAnsi="Times New Roman" w:eastAsia="宋体" w:cs="Times New Roman"/>
                <w:color w:val="auto"/>
                <w:kern w:val="0"/>
                <w:sz w:val="24"/>
                <w:szCs w:val="21"/>
              </w:rPr>
            </w:pPr>
            <w:r>
              <w:rPr>
                <w:rFonts w:hint="default" w:ascii="Times New Roman" w:hAnsi="Times New Roman" w:eastAsia="宋体" w:cs="Times New Roman"/>
                <w:color w:val="auto"/>
                <w:kern w:val="0"/>
                <w:sz w:val="24"/>
                <w:szCs w:val="21"/>
              </w:rPr>
              <w:t>A</w:t>
            </w:r>
          </w:p>
        </w:tc>
        <w:tc>
          <w:tcPr>
            <w:tcW w:w="1705" w:type="dxa"/>
            <w:vMerge w:val="continue"/>
            <w:vAlign w:val="center"/>
          </w:tcPr>
          <w:p w14:paraId="59E2C5F8">
            <w:pPr>
              <w:autoSpaceDE w:val="0"/>
              <w:autoSpaceDN w:val="0"/>
              <w:adjustRightInd w:val="0"/>
              <w:spacing w:before="0" w:after="0" w:line="240" w:lineRule="auto"/>
              <w:jc w:val="center"/>
              <w:rPr>
                <w:rFonts w:hint="default" w:ascii="Times New Roman" w:hAnsi="Times New Roman" w:eastAsia="宋体" w:cs="Times New Roman"/>
                <w:color w:val="auto"/>
                <w:kern w:val="0"/>
                <w:sz w:val="24"/>
                <w:szCs w:val="21"/>
              </w:rPr>
            </w:pPr>
          </w:p>
        </w:tc>
      </w:tr>
    </w:tbl>
    <w:p w14:paraId="439172DB">
      <w:pPr>
        <w:keepNext w:val="0"/>
        <w:keepLines w:val="0"/>
        <w:pageBreakBefore w:val="0"/>
        <w:widowControl w:val="0"/>
        <w:kinsoku/>
        <w:wordWrap/>
        <w:overflowPunct/>
        <w:topLinePunct w:val="0"/>
        <w:autoSpaceDE/>
        <w:autoSpaceDN/>
        <w:bidi w:val="0"/>
        <w:adjustRightInd/>
        <w:snapToGrid/>
        <w:spacing w:before="157" w:beforeLines="50" w:after="157" w:afterLines="50"/>
        <w:textAlignment w:val="auto"/>
        <w:rPr>
          <w:rFonts w:hint="default" w:ascii="Times New Roman" w:hAnsi="Times New Roman" w:cs="Times New Roman"/>
          <w:b/>
          <w:bCs/>
          <w:color w:val="auto"/>
          <w:sz w:val="28"/>
          <w:szCs w:val="28"/>
          <w:lang w:val="en-US" w:eastAsia="zh-CN"/>
        </w:rPr>
      </w:pPr>
      <w:r>
        <w:rPr>
          <w:rFonts w:hint="default" w:ascii="Times New Roman" w:hAnsi="Times New Roman" w:cs="Times New Roman"/>
          <w:b/>
          <w:bCs/>
          <w:color w:val="auto"/>
          <w:sz w:val="28"/>
          <w:szCs w:val="28"/>
          <w:lang w:val="en-US" w:eastAsia="zh-CN"/>
        </w:rPr>
        <w:t>6.2.2.2上部承重结构</w:t>
      </w:r>
    </w:p>
    <w:p w14:paraId="549E8AE3">
      <w:pPr>
        <w:autoSpaceDE w:val="0"/>
        <w:autoSpaceDN w:val="0"/>
        <w:adjustRightInd w:val="0"/>
        <w:spacing w:before="120" w:after="120" w:line="360" w:lineRule="auto"/>
        <w:ind w:firstLine="480" w:firstLineChars="200"/>
        <w:jc w:val="left"/>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kern w:val="0"/>
          <w:sz w:val="24"/>
          <w:szCs w:val="24"/>
        </w:rPr>
        <w:t>上部承重结构的使用性鉴定评级（依据《</w:t>
      </w:r>
      <w:r>
        <w:rPr>
          <w:rFonts w:hint="default" w:ascii="Times New Roman" w:hAnsi="Times New Roman" w:eastAsia="宋体" w:cs="Times New Roman"/>
          <w:color w:val="auto"/>
          <w:sz w:val="24"/>
          <w:szCs w:val="24"/>
        </w:rPr>
        <w:t>工业</w:t>
      </w:r>
      <w:r>
        <w:rPr>
          <w:rFonts w:hint="default" w:ascii="Times New Roman" w:hAnsi="Times New Roman" w:eastAsia="宋体" w:cs="Times New Roman"/>
          <w:color w:val="auto"/>
          <w:kern w:val="0"/>
          <w:sz w:val="24"/>
          <w:szCs w:val="24"/>
        </w:rPr>
        <w:t>建筑可靠性鉴定标准》(GB 50144-2019)7.3节评定），详见表6.2.2-2。</w:t>
      </w:r>
    </w:p>
    <w:p w14:paraId="409E8E1C">
      <w:pPr>
        <w:spacing w:before="0" w:after="0" w:line="240" w:lineRule="auto"/>
        <w:ind w:right="2" w:rightChars="1" w:firstLine="422" w:firstLineChars="20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表6.2.2-2 上部承重结构使用性鉴定评级表</w:t>
      </w:r>
    </w:p>
    <w:tbl>
      <w:tblPr>
        <w:tblStyle w:val="22"/>
        <w:tblW w:w="889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873"/>
        <w:gridCol w:w="3472"/>
        <w:gridCol w:w="756"/>
        <w:gridCol w:w="1796"/>
      </w:tblGrid>
      <w:tr w14:paraId="156E6B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873" w:type="dxa"/>
            <w:vAlign w:val="center"/>
          </w:tcPr>
          <w:p w14:paraId="78A9FB25">
            <w:pPr>
              <w:autoSpaceDE w:val="0"/>
              <w:autoSpaceDN w:val="0"/>
              <w:adjustRightInd w:val="0"/>
              <w:spacing w:before="0" w:after="0" w:line="240" w:lineRule="auto"/>
              <w:jc w:val="center"/>
              <w:rPr>
                <w:rFonts w:hint="default" w:ascii="Times New Roman" w:hAnsi="Times New Roman" w:eastAsia="宋体" w:cs="Times New Roman"/>
                <w:b/>
                <w:bCs/>
                <w:color w:val="auto"/>
                <w:kern w:val="0"/>
                <w:sz w:val="24"/>
                <w:szCs w:val="21"/>
              </w:rPr>
            </w:pPr>
            <w:r>
              <w:rPr>
                <w:rFonts w:hint="default" w:ascii="Times New Roman" w:hAnsi="Times New Roman" w:eastAsia="宋体" w:cs="Times New Roman"/>
                <w:b/>
                <w:bCs/>
                <w:color w:val="auto"/>
                <w:kern w:val="0"/>
                <w:sz w:val="24"/>
                <w:szCs w:val="21"/>
              </w:rPr>
              <w:t>评定项目</w:t>
            </w:r>
          </w:p>
        </w:tc>
        <w:tc>
          <w:tcPr>
            <w:tcW w:w="3472" w:type="dxa"/>
            <w:vAlign w:val="center"/>
          </w:tcPr>
          <w:p w14:paraId="7E56D927">
            <w:pPr>
              <w:autoSpaceDE w:val="0"/>
              <w:autoSpaceDN w:val="0"/>
              <w:adjustRightInd w:val="0"/>
              <w:spacing w:before="0" w:after="0" w:line="240" w:lineRule="auto"/>
              <w:jc w:val="center"/>
              <w:rPr>
                <w:rFonts w:hint="default" w:ascii="Times New Roman" w:hAnsi="Times New Roman" w:eastAsia="宋体" w:cs="Times New Roman"/>
                <w:b/>
                <w:bCs/>
                <w:color w:val="auto"/>
                <w:kern w:val="0"/>
                <w:sz w:val="24"/>
                <w:szCs w:val="21"/>
              </w:rPr>
            </w:pPr>
            <w:r>
              <w:rPr>
                <w:rFonts w:hint="default" w:ascii="Times New Roman" w:hAnsi="Times New Roman" w:eastAsia="宋体" w:cs="Times New Roman"/>
                <w:b/>
                <w:bCs/>
                <w:color w:val="auto"/>
                <w:kern w:val="0"/>
                <w:sz w:val="24"/>
                <w:szCs w:val="21"/>
              </w:rPr>
              <w:t>评定依据</w:t>
            </w:r>
          </w:p>
        </w:tc>
        <w:tc>
          <w:tcPr>
            <w:tcW w:w="756" w:type="dxa"/>
            <w:vAlign w:val="center"/>
          </w:tcPr>
          <w:p w14:paraId="4F74B20F">
            <w:pPr>
              <w:autoSpaceDE w:val="0"/>
              <w:autoSpaceDN w:val="0"/>
              <w:adjustRightInd w:val="0"/>
              <w:spacing w:before="0" w:after="0" w:line="240" w:lineRule="auto"/>
              <w:jc w:val="center"/>
              <w:rPr>
                <w:rFonts w:hint="default" w:ascii="Times New Roman" w:hAnsi="Times New Roman" w:eastAsia="宋体" w:cs="Times New Roman"/>
                <w:b/>
                <w:bCs/>
                <w:color w:val="auto"/>
                <w:kern w:val="0"/>
                <w:sz w:val="24"/>
                <w:szCs w:val="21"/>
              </w:rPr>
            </w:pPr>
            <w:r>
              <w:rPr>
                <w:rFonts w:hint="default" w:ascii="Times New Roman" w:hAnsi="Times New Roman" w:eastAsia="宋体" w:cs="Times New Roman"/>
                <w:b/>
                <w:bCs/>
                <w:color w:val="auto"/>
                <w:kern w:val="0"/>
                <w:sz w:val="24"/>
                <w:szCs w:val="21"/>
              </w:rPr>
              <w:t>评定等级</w:t>
            </w:r>
          </w:p>
        </w:tc>
        <w:tc>
          <w:tcPr>
            <w:tcW w:w="1796" w:type="dxa"/>
            <w:vAlign w:val="center"/>
          </w:tcPr>
          <w:p w14:paraId="01A165A9">
            <w:pPr>
              <w:autoSpaceDE w:val="0"/>
              <w:autoSpaceDN w:val="0"/>
              <w:adjustRightInd w:val="0"/>
              <w:spacing w:before="0" w:after="0" w:line="240" w:lineRule="auto"/>
              <w:jc w:val="center"/>
              <w:rPr>
                <w:rFonts w:hint="default" w:ascii="Times New Roman" w:hAnsi="Times New Roman" w:eastAsia="宋体" w:cs="Times New Roman"/>
                <w:b/>
                <w:bCs/>
                <w:color w:val="auto"/>
                <w:kern w:val="0"/>
                <w:sz w:val="24"/>
                <w:szCs w:val="21"/>
              </w:rPr>
            </w:pPr>
            <w:r>
              <w:rPr>
                <w:rFonts w:hint="default" w:ascii="Times New Roman" w:hAnsi="Times New Roman" w:eastAsia="宋体" w:cs="Times New Roman"/>
                <w:b/>
                <w:bCs/>
                <w:color w:val="auto"/>
                <w:kern w:val="0"/>
                <w:sz w:val="24"/>
                <w:szCs w:val="21"/>
              </w:rPr>
              <w:t>上部承重结构综合评级</w:t>
            </w:r>
          </w:p>
        </w:tc>
      </w:tr>
      <w:tr w14:paraId="24F393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873" w:type="dxa"/>
            <w:vAlign w:val="center"/>
          </w:tcPr>
          <w:p w14:paraId="148E24B1">
            <w:pPr>
              <w:autoSpaceDE w:val="0"/>
              <w:autoSpaceDN w:val="0"/>
              <w:adjustRightInd w:val="0"/>
              <w:spacing w:before="0" w:after="0" w:line="240" w:lineRule="auto"/>
              <w:jc w:val="center"/>
              <w:rPr>
                <w:rFonts w:hint="default" w:ascii="Times New Roman" w:hAnsi="Times New Roman" w:eastAsia="宋体" w:cs="Times New Roman"/>
                <w:color w:val="auto"/>
                <w:kern w:val="0"/>
                <w:sz w:val="24"/>
                <w:szCs w:val="21"/>
              </w:rPr>
            </w:pPr>
            <w:r>
              <w:rPr>
                <w:rFonts w:hint="default" w:ascii="Times New Roman" w:hAnsi="Times New Roman" w:eastAsia="宋体" w:cs="Times New Roman"/>
                <w:color w:val="auto"/>
                <w:kern w:val="0"/>
                <w:sz w:val="24"/>
                <w:szCs w:val="21"/>
              </w:rPr>
              <w:t>上部承重结构使用状况</w:t>
            </w:r>
          </w:p>
        </w:tc>
        <w:tc>
          <w:tcPr>
            <w:tcW w:w="3472" w:type="dxa"/>
            <w:vAlign w:val="center"/>
          </w:tcPr>
          <w:p w14:paraId="29CDE0CD">
            <w:pPr>
              <w:autoSpaceDE w:val="0"/>
              <w:autoSpaceDN w:val="0"/>
              <w:adjustRightInd w:val="0"/>
              <w:spacing w:before="0" w:after="0" w:line="240" w:lineRule="auto"/>
              <w:jc w:val="center"/>
              <w:rPr>
                <w:rFonts w:hint="default" w:ascii="Times New Roman" w:hAnsi="Times New Roman" w:eastAsia="宋体" w:cs="Times New Roman"/>
                <w:color w:val="auto"/>
                <w:kern w:val="0"/>
                <w:sz w:val="24"/>
                <w:szCs w:val="21"/>
              </w:rPr>
            </w:pPr>
            <w:r>
              <w:rPr>
                <w:rFonts w:hint="default" w:ascii="Times New Roman" w:hAnsi="Times New Roman" w:eastAsia="宋体" w:cs="Times New Roman"/>
                <w:color w:val="auto"/>
                <w:kern w:val="0"/>
                <w:sz w:val="24"/>
                <w:szCs w:val="21"/>
              </w:rPr>
              <w:t>上部承重结构完好。</w:t>
            </w:r>
          </w:p>
        </w:tc>
        <w:tc>
          <w:tcPr>
            <w:tcW w:w="756" w:type="dxa"/>
            <w:vAlign w:val="center"/>
          </w:tcPr>
          <w:p w14:paraId="46695275">
            <w:pPr>
              <w:autoSpaceDE w:val="0"/>
              <w:autoSpaceDN w:val="0"/>
              <w:adjustRightInd w:val="0"/>
              <w:spacing w:before="0" w:after="0" w:line="240" w:lineRule="auto"/>
              <w:jc w:val="center"/>
              <w:rPr>
                <w:rFonts w:hint="default" w:ascii="Times New Roman" w:hAnsi="Times New Roman" w:eastAsia="宋体" w:cs="Times New Roman"/>
                <w:color w:val="auto"/>
                <w:kern w:val="0"/>
                <w:sz w:val="24"/>
                <w:szCs w:val="21"/>
              </w:rPr>
            </w:pPr>
            <w:r>
              <w:rPr>
                <w:rFonts w:hint="default" w:ascii="Times New Roman" w:hAnsi="Times New Roman" w:eastAsia="宋体" w:cs="Times New Roman"/>
                <w:color w:val="auto"/>
                <w:kern w:val="0"/>
                <w:sz w:val="24"/>
                <w:szCs w:val="21"/>
              </w:rPr>
              <w:t>A</w:t>
            </w:r>
          </w:p>
        </w:tc>
        <w:tc>
          <w:tcPr>
            <w:tcW w:w="1796" w:type="dxa"/>
            <w:vMerge w:val="restart"/>
            <w:vAlign w:val="center"/>
          </w:tcPr>
          <w:p w14:paraId="74A44775">
            <w:pPr>
              <w:autoSpaceDE w:val="0"/>
              <w:autoSpaceDN w:val="0"/>
              <w:adjustRightInd w:val="0"/>
              <w:spacing w:before="0" w:after="0" w:line="240" w:lineRule="auto"/>
              <w:rPr>
                <w:rFonts w:hint="default" w:ascii="Times New Roman" w:hAnsi="Times New Roman" w:eastAsia="宋体" w:cs="Times New Roman"/>
                <w:color w:val="auto"/>
                <w:kern w:val="0"/>
                <w:sz w:val="24"/>
                <w:szCs w:val="21"/>
              </w:rPr>
            </w:pPr>
            <w:r>
              <w:rPr>
                <w:rFonts w:hint="default" w:ascii="Times New Roman" w:hAnsi="Times New Roman" w:eastAsia="宋体" w:cs="Times New Roman"/>
                <w:color w:val="auto"/>
                <w:kern w:val="0"/>
                <w:sz w:val="24"/>
                <w:szCs w:val="21"/>
              </w:rPr>
              <w:t>按7.3.6条原则，评定上部承重结构的使用性等级为A级</w:t>
            </w:r>
          </w:p>
        </w:tc>
      </w:tr>
      <w:tr w14:paraId="7FACD1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873" w:type="dxa"/>
            <w:vAlign w:val="center"/>
          </w:tcPr>
          <w:p w14:paraId="655A855C">
            <w:pPr>
              <w:autoSpaceDE w:val="0"/>
              <w:autoSpaceDN w:val="0"/>
              <w:adjustRightInd w:val="0"/>
              <w:spacing w:before="0" w:after="0" w:line="240" w:lineRule="auto"/>
              <w:jc w:val="center"/>
              <w:rPr>
                <w:rFonts w:hint="default" w:ascii="Times New Roman" w:hAnsi="Times New Roman" w:eastAsia="宋体" w:cs="Times New Roman"/>
                <w:color w:val="auto"/>
                <w:kern w:val="0"/>
                <w:sz w:val="24"/>
                <w:szCs w:val="21"/>
              </w:rPr>
            </w:pPr>
            <w:r>
              <w:rPr>
                <w:rFonts w:hint="default" w:ascii="Times New Roman" w:hAnsi="Times New Roman" w:eastAsia="宋体" w:cs="Times New Roman"/>
                <w:color w:val="auto"/>
                <w:kern w:val="0"/>
                <w:sz w:val="24"/>
                <w:szCs w:val="21"/>
              </w:rPr>
              <w:t>结构水平位移</w:t>
            </w:r>
          </w:p>
        </w:tc>
        <w:tc>
          <w:tcPr>
            <w:tcW w:w="3472" w:type="dxa"/>
            <w:vAlign w:val="center"/>
          </w:tcPr>
          <w:p w14:paraId="201C4471">
            <w:pPr>
              <w:autoSpaceDE w:val="0"/>
              <w:autoSpaceDN w:val="0"/>
              <w:adjustRightInd w:val="0"/>
              <w:spacing w:before="0" w:after="0" w:line="240" w:lineRule="auto"/>
              <w:rPr>
                <w:rFonts w:hint="default" w:ascii="Times New Roman" w:hAnsi="Times New Roman" w:eastAsia="宋体" w:cs="Times New Roman"/>
                <w:color w:val="auto"/>
                <w:kern w:val="0"/>
                <w:sz w:val="24"/>
                <w:szCs w:val="21"/>
              </w:rPr>
            </w:pPr>
            <w:r>
              <w:rPr>
                <w:rFonts w:hint="default" w:ascii="Times New Roman" w:hAnsi="Times New Roman" w:eastAsia="宋体" w:cs="Times New Roman"/>
                <w:color w:val="auto"/>
                <w:sz w:val="24"/>
                <w:szCs w:val="21"/>
              </w:rPr>
              <w:t>符合现行设计规范要求，建筑物的完好程度较好</w:t>
            </w:r>
            <w:r>
              <w:rPr>
                <w:rFonts w:hint="default" w:ascii="Times New Roman" w:hAnsi="Times New Roman" w:eastAsia="宋体" w:cs="Times New Roman"/>
                <w:color w:val="auto"/>
                <w:sz w:val="24"/>
                <w:szCs w:val="24"/>
              </w:rPr>
              <w:t>。</w:t>
            </w:r>
          </w:p>
        </w:tc>
        <w:tc>
          <w:tcPr>
            <w:tcW w:w="756" w:type="dxa"/>
            <w:vAlign w:val="center"/>
          </w:tcPr>
          <w:p w14:paraId="749D1846">
            <w:pPr>
              <w:autoSpaceDE w:val="0"/>
              <w:autoSpaceDN w:val="0"/>
              <w:adjustRightInd w:val="0"/>
              <w:spacing w:before="0" w:after="0" w:line="240" w:lineRule="auto"/>
              <w:jc w:val="center"/>
              <w:rPr>
                <w:rFonts w:hint="default" w:ascii="Times New Roman" w:hAnsi="Times New Roman" w:eastAsia="宋体" w:cs="Times New Roman"/>
                <w:color w:val="auto"/>
                <w:kern w:val="0"/>
                <w:sz w:val="24"/>
                <w:szCs w:val="21"/>
              </w:rPr>
            </w:pPr>
            <w:r>
              <w:rPr>
                <w:rFonts w:hint="default" w:ascii="Times New Roman" w:hAnsi="Times New Roman" w:eastAsia="宋体" w:cs="Times New Roman"/>
                <w:color w:val="auto"/>
                <w:kern w:val="0"/>
                <w:sz w:val="24"/>
                <w:szCs w:val="21"/>
              </w:rPr>
              <w:t>A</w:t>
            </w:r>
          </w:p>
        </w:tc>
        <w:tc>
          <w:tcPr>
            <w:tcW w:w="1796" w:type="dxa"/>
            <w:vMerge w:val="continue"/>
            <w:vAlign w:val="center"/>
          </w:tcPr>
          <w:p w14:paraId="38411670">
            <w:pPr>
              <w:autoSpaceDE w:val="0"/>
              <w:autoSpaceDN w:val="0"/>
              <w:adjustRightInd w:val="0"/>
              <w:spacing w:before="0" w:after="0" w:line="240" w:lineRule="auto"/>
              <w:rPr>
                <w:rFonts w:hint="default" w:ascii="Times New Roman" w:hAnsi="Times New Roman" w:eastAsia="宋体" w:cs="Times New Roman"/>
                <w:color w:val="auto"/>
                <w:kern w:val="0"/>
                <w:sz w:val="24"/>
                <w:szCs w:val="21"/>
              </w:rPr>
            </w:pPr>
          </w:p>
        </w:tc>
      </w:tr>
    </w:tbl>
    <w:p w14:paraId="7DB50193">
      <w:pPr>
        <w:keepNext w:val="0"/>
        <w:keepLines w:val="0"/>
        <w:pageBreakBefore w:val="0"/>
        <w:widowControl w:val="0"/>
        <w:kinsoku/>
        <w:wordWrap/>
        <w:overflowPunct/>
        <w:topLinePunct w:val="0"/>
        <w:autoSpaceDE/>
        <w:autoSpaceDN/>
        <w:bidi w:val="0"/>
        <w:adjustRightInd/>
        <w:snapToGrid/>
        <w:spacing w:before="157" w:beforeLines="50" w:after="157" w:afterLines="50"/>
        <w:textAlignment w:val="auto"/>
        <w:rPr>
          <w:rFonts w:hint="default" w:ascii="Times New Roman" w:hAnsi="Times New Roman" w:cs="Times New Roman"/>
          <w:b/>
          <w:bCs/>
          <w:color w:val="auto"/>
          <w:sz w:val="28"/>
          <w:szCs w:val="28"/>
          <w:lang w:val="en-US" w:eastAsia="zh-CN"/>
        </w:rPr>
      </w:pPr>
      <w:r>
        <w:rPr>
          <w:rFonts w:hint="default" w:ascii="Times New Roman" w:hAnsi="Times New Roman" w:cs="Times New Roman"/>
          <w:b/>
          <w:bCs/>
          <w:color w:val="auto"/>
          <w:sz w:val="28"/>
          <w:szCs w:val="28"/>
          <w:lang w:val="en-US" w:eastAsia="zh-CN"/>
        </w:rPr>
        <w:t>6.2.2.3围护结构系统</w:t>
      </w:r>
    </w:p>
    <w:p w14:paraId="6AA4A6B8">
      <w:pPr>
        <w:autoSpaceDE w:val="0"/>
        <w:autoSpaceDN w:val="0"/>
        <w:adjustRightInd w:val="0"/>
        <w:spacing w:before="120" w:after="120" w:line="360" w:lineRule="auto"/>
        <w:ind w:firstLine="480" w:firstLineChars="200"/>
        <w:jc w:val="left"/>
        <w:rPr>
          <w:rFonts w:hint="default" w:ascii="Times New Roman" w:hAnsi="Times New Roman" w:eastAsia="宋体" w:cs="Times New Roman"/>
          <w:b/>
          <w:color w:val="auto"/>
          <w:sz w:val="24"/>
          <w:szCs w:val="21"/>
        </w:rPr>
      </w:pPr>
      <w:r>
        <w:rPr>
          <w:rFonts w:hint="default" w:ascii="Times New Roman" w:hAnsi="Times New Roman" w:eastAsia="宋体" w:cs="Times New Roman"/>
          <w:color w:val="auto"/>
          <w:kern w:val="0"/>
          <w:sz w:val="24"/>
          <w:szCs w:val="24"/>
        </w:rPr>
        <w:t>围护结构系统的使用性鉴定评级（依据《工业建筑可靠性鉴定标准》(GB 50144-2019)7.4节评定），详见表6.2.2-3。</w:t>
      </w:r>
    </w:p>
    <w:p w14:paraId="13D365D6">
      <w:pPr>
        <w:spacing w:before="0" w:after="0" w:line="240" w:lineRule="auto"/>
        <w:ind w:right="2" w:rightChars="1" w:firstLine="422" w:firstLineChars="20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表6.2.2.3 围护结构系统的使用性鉴定评级</w:t>
      </w:r>
    </w:p>
    <w:tbl>
      <w:tblPr>
        <w:tblStyle w:val="22"/>
        <w:tblW w:w="85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1701"/>
        <w:gridCol w:w="3116"/>
        <w:gridCol w:w="755"/>
        <w:gridCol w:w="1705"/>
      </w:tblGrid>
      <w:tr w14:paraId="35D74C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45" w:type="dxa"/>
            <w:vAlign w:val="center"/>
          </w:tcPr>
          <w:p w14:paraId="135F2414">
            <w:pPr>
              <w:autoSpaceDE w:val="0"/>
              <w:autoSpaceDN w:val="0"/>
              <w:adjustRightInd w:val="0"/>
              <w:spacing w:before="120" w:after="120" w:line="400" w:lineRule="exact"/>
              <w:jc w:val="center"/>
              <w:rPr>
                <w:rFonts w:hint="default" w:ascii="Times New Roman" w:hAnsi="Times New Roman" w:eastAsia="宋体" w:cs="Times New Roman"/>
                <w:b/>
                <w:color w:val="auto"/>
                <w:kern w:val="0"/>
                <w:sz w:val="24"/>
                <w:szCs w:val="21"/>
              </w:rPr>
            </w:pPr>
            <w:r>
              <w:rPr>
                <w:rFonts w:hint="default" w:ascii="Times New Roman" w:hAnsi="Times New Roman" w:eastAsia="宋体" w:cs="Times New Roman"/>
                <w:b/>
                <w:color w:val="auto"/>
                <w:kern w:val="0"/>
                <w:sz w:val="24"/>
                <w:szCs w:val="21"/>
              </w:rPr>
              <w:t>鉴定部位</w:t>
            </w:r>
          </w:p>
        </w:tc>
        <w:tc>
          <w:tcPr>
            <w:tcW w:w="1701" w:type="dxa"/>
            <w:vAlign w:val="center"/>
          </w:tcPr>
          <w:p w14:paraId="4AE65CC8">
            <w:pPr>
              <w:autoSpaceDE w:val="0"/>
              <w:autoSpaceDN w:val="0"/>
              <w:adjustRightInd w:val="0"/>
              <w:spacing w:before="120" w:after="120" w:line="400" w:lineRule="exact"/>
              <w:jc w:val="center"/>
              <w:rPr>
                <w:rFonts w:hint="default" w:ascii="Times New Roman" w:hAnsi="Times New Roman" w:eastAsia="宋体" w:cs="Times New Roman"/>
                <w:b/>
                <w:color w:val="auto"/>
                <w:kern w:val="0"/>
                <w:sz w:val="24"/>
                <w:szCs w:val="21"/>
              </w:rPr>
            </w:pPr>
            <w:r>
              <w:rPr>
                <w:rFonts w:hint="default" w:ascii="Times New Roman" w:hAnsi="Times New Roman" w:eastAsia="宋体" w:cs="Times New Roman"/>
                <w:b/>
                <w:color w:val="auto"/>
                <w:kern w:val="0"/>
                <w:sz w:val="24"/>
                <w:szCs w:val="21"/>
              </w:rPr>
              <w:t>评定项目</w:t>
            </w:r>
          </w:p>
        </w:tc>
        <w:tc>
          <w:tcPr>
            <w:tcW w:w="3116" w:type="dxa"/>
            <w:vAlign w:val="center"/>
          </w:tcPr>
          <w:p w14:paraId="0EB303D5">
            <w:pPr>
              <w:autoSpaceDE w:val="0"/>
              <w:autoSpaceDN w:val="0"/>
              <w:adjustRightInd w:val="0"/>
              <w:spacing w:before="120" w:after="120" w:line="400" w:lineRule="exact"/>
              <w:jc w:val="center"/>
              <w:rPr>
                <w:rFonts w:hint="default" w:ascii="Times New Roman" w:hAnsi="Times New Roman" w:eastAsia="宋体" w:cs="Times New Roman"/>
                <w:b/>
                <w:color w:val="auto"/>
                <w:kern w:val="0"/>
                <w:sz w:val="24"/>
                <w:szCs w:val="21"/>
              </w:rPr>
            </w:pPr>
            <w:r>
              <w:rPr>
                <w:rFonts w:hint="default" w:ascii="Times New Roman" w:hAnsi="Times New Roman" w:eastAsia="宋体" w:cs="Times New Roman"/>
                <w:b/>
                <w:color w:val="auto"/>
                <w:kern w:val="0"/>
                <w:sz w:val="24"/>
                <w:szCs w:val="21"/>
              </w:rPr>
              <w:t>评定依据</w:t>
            </w:r>
          </w:p>
        </w:tc>
        <w:tc>
          <w:tcPr>
            <w:tcW w:w="755" w:type="dxa"/>
            <w:vAlign w:val="center"/>
          </w:tcPr>
          <w:p w14:paraId="7BA94233">
            <w:pPr>
              <w:autoSpaceDE w:val="0"/>
              <w:autoSpaceDN w:val="0"/>
              <w:adjustRightInd w:val="0"/>
              <w:spacing w:before="120" w:after="120" w:line="400" w:lineRule="exact"/>
              <w:jc w:val="center"/>
              <w:rPr>
                <w:rFonts w:hint="default" w:ascii="Times New Roman" w:hAnsi="Times New Roman" w:eastAsia="宋体" w:cs="Times New Roman"/>
                <w:b/>
                <w:color w:val="auto"/>
                <w:kern w:val="0"/>
                <w:sz w:val="24"/>
                <w:szCs w:val="21"/>
              </w:rPr>
            </w:pPr>
            <w:r>
              <w:rPr>
                <w:rFonts w:hint="default" w:ascii="Times New Roman" w:hAnsi="Times New Roman" w:eastAsia="宋体" w:cs="Times New Roman"/>
                <w:b/>
                <w:color w:val="auto"/>
                <w:kern w:val="0"/>
                <w:sz w:val="24"/>
                <w:szCs w:val="21"/>
              </w:rPr>
              <w:t>评级</w:t>
            </w:r>
          </w:p>
        </w:tc>
        <w:tc>
          <w:tcPr>
            <w:tcW w:w="1705" w:type="dxa"/>
            <w:vAlign w:val="center"/>
          </w:tcPr>
          <w:p w14:paraId="09825011">
            <w:pPr>
              <w:autoSpaceDE w:val="0"/>
              <w:autoSpaceDN w:val="0"/>
              <w:adjustRightInd w:val="0"/>
              <w:spacing w:before="120" w:after="120" w:line="400" w:lineRule="exact"/>
              <w:jc w:val="center"/>
              <w:rPr>
                <w:rFonts w:hint="default" w:ascii="Times New Roman" w:hAnsi="Times New Roman" w:eastAsia="宋体" w:cs="Times New Roman"/>
                <w:b/>
                <w:color w:val="auto"/>
                <w:kern w:val="0"/>
                <w:sz w:val="24"/>
                <w:szCs w:val="21"/>
              </w:rPr>
            </w:pPr>
            <w:r>
              <w:rPr>
                <w:rFonts w:hint="default" w:ascii="Times New Roman" w:hAnsi="Times New Roman" w:eastAsia="宋体" w:cs="Times New Roman"/>
                <w:b/>
                <w:color w:val="auto"/>
                <w:kern w:val="0"/>
                <w:sz w:val="24"/>
                <w:szCs w:val="21"/>
              </w:rPr>
              <w:t>综合评级</w:t>
            </w:r>
          </w:p>
        </w:tc>
      </w:tr>
      <w:tr w14:paraId="74BBB9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1245" w:type="dxa"/>
            <w:vMerge w:val="restart"/>
            <w:vAlign w:val="center"/>
          </w:tcPr>
          <w:p w14:paraId="500BA394">
            <w:pPr>
              <w:autoSpaceDE w:val="0"/>
              <w:autoSpaceDN w:val="0"/>
              <w:adjustRightInd w:val="0"/>
              <w:spacing w:before="120" w:after="120" w:line="400" w:lineRule="exact"/>
              <w:jc w:val="center"/>
              <w:rPr>
                <w:rFonts w:hint="default" w:ascii="Times New Roman" w:hAnsi="Times New Roman" w:eastAsia="宋体" w:cs="Times New Roman"/>
                <w:color w:val="auto"/>
                <w:kern w:val="0"/>
                <w:sz w:val="24"/>
                <w:szCs w:val="21"/>
              </w:rPr>
            </w:pPr>
            <w:r>
              <w:rPr>
                <w:rFonts w:hint="default" w:ascii="Times New Roman" w:hAnsi="Times New Roman" w:eastAsia="宋体" w:cs="Times New Roman"/>
                <w:color w:val="auto"/>
                <w:kern w:val="0"/>
                <w:sz w:val="24"/>
                <w:szCs w:val="21"/>
              </w:rPr>
              <w:t>围护结构系统</w:t>
            </w:r>
          </w:p>
        </w:tc>
        <w:tc>
          <w:tcPr>
            <w:tcW w:w="1701" w:type="dxa"/>
            <w:vAlign w:val="center"/>
          </w:tcPr>
          <w:p w14:paraId="394B8317">
            <w:pPr>
              <w:autoSpaceDE w:val="0"/>
              <w:autoSpaceDN w:val="0"/>
              <w:adjustRightInd w:val="0"/>
              <w:spacing w:before="120" w:after="120" w:line="400" w:lineRule="exact"/>
              <w:jc w:val="center"/>
              <w:rPr>
                <w:rFonts w:hint="default" w:ascii="Times New Roman" w:hAnsi="Times New Roman" w:eastAsia="宋体" w:cs="Times New Roman"/>
                <w:color w:val="auto"/>
                <w:kern w:val="0"/>
                <w:sz w:val="24"/>
                <w:szCs w:val="21"/>
              </w:rPr>
            </w:pPr>
            <w:r>
              <w:rPr>
                <w:rFonts w:hint="default" w:ascii="Times New Roman" w:hAnsi="Times New Roman" w:eastAsia="宋体" w:cs="Times New Roman"/>
                <w:color w:val="auto"/>
                <w:kern w:val="0"/>
                <w:sz w:val="24"/>
                <w:szCs w:val="21"/>
              </w:rPr>
              <w:t>围护结构的使用状况</w:t>
            </w:r>
          </w:p>
        </w:tc>
        <w:tc>
          <w:tcPr>
            <w:tcW w:w="3116" w:type="dxa"/>
            <w:vAlign w:val="center"/>
          </w:tcPr>
          <w:p w14:paraId="00A8FD9D">
            <w:pPr>
              <w:autoSpaceDE w:val="0"/>
              <w:autoSpaceDN w:val="0"/>
              <w:adjustRightInd w:val="0"/>
              <w:spacing w:before="120" w:after="120" w:line="400" w:lineRule="exact"/>
              <w:jc w:val="center"/>
              <w:rPr>
                <w:rFonts w:hint="default" w:ascii="Times New Roman" w:hAnsi="Times New Roman" w:eastAsia="宋体" w:cs="Times New Roman"/>
                <w:color w:val="auto"/>
                <w:kern w:val="0"/>
                <w:sz w:val="24"/>
                <w:szCs w:val="21"/>
              </w:rPr>
            </w:pPr>
            <w:r>
              <w:rPr>
                <w:rFonts w:hint="default" w:ascii="Times New Roman" w:hAnsi="Times New Roman" w:eastAsia="宋体" w:cs="Times New Roman"/>
                <w:color w:val="auto"/>
                <w:kern w:val="0"/>
                <w:sz w:val="24"/>
                <w:szCs w:val="21"/>
              </w:rPr>
              <w:t>屋面拉条表面普遍轻微锈蚀，16-17/B柱间支撑表面防腐涂层脱落。</w:t>
            </w:r>
          </w:p>
        </w:tc>
        <w:tc>
          <w:tcPr>
            <w:tcW w:w="755" w:type="dxa"/>
            <w:vAlign w:val="center"/>
          </w:tcPr>
          <w:p w14:paraId="6C95575D">
            <w:pPr>
              <w:autoSpaceDE w:val="0"/>
              <w:autoSpaceDN w:val="0"/>
              <w:adjustRightInd w:val="0"/>
              <w:spacing w:before="120" w:after="120" w:line="400" w:lineRule="exact"/>
              <w:jc w:val="center"/>
              <w:rPr>
                <w:rFonts w:hint="default" w:ascii="Times New Roman" w:hAnsi="Times New Roman" w:eastAsia="宋体" w:cs="Times New Roman"/>
                <w:color w:val="auto"/>
                <w:kern w:val="0"/>
                <w:sz w:val="24"/>
                <w:szCs w:val="21"/>
              </w:rPr>
            </w:pPr>
            <w:r>
              <w:rPr>
                <w:rFonts w:hint="default" w:ascii="Times New Roman" w:hAnsi="Times New Roman" w:eastAsia="宋体" w:cs="Times New Roman"/>
                <w:color w:val="auto"/>
                <w:kern w:val="0"/>
                <w:sz w:val="24"/>
                <w:szCs w:val="21"/>
              </w:rPr>
              <w:t>B</w:t>
            </w:r>
          </w:p>
        </w:tc>
        <w:tc>
          <w:tcPr>
            <w:tcW w:w="1705" w:type="dxa"/>
            <w:vMerge w:val="restart"/>
            <w:vAlign w:val="center"/>
          </w:tcPr>
          <w:p w14:paraId="69ABF972">
            <w:pPr>
              <w:autoSpaceDE w:val="0"/>
              <w:autoSpaceDN w:val="0"/>
              <w:adjustRightInd w:val="0"/>
              <w:spacing w:before="120" w:after="120" w:line="400" w:lineRule="exact"/>
              <w:jc w:val="center"/>
              <w:rPr>
                <w:rFonts w:hint="default" w:ascii="Times New Roman" w:hAnsi="Times New Roman" w:eastAsia="宋体" w:cs="Times New Roman"/>
                <w:color w:val="auto"/>
                <w:kern w:val="0"/>
                <w:sz w:val="24"/>
                <w:szCs w:val="21"/>
              </w:rPr>
            </w:pPr>
            <w:r>
              <w:rPr>
                <w:rFonts w:hint="default" w:ascii="Times New Roman" w:hAnsi="Times New Roman" w:eastAsia="宋体" w:cs="Times New Roman"/>
                <w:color w:val="auto"/>
                <w:kern w:val="0"/>
                <w:sz w:val="24"/>
                <w:szCs w:val="21"/>
              </w:rPr>
              <w:t>按7.4.2条原则，评定围护结构系统的使用性等级为B级</w:t>
            </w:r>
          </w:p>
        </w:tc>
      </w:tr>
      <w:tr w14:paraId="7B5BBA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245" w:type="dxa"/>
            <w:vMerge w:val="continue"/>
            <w:vAlign w:val="center"/>
          </w:tcPr>
          <w:p w14:paraId="0A244FB6">
            <w:pPr>
              <w:autoSpaceDE w:val="0"/>
              <w:autoSpaceDN w:val="0"/>
              <w:adjustRightInd w:val="0"/>
              <w:spacing w:before="120" w:after="120" w:line="400" w:lineRule="exact"/>
              <w:jc w:val="center"/>
              <w:rPr>
                <w:rFonts w:hint="default" w:ascii="Times New Roman" w:hAnsi="Times New Roman" w:eastAsia="宋体" w:cs="Times New Roman"/>
                <w:color w:val="auto"/>
                <w:kern w:val="0"/>
                <w:sz w:val="24"/>
                <w:szCs w:val="21"/>
              </w:rPr>
            </w:pPr>
          </w:p>
        </w:tc>
        <w:tc>
          <w:tcPr>
            <w:tcW w:w="1701" w:type="dxa"/>
            <w:vAlign w:val="center"/>
          </w:tcPr>
          <w:p w14:paraId="46214B16">
            <w:pPr>
              <w:autoSpaceDE w:val="0"/>
              <w:autoSpaceDN w:val="0"/>
              <w:adjustRightInd w:val="0"/>
              <w:spacing w:before="120" w:after="120" w:line="400" w:lineRule="exact"/>
              <w:jc w:val="center"/>
              <w:rPr>
                <w:rFonts w:hint="default" w:ascii="Times New Roman" w:hAnsi="Times New Roman" w:eastAsia="宋体" w:cs="Times New Roman"/>
                <w:color w:val="auto"/>
                <w:kern w:val="0"/>
                <w:sz w:val="24"/>
                <w:szCs w:val="21"/>
              </w:rPr>
            </w:pPr>
            <w:r>
              <w:rPr>
                <w:rFonts w:hint="default" w:ascii="Times New Roman" w:hAnsi="Times New Roman" w:eastAsia="宋体" w:cs="Times New Roman"/>
                <w:color w:val="auto"/>
                <w:kern w:val="0"/>
                <w:sz w:val="24"/>
                <w:szCs w:val="21"/>
              </w:rPr>
              <w:t>围护结构系统的使用功能</w:t>
            </w:r>
          </w:p>
        </w:tc>
        <w:tc>
          <w:tcPr>
            <w:tcW w:w="3116" w:type="dxa"/>
            <w:vAlign w:val="center"/>
          </w:tcPr>
          <w:p w14:paraId="3BDD4A70">
            <w:pPr>
              <w:autoSpaceDE w:val="0"/>
              <w:autoSpaceDN w:val="0"/>
              <w:adjustRightInd w:val="0"/>
              <w:spacing w:before="120" w:after="120" w:line="400" w:lineRule="exact"/>
              <w:jc w:val="center"/>
              <w:rPr>
                <w:rFonts w:hint="default" w:ascii="Times New Roman" w:hAnsi="Times New Roman" w:eastAsia="宋体" w:cs="Times New Roman"/>
                <w:color w:val="auto"/>
                <w:kern w:val="0"/>
                <w:sz w:val="24"/>
                <w:szCs w:val="21"/>
              </w:rPr>
            </w:pPr>
            <w:r>
              <w:rPr>
                <w:rFonts w:hint="default" w:ascii="Times New Roman" w:hAnsi="Times New Roman" w:eastAsia="宋体" w:cs="Times New Roman"/>
                <w:color w:val="auto"/>
                <w:kern w:val="0"/>
                <w:sz w:val="24"/>
                <w:szCs w:val="21"/>
              </w:rPr>
              <w:t>屋面拉条表面普遍轻微锈蚀，16-17/B柱间支撑表面防腐涂层脱落。</w:t>
            </w:r>
          </w:p>
        </w:tc>
        <w:tc>
          <w:tcPr>
            <w:tcW w:w="755" w:type="dxa"/>
            <w:vAlign w:val="center"/>
          </w:tcPr>
          <w:p w14:paraId="1C82E935">
            <w:pPr>
              <w:autoSpaceDE w:val="0"/>
              <w:autoSpaceDN w:val="0"/>
              <w:adjustRightInd w:val="0"/>
              <w:spacing w:before="120" w:after="120" w:line="400" w:lineRule="exact"/>
              <w:jc w:val="center"/>
              <w:rPr>
                <w:rFonts w:hint="default" w:ascii="Times New Roman" w:hAnsi="Times New Roman" w:eastAsia="宋体" w:cs="Times New Roman"/>
                <w:color w:val="auto"/>
                <w:kern w:val="0"/>
                <w:sz w:val="24"/>
                <w:szCs w:val="21"/>
              </w:rPr>
            </w:pPr>
            <w:r>
              <w:rPr>
                <w:rFonts w:hint="default" w:ascii="Times New Roman" w:hAnsi="Times New Roman" w:eastAsia="宋体" w:cs="Times New Roman"/>
                <w:color w:val="auto"/>
                <w:kern w:val="0"/>
                <w:sz w:val="24"/>
                <w:szCs w:val="21"/>
              </w:rPr>
              <w:t>B</w:t>
            </w:r>
          </w:p>
        </w:tc>
        <w:tc>
          <w:tcPr>
            <w:tcW w:w="1705" w:type="dxa"/>
            <w:vMerge w:val="continue"/>
            <w:vAlign w:val="center"/>
          </w:tcPr>
          <w:p w14:paraId="1462CA8A">
            <w:pPr>
              <w:autoSpaceDE w:val="0"/>
              <w:autoSpaceDN w:val="0"/>
              <w:adjustRightInd w:val="0"/>
              <w:spacing w:before="120" w:after="120" w:line="400" w:lineRule="exact"/>
              <w:jc w:val="center"/>
              <w:rPr>
                <w:rFonts w:hint="default" w:ascii="Times New Roman" w:hAnsi="Times New Roman" w:eastAsia="宋体" w:cs="Times New Roman"/>
                <w:color w:val="auto"/>
                <w:kern w:val="0"/>
                <w:sz w:val="24"/>
                <w:szCs w:val="21"/>
              </w:rPr>
            </w:pPr>
          </w:p>
        </w:tc>
      </w:tr>
    </w:tbl>
    <w:p w14:paraId="69F308B0">
      <w:pPr>
        <w:keepNext w:val="0"/>
        <w:keepLines w:val="0"/>
        <w:pageBreakBefore w:val="0"/>
        <w:widowControl w:val="0"/>
        <w:kinsoku/>
        <w:wordWrap/>
        <w:overflowPunct/>
        <w:topLinePunct w:val="0"/>
        <w:autoSpaceDE/>
        <w:autoSpaceDN/>
        <w:bidi w:val="0"/>
        <w:adjustRightInd/>
        <w:snapToGrid/>
        <w:spacing w:before="157" w:beforeLines="50" w:after="157" w:afterLines="50"/>
        <w:textAlignment w:val="auto"/>
        <w:rPr>
          <w:rFonts w:hint="default" w:ascii="Times New Roman" w:hAnsi="Times New Roman" w:cs="Times New Roman"/>
          <w:b/>
          <w:bCs/>
          <w:color w:val="auto"/>
          <w:sz w:val="28"/>
          <w:szCs w:val="28"/>
          <w:lang w:val="en-US" w:eastAsia="zh-CN"/>
        </w:rPr>
      </w:pPr>
      <w:bookmarkStart w:id="367" w:name="_Toc18703"/>
      <w:bookmarkStart w:id="368" w:name="_Toc93919450"/>
      <w:bookmarkStart w:id="369" w:name="_Toc82013319"/>
      <w:bookmarkStart w:id="370" w:name="_Toc102725860"/>
      <w:bookmarkStart w:id="371" w:name="_Toc105078971"/>
      <w:bookmarkStart w:id="372" w:name="_Toc141349654"/>
      <w:bookmarkStart w:id="373" w:name="_Toc92440415"/>
      <w:bookmarkStart w:id="374" w:name="_Toc93949088"/>
      <w:bookmarkStart w:id="375" w:name="_Toc93756726"/>
      <w:bookmarkStart w:id="376" w:name="_Toc91854098"/>
      <w:bookmarkStart w:id="377" w:name="_Toc93867322"/>
      <w:bookmarkStart w:id="378" w:name="_Toc89760182"/>
      <w:bookmarkStart w:id="379" w:name="_Toc93948763"/>
      <w:bookmarkStart w:id="380" w:name="_Toc141257799"/>
      <w:bookmarkStart w:id="381" w:name="_Toc141107575"/>
      <w:bookmarkStart w:id="382" w:name="_Toc89760968"/>
      <w:bookmarkStart w:id="383" w:name="_Toc93755628"/>
      <w:bookmarkStart w:id="384" w:name="_Toc89760441"/>
      <w:bookmarkStart w:id="385" w:name="_Toc141107165"/>
      <w:bookmarkStart w:id="386" w:name="_Toc102744914"/>
      <w:bookmarkStart w:id="387" w:name="_Toc10267"/>
      <w:r>
        <w:rPr>
          <w:rFonts w:hint="default" w:ascii="Times New Roman" w:hAnsi="Times New Roman" w:cs="Times New Roman"/>
          <w:b/>
          <w:bCs/>
          <w:color w:val="auto"/>
          <w:sz w:val="28"/>
          <w:szCs w:val="28"/>
          <w:lang w:val="en-US" w:eastAsia="zh-CN"/>
        </w:rPr>
        <w:t>6.2.3鉴定单元使用性评定</w:t>
      </w:r>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p>
    <w:p w14:paraId="2862625B">
      <w:pPr>
        <w:autoSpaceDE w:val="0"/>
        <w:autoSpaceDN w:val="0"/>
        <w:adjustRightInd w:val="0"/>
        <w:spacing w:before="0" w:after="0" w:line="360" w:lineRule="auto"/>
        <w:ind w:firstLine="480" w:firstLineChars="200"/>
        <w:jc w:val="left"/>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根据结构系统使用性鉴定评级结果，依据《工业建筑可靠性鉴定标准》（GB 50144-2019）8.0.3节评</w:t>
      </w:r>
      <w:r>
        <w:rPr>
          <w:rFonts w:hint="default" w:ascii="Times New Roman" w:hAnsi="Times New Roman" w:eastAsia="宋体" w:cs="Times New Roman"/>
          <w:color w:val="auto"/>
          <w:sz w:val="24"/>
          <w:szCs w:val="24"/>
        </w:rPr>
        <w:t>定</w:t>
      </w:r>
      <w:r>
        <w:rPr>
          <w:rFonts w:hint="default" w:ascii="Times New Roman" w:hAnsi="Times New Roman" w:eastAsia="宋体" w:cs="Times New Roman"/>
          <w:color w:val="auto"/>
          <w:kern w:val="0"/>
          <w:sz w:val="24"/>
          <w:szCs w:val="24"/>
        </w:rPr>
        <w:t>）的相关规定，评定该楼鉴定单元的使用性等级，详见表6.2.3.1。</w:t>
      </w:r>
    </w:p>
    <w:p w14:paraId="74274521">
      <w:pPr>
        <w:spacing w:before="0" w:after="0" w:line="240" w:lineRule="auto"/>
        <w:ind w:right="2" w:rightChars="1" w:firstLine="422" w:firstLineChars="20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表6.2.3.1 鉴定单元使用性鉴定评级</w:t>
      </w:r>
    </w:p>
    <w:tbl>
      <w:tblPr>
        <w:tblStyle w:val="22"/>
        <w:tblW w:w="85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14:paraId="2B5764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2840" w:type="dxa"/>
            <w:vAlign w:val="center"/>
          </w:tcPr>
          <w:p w14:paraId="45E8ADE0">
            <w:pPr>
              <w:autoSpaceDE w:val="0"/>
              <w:autoSpaceDN w:val="0"/>
              <w:adjustRightInd w:val="0"/>
              <w:spacing w:before="0" w:after="0" w:line="400" w:lineRule="exact"/>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结构系统</w:t>
            </w:r>
          </w:p>
        </w:tc>
        <w:tc>
          <w:tcPr>
            <w:tcW w:w="2841" w:type="dxa"/>
            <w:vAlign w:val="center"/>
          </w:tcPr>
          <w:p w14:paraId="6794E4BA">
            <w:pPr>
              <w:autoSpaceDE w:val="0"/>
              <w:autoSpaceDN w:val="0"/>
              <w:adjustRightInd w:val="0"/>
              <w:spacing w:before="0" w:after="0" w:line="400" w:lineRule="exact"/>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鉴定评级</w:t>
            </w:r>
          </w:p>
        </w:tc>
        <w:tc>
          <w:tcPr>
            <w:tcW w:w="2841" w:type="dxa"/>
            <w:vAlign w:val="center"/>
          </w:tcPr>
          <w:p w14:paraId="10E39AA1">
            <w:pPr>
              <w:autoSpaceDE w:val="0"/>
              <w:autoSpaceDN w:val="0"/>
              <w:adjustRightInd w:val="0"/>
              <w:spacing w:before="0" w:after="0" w:line="400" w:lineRule="exact"/>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鉴定单元评级</w:t>
            </w:r>
          </w:p>
        </w:tc>
      </w:tr>
      <w:tr w14:paraId="46481B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40" w:type="dxa"/>
            <w:vAlign w:val="center"/>
          </w:tcPr>
          <w:p w14:paraId="1D223B72">
            <w:pPr>
              <w:autoSpaceDE w:val="0"/>
              <w:autoSpaceDN w:val="0"/>
              <w:adjustRightInd w:val="0"/>
              <w:spacing w:before="0" w:after="0" w:line="4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地基基础</w:t>
            </w:r>
          </w:p>
        </w:tc>
        <w:tc>
          <w:tcPr>
            <w:tcW w:w="2841" w:type="dxa"/>
            <w:vAlign w:val="center"/>
          </w:tcPr>
          <w:p w14:paraId="213C90EA">
            <w:pPr>
              <w:autoSpaceDE w:val="0"/>
              <w:autoSpaceDN w:val="0"/>
              <w:adjustRightInd w:val="0"/>
              <w:spacing w:before="120" w:after="120" w:line="400" w:lineRule="exact"/>
              <w:jc w:val="center"/>
              <w:rPr>
                <w:rFonts w:hint="default" w:ascii="Times New Roman" w:hAnsi="Times New Roman" w:eastAsia="宋体" w:cs="Times New Roman"/>
                <w:color w:val="auto"/>
                <w:kern w:val="0"/>
                <w:sz w:val="24"/>
                <w:szCs w:val="21"/>
              </w:rPr>
            </w:pPr>
            <w:r>
              <w:rPr>
                <w:rFonts w:hint="default" w:ascii="Times New Roman" w:hAnsi="Times New Roman" w:eastAsia="宋体" w:cs="Times New Roman"/>
                <w:color w:val="auto"/>
                <w:kern w:val="0"/>
                <w:sz w:val="24"/>
                <w:szCs w:val="21"/>
              </w:rPr>
              <w:t>A</w:t>
            </w:r>
          </w:p>
        </w:tc>
        <w:tc>
          <w:tcPr>
            <w:tcW w:w="2841" w:type="dxa"/>
            <w:vMerge w:val="restart"/>
            <w:vAlign w:val="center"/>
          </w:tcPr>
          <w:p w14:paraId="436E3C67">
            <w:pPr>
              <w:autoSpaceDE w:val="0"/>
              <w:autoSpaceDN w:val="0"/>
              <w:adjustRightInd w:val="0"/>
              <w:spacing w:before="120" w:after="120" w:line="400" w:lineRule="exact"/>
              <w:rPr>
                <w:rFonts w:hint="default" w:ascii="Times New Roman" w:hAnsi="Times New Roman" w:eastAsia="宋体" w:cs="Times New Roman"/>
                <w:color w:val="auto"/>
                <w:kern w:val="0"/>
                <w:sz w:val="24"/>
                <w:szCs w:val="21"/>
              </w:rPr>
            </w:pPr>
            <w:r>
              <w:rPr>
                <w:rFonts w:hint="default" w:ascii="Times New Roman" w:hAnsi="Times New Roman" w:eastAsia="宋体" w:cs="Times New Roman"/>
                <w:color w:val="auto"/>
                <w:kern w:val="0"/>
                <w:sz w:val="21"/>
                <w:szCs w:val="21"/>
              </w:rPr>
              <w:t>按8.0.3节鉴定单元使用性评级原则，评定使用性等级为二级。</w:t>
            </w:r>
          </w:p>
        </w:tc>
      </w:tr>
      <w:tr w14:paraId="606F55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40" w:type="dxa"/>
            <w:vAlign w:val="center"/>
          </w:tcPr>
          <w:p w14:paraId="4FAD6D8F">
            <w:pPr>
              <w:autoSpaceDE w:val="0"/>
              <w:autoSpaceDN w:val="0"/>
              <w:adjustRightInd w:val="0"/>
              <w:spacing w:before="0" w:after="0" w:line="4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上部承重结构</w:t>
            </w:r>
          </w:p>
        </w:tc>
        <w:tc>
          <w:tcPr>
            <w:tcW w:w="2841" w:type="dxa"/>
          </w:tcPr>
          <w:p w14:paraId="71F117F2">
            <w:pPr>
              <w:autoSpaceDE w:val="0"/>
              <w:autoSpaceDN w:val="0"/>
              <w:adjustRightInd w:val="0"/>
              <w:spacing w:before="120" w:after="120" w:line="400" w:lineRule="exact"/>
              <w:jc w:val="center"/>
              <w:rPr>
                <w:rFonts w:hint="default" w:ascii="Times New Roman" w:hAnsi="Times New Roman" w:eastAsia="宋体" w:cs="Times New Roman"/>
                <w:color w:val="auto"/>
                <w:kern w:val="0"/>
                <w:sz w:val="24"/>
                <w:szCs w:val="21"/>
              </w:rPr>
            </w:pPr>
            <w:r>
              <w:rPr>
                <w:rFonts w:hint="default" w:ascii="Times New Roman" w:hAnsi="Times New Roman" w:eastAsia="宋体" w:cs="Times New Roman"/>
                <w:color w:val="auto"/>
                <w:kern w:val="0"/>
                <w:sz w:val="24"/>
                <w:szCs w:val="21"/>
              </w:rPr>
              <w:t>B</w:t>
            </w:r>
          </w:p>
        </w:tc>
        <w:tc>
          <w:tcPr>
            <w:tcW w:w="2841" w:type="dxa"/>
            <w:vMerge w:val="continue"/>
          </w:tcPr>
          <w:p w14:paraId="134CF560">
            <w:pPr>
              <w:autoSpaceDE w:val="0"/>
              <w:autoSpaceDN w:val="0"/>
              <w:adjustRightInd w:val="0"/>
              <w:spacing w:before="120" w:after="120" w:line="400" w:lineRule="exact"/>
              <w:jc w:val="left"/>
              <w:rPr>
                <w:rFonts w:hint="default" w:ascii="Times New Roman" w:hAnsi="Times New Roman" w:eastAsia="宋体" w:cs="Times New Roman"/>
                <w:color w:val="auto"/>
                <w:kern w:val="0"/>
                <w:sz w:val="24"/>
                <w:szCs w:val="21"/>
              </w:rPr>
            </w:pPr>
          </w:p>
        </w:tc>
      </w:tr>
      <w:tr w14:paraId="6ADAD2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40" w:type="dxa"/>
            <w:vAlign w:val="center"/>
          </w:tcPr>
          <w:p w14:paraId="59D00974">
            <w:pPr>
              <w:autoSpaceDE w:val="0"/>
              <w:autoSpaceDN w:val="0"/>
              <w:adjustRightInd w:val="0"/>
              <w:spacing w:before="0" w:after="0" w:line="4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围护结构系统</w:t>
            </w:r>
          </w:p>
        </w:tc>
        <w:tc>
          <w:tcPr>
            <w:tcW w:w="2841" w:type="dxa"/>
            <w:vAlign w:val="center"/>
          </w:tcPr>
          <w:p w14:paraId="27CBE0EE">
            <w:pPr>
              <w:autoSpaceDE w:val="0"/>
              <w:autoSpaceDN w:val="0"/>
              <w:adjustRightInd w:val="0"/>
              <w:spacing w:before="120" w:after="120" w:line="400" w:lineRule="exact"/>
              <w:jc w:val="center"/>
              <w:rPr>
                <w:rFonts w:hint="default" w:ascii="Times New Roman" w:hAnsi="Times New Roman" w:eastAsia="宋体" w:cs="Times New Roman"/>
                <w:color w:val="auto"/>
                <w:kern w:val="0"/>
                <w:sz w:val="24"/>
                <w:szCs w:val="21"/>
              </w:rPr>
            </w:pPr>
            <w:r>
              <w:rPr>
                <w:rFonts w:hint="default" w:ascii="Times New Roman" w:hAnsi="Times New Roman" w:eastAsia="宋体" w:cs="Times New Roman"/>
                <w:color w:val="auto"/>
                <w:kern w:val="0"/>
                <w:sz w:val="24"/>
                <w:szCs w:val="21"/>
              </w:rPr>
              <w:t>B</w:t>
            </w:r>
          </w:p>
        </w:tc>
        <w:tc>
          <w:tcPr>
            <w:tcW w:w="2841" w:type="dxa"/>
            <w:vMerge w:val="continue"/>
          </w:tcPr>
          <w:p w14:paraId="51B33ED9">
            <w:pPr>
              <w:autoSpaceDE w:val="0"/>
              <w:autoSpaceDN w:val="0"/>
              <w:adjustRightInd w:val="0"/>
              <w:spacing w:before="120" w:after="120" w:line="400" w:lineRule="exact"/>
              <w:jc w:val="left"/>
              <w:rPr>
                <w:rFonts w:hint="default" w:ascii="Times New Roman" w:hAnsi="Times New Roman" w:eastAsia="宋体" w:cs="Times New Roman"/>
                <w:color w:val="auto"/>
                <w:kern w:val="0"/>
                <w:sz w:val="24"/>
                <w:szCs w:val="21"/>
              </w:rPr>
            </w:pPr>
          </w:p>
        </w:tc>
      </w:tr>
      <w:bookmarkEnd w:id="387"/>
    </w:tbl>
    <w:p w14:paraId="0474EC5D">
      <w:pPr>
        <w:keepNext w:val="0"/>
        <w:keepLines w:val="0"/>
        <w:pageBreakBefore w:val="0"/>
        <w:widowControl w:val="0"/>
        <w:kinsoku/>
        <w:wordWrap/>
        <w:overflowPunct/>
        <w:topLinePunct w:val="0"/>
        <w:autoSpaceDE/>
        <w:autoSpaceDN/>
        <w:bidi w:val="0"/>
        <w:adjustRightInd/>
        <w:snapToGrid/>
        <w:spacing w:before="157" w:beforeLines="50" w:after="157" w:afterLines="50"/>
        <w:textAlignment w:val="auto"/>
        <w:rPr>
          <w:rFonts w:hint="default" w:ascii="Times New Roman" w:hAnsi="Times New Roman" w:cs="Times New Roman"/>
          <w:b/>
          <w:bCs/>
          <w:color w:val="auto"/>
          <w:sz w:val="30"/>
          <w:szCs w:val="30"/>
          <w:lang w:val="en-US" w:eastAsia="zh-CN"/>
        </w:rPr>
      </w:pPr>
      <w:bookmarkStart w:id="388" w:name="_Toc29068"/>
      <w:bookmarkStart w:id="389" w:name="_Toc82013320"/>
      <w:bookmarkStart w:id="390" w:name="_Toc21215"/>
      <w:bookmarkStart w:id="391" w:name="_Toc105078972"/>
      <w:r>
        <w:rPr>
          <w:rFonts w:hint="default" w:ascii="Times New Roman" w:hAnsi="Times New Roman" w:cs="Times New Roman"/>
          <w:b/>
          <w:bCs/>
          <w:color w:val="auto"/>
          <w:sz w:val="30"/>
          <w:szCs w:val="30"/>
          <w:lang w:val="en-US" w:eastAsia="zh-CN"/>
        </w:rPr>
        <w:t>6.3可靠性</w:t>
      </w:r>
      <w:bookmarkEnd w:id="388"/>
      <w:bookmarkEnd w:id="389"/>
      <w:r>
        <w:rPr>
          <w:rFonts w:hint="default" w:ascii="Times New Roman" w:hAnsi="Times New Roman" w:cs="Times New Roman"/>
          <w:b/>
          <w:bCs/>
          <w:color w:val="auto"/>
          <w:sz w:val="30"/>
          <w:szCs w:val="30"/>
          <w:lang w:val="en-US" w:eastAsia="zh-CN"/>
        </w:rPr>
        <w:t>评级</w:t>
      </w:r>
      <w:bookmarkEnd w:id="390"/>
      <w:bookmarkEnd w:id="391"/>
    </w:p>
    <w:p w14:paraId="0907E7B1">
      <w:pPr>
        <w:autoSpaceDE w:val="0"/>
        <w:autoSpaceDN w:val="0"/>
        <w:adjustRightInd w:val="0"/>
        <w:spacing w:before="0" w:after="0" w:line="360" w:lineRule="auto"/>
        <w:ind w:firstLine="480" w:firstLineChars="200"/>
        <w:jc w:val="left"/>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该建筑结构可靠性鉴定采用分级多层次的方法综合评级。</w:t>
      </w:r>
    </w:p>
    <w:p w14:paraId="1B23B43C">
      <w:pPr>
        <w:keepNext w:val="0"/>
        <w:keepLines w:val="0"/>
        <w:pageBreakBefore w:val="0"/>
        <w:widowControl w:val="0"/>
        <w:kinsoku/>
        <w:wordWrap/>
        <w:overflowPunct/>
        <w:topLinePunct w:val="0"/>
        <w:autoSpaceDE/>
        <w:autoSpaceDN/>
        <w:bidi w:val="0"/>
        <w:adjustRightInd/>
        <w:snapToGrid/>
        <w:spacing w:before="157" w:beforeLines="50" w:after="157" w:afterLines="50"/>
        <w:textAlignment w:val="auto"/>
        <w:rPr>
          <w:rFonts w:hint="default" w:ascii="Times New Roman" w:hAnsi="Times New Roman" w:cs="Times New Roman"/>
          <w:b/>
          <w:bCs/>
          <w:color w:val="auto"/>
          <w:sz w:val="28"/>
          <w:szCs w:val="28"/>
          <w:lang w:val="en-US" w:eastAsia="zh-CN"/>
        </w:rPr>
      </w:pPr>
      <w:bookmarkStart w:id="392" w:name="_Toc2026"/>
      <w:bookmarkStart w:id="393" w:name="_Toc89760970"/>
      <w:bookmarkStart w:id="394" w:name="_Toc141107577"/>
      <w:bookmarkStart w:id="395" w:name="_Toc141257801"/>
      <w:bookmarkStart w:id="396" w:name="_Toc93867324"/>
      <w:bookmarkStart w:id="397" w:name="_Toc82013321"/>
      <w:bookmarkStart w:id="398" w:name="_Toc93919452"/>
      <w:bookmarkStart w:id="399" w:name="_Toc93755630"/>
      <w:bookmarkStart w:id="400" w:name="_Toc93756728"/>
      <w:bookmarkStart w:id="401" w:name="_Toc5790"/>
      <w:bookmarkStart w:id="402" w:name="_Toc89760184"/>
      <w:bookmarkStart w:id="403" w:name="_Toc102725862"/>
      <w:bookmarkStart w:id="404" w:name="_Toc141349656"/>
      <w:bookmarkStart w:id="405" w:name="_Toc92440417"/>
      <w:bookmarkStart w:id="406" w:name="_Toc102744916"/>
      <w:bookmarkStart w:id="407" w:name="_Toc89760443"/>
      <w:bookmarkStart w:id="408" w:name="_Toc91854100"/>
      <w:bookmarkStart w:id="409" w:name="_Toc93949090"/>
      <w:bookmarkStart w:id="410" w:name="_Toc105078973"/>
      <w:bookmarkStart w:id="411" w:name="_Toc141107167"/>
      <w:bookmarkStart w:id="412" w:name="_Toc93948765"/>
      <w:r>
        <w:rPr>
          <w:rFonts w:hint="default" w:ascii="Times New Roman" w:hAnsi="Times New Roman" w:cs="Times New Roman"/>
          <w:b/>
          <w:bCs/>
          <w:color w:val="auto"/>
          <w:sz w:val="28"/>
          <w:szCs w:val="28"/>
          <w:lang w:val="en-US" w:eastAsia="zh-CN"/>
        </w:rPr>
        <w:t>6.3.1鉴定单元可靠性评定</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 w14:paraId="24B93719">
      <w:pPr>
        <w:keepNext w:val="0"/>
        <w:keepLines w:val="0"/>
        <w:pageBreakBefore w:val="0"/>
        <w:widowControl w:val="0"/>
        <w:kinsoku/>
        <w:wordWrap/>
        <w:overflowPunct/>
        <w:topLinePunct w:val="0"/>
        <w:autoSpaceDE/>
        <w:autoSpaceDN/>
        <w:bidi w:val="0"/>
        <w:adjustRightInd/>
        <w:snapToGrid/>
        <w:spacing w:before="120" w:after="120" w:line="360" w:lineRule="auto"/>
        <w:ind w:firstLine="480" w:firstLineChars="200"/>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lang w:eastAsia="zh-CN"/>
        </w:rPr>
        <w:t>xxx</w:t>
      </w:r>
      <w:r>
        <w:rPr>
          <w:rFonts w:hint="default" w:ascii="Times New Roman" w:hAnsi="Times New Roman" w:eastAsia="宋体" w:cs="Times New Roman"/>
          <w:color w:val="auto"/>
          <w:sz w:val="24"/>
          <w:szCs w:val="24"/>
        </w:rPr>
        <w:t>车间</w:t>
      </w:r>
      <w:r>
        <w:rPr>
          <w:rFonts w:hint="default" w:ascii="Times New Roman" w:hAnsi="Times New Roman" w:eastAsia="宋体" w:cs="Times New Roman"/>
          <w:color w:val="auto"/>
          <w:kern w:val="0"/>
          <w:sz w:val="24"/>
          <w:szCs w:val="24"/>
        </w:rPr>
        <w:t>按《工业建筑可靠性鉴定标准》（GB 50144-2019）8.0.2节鉴定单元安全性评级原则，评定安全性等级为一级，按 《工业建筑可靠性鉴定标准》（GB50144-2019）8.0.3节鉴定单元使用性评级原则，评定使用性等级为二级，</w:t>
      </w:r>
      <w:r>
        <w:rPr>
          <w:rFonts w:hint="default" w:ascii="Times New Roman" w:hAnsi="Times New Roman" w:eastAsia="宋体" w:cs="Times New Roman"/>
          <w:b/>
          <w:color w:val="auto"/>
          <w:kern w:val="0"/>
          <w:sz w:val="24"/>
          <w:szCs w:val="24"/>
        </w:rPr>
        <w:t>综合评定鉴定单元可靠性等级为一级，即符合国家现行标准的可靠性要求，不影响整体安全，可正常使用</w:t>
      </w:r>
      <w:r>
        <w:rPr>
          <w:rFonts w:hint="default" w:ascii="Times New Roman" w:hAnsi="Times New Roman" w:eastAsia="宋体" w:cs="Times New Roman"/>
          <w:color w:val="auto"/>
          <w:kern w:val="0"/>
          <w:sz w:val="24"/>
          <w:szCs w:val="24"/>
        </w:rPr>
        <w:t>。</w:t>
      </w:r>
    </w:p>
    <w:p w14:paraId="77325AE5">
      <w:pPr>
        <w:keepNext w:val="0"/>
        <w:keepLines w:val="0"/>
        <w:pageBreakBefore w:val="0"/>
        <w:widowControl w:val="0"/>
        <w:kinsoku/>
        <w:wordWrap/>
        <w:overflowPunct/>
        <w:topLinePunct w:val="0"/>
        <w:autoSpaceDE/>
        <w:autoSpaceDN/>
        <w:bidi w:val="0"/>
        <w:adjustRightInd/>
        <w:snapToGrid/>
        <w:spacing w:before="313" w:beforeLines="100" w:after="313" w:afterLines="100" w:line="360" w:lineRule="auto"/>
        <w:jc w:val="center"/>
        <w:textAlignment w:val="auto"/>
        <w:rPr>
          <w:rFonts w:hint="default"/>
          <w:b/>
          <w:bCs/>
          <w:color w:val="auto"/>
          <w:sz w:val="32"/>
          <w:szCs w:val="32"/>
          <w:lang w:val="en-US" w:eastAsia="zh-CN"/>
        </w:rPr>
      </w:pPr>
      <w:bookmarkStart w:id="413" w:name="_Toc5997"/>
      <w:bookmarkStart w:id="414" w:name="_Toc11528"/>
      <w:bookmarkStart w:id="415" w:name="_Toc17465"/>
      <w:r>
        <w:rPr>
          <w:rFonts w:hint="default"/>
          <w:b/>
          <w:bCs/>
          <w:color w:val="auto"/>
          <w:sz w:val="32"/>
          <w:szCs w:val="32"/>
          <w:lang w:val="en-US" w:eastAsia="zh-CN"/>
        </w:rPr>
        <w:t>七、结构抗震鉴定</w:t>
      </w:r>
      <w:bookmarkEnd w:id="413"/>
      <w:bookmarkEnd w:id="414"/>
      <w:bookmarkEnd w:id="415"/>
    </w:p>
    <w:p w14:paraId="31BBB98B">
      <w:pPr>
        <w:spacing w:before="120" w:after="120" w:line="360" w:lineRule="auto"/>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本次鉴定依据</w:t>
      </w:r>
      <w:r>
        <w:rPr>
          <w:rFonts w:hint="default" w:ascii="Times New Roman" w:hAnsi="Times New Roman" w:eastAsia="宋体" w:cs="Times New Roman"/>
          <w:color w:val="auto"/>
          <w:sz w:val="24"/>
          <w:szCs w:val="24"/>
        </w:rPr>
        <w:t>《既有建筑鉴定与加固通用规范》(GB 55021-2021)、</w:t>
      </w:r>
      <w:r>
        <w:rPr>
          <w:rFonts w:hint="default" w:ascii="Times New Roman" w:hAnsi="Times New Roman" w:eastAsia="宋体" w:cs="Times New Roman"/>
          <w:color w:val="auto"/>
          <w:kern w:val="0"/>
          <w:sz w:val="24"/>
          <w:szCs w:val="24"/>
        </w:rPr>
        <w:t>《建筑工程抗震设防分类标准》（GB50223-2008）、</w:t>
      </w:r>
      <w:r>
        <w:rPr>
          <w:rFonts w:hint="default" w:ascii="Times New Roman" w:hAnsi="Times New Roman" w:eastAsia="宋体" w:cs="Times New Roman"/>
          <w:color w:val="auto"/>
          <w:sz w:val="24"/>
          <w:szCs w:val="24"/>
        </w:rPr>
        <w:t>《建筑抗震设计规范》（GB50011-2010）（2016年版）</w:t>
      </w:r>
      <w:r>
        <w:rPr>
          <w:rFonts w:hint="default" w:ascii="Times New Roman" w:hAnsi="Times New Roman" w:eastAsia="宋体" w:cs="Times New Roman"/>
          <w:color w:val="auto"/>
          <w:kern w:val="0"/>
          <w:sz w:val="24"/>
          <w:szCs w:val="24"/>
        </w:rPr>
        <w:t>和《建筑抗震鉴定标准》（</w:t>
      </w:r>
      <w:r>
        <w:rPr>
          <w:rFonts w:hint="eastAsia" w:ascii="Times New Roman" w:hAnsi="Times New Roman" w:eastAsia="宋体" w:cs="Times New Roman"/>
          <w:color w:val="auto"/>
          <w:kern w:val="0"/>
          <w:sz w:val="24"/>
          <w:szCs w:val="24"/>
          <w:lang w:eastAsia="zh-CN"/>
        </w:rPr>
        <w:t>GB5003-2009</w:t>
      </w:r>
      <w:r>
        <w:rPr>
          <w:rFonts w:hint="default" w:ascii="Times New Roman" w:hAnsi="Times New Roman" w:eastAsia="宋体" w:cs="Times New Roman"/>
          <w:color w:val="auto"/>
          <w:kern w:val="0"/>
          <w:sz w:val="24"/>
          <w:szCs w:val="24"/>
        </w:rPr>
        <w:t>）的相关规定进行。</w:t>
      </w:r>
    </w:p>
    <w:p w14:paraId="5EDF3AC7">
      <w:pPr>
        <w:spacing w:before="120" w:after="120" w:line="360" w:lineRule="auto"/>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根据原结构设计图纸说明和《建筑工程抗震设防分类标准》（GB50223-2008）相关规定，</w:t>
      </w:r>
      <w:r>
        <w:rPr>
          <w:rFonts w:hint="default" w:ascii="Times New Roman" w:hAnsi="Times New Roman" w:eastAsia="宋体" w:cs="Times New Roman"/>
          <w:color w:val="auto"/>
          <w:kern w:val="0"/>
          <w:sz w:val="24"/>
          <w:szCs w:val="24"/>
          <w:lang w:eastAsia="zh-CN"/>
        </w:rPr>
        <w:t>xxx</w:t>
      </w:r>
      <w:r>
        <w:rPr>
          <w:rFonts w:hint="default" w:ascii="Times New Roman" w:hAnsi="Times New Roman" w:eastAsia="宋体" w:cs="Times New Roman"/>
          <w:color w:val="auto"/>
          <w:kern w:val="0"/>
          <w:sz w:val="24"/>
          <w:szCs w:val="24"/>
        </w:rPr>
        <w:t>车间</w:t>
      </w:r>
      <w:r>
        <w:rPr>
          <w:rFonts w:hint="default" w:ascii="Times New Roman" w:hAnsi="Times New Roman" w:eastAsia="宋体" w:cs="Times New Roman"/>
          <w:color w:val="auto"/>
          <w:sz w:val="24"/>
          <w:szCs w:val="24"/>
        </w:rPr>
        <w:t>抗震设防类别为标准设防类（丙类）。根据现行国家标准《建筑抗震设计规范》（GB50011-2010）（2016年版）附录A.0.17表相关规定，湖北省</w:t>
      </w:r>
      <w:r>
        <w:rPr>
          <w:rFonts w:hint="default" w:ascii="Times New Roman" w:hAnsi="Times New Roman" w:eastAsia="宋体" w:cs="Times New Roman"/>
          <w:color w:val="auto"/>
          <w:sz w:val="24"/>
          <w:szCs w:val="24"/>
          <w:lang w:val="en-US" w:eastAsia="zh-CN"/>
        </w:rPr>
        <w:t>xx</w:t>
      </w:r>
      <w:r>
        <w:rPr>
          <w:rFonts w:hint="default" w:ascii="Times New Roman" w:hAnsi="Times New Roman" w:eastAsia="宋体" w:cs="Times New Roman"/>
          <w:color w:val="auto"/>
          <w:sz w:val="24"/>
          <w:szCs w:val="24"/>
        </w:rPr>
        <w:t>市的抗震设防烈度为6度，设计地震基本加速度0.05g，设计地震分组第一组，工程场地土类别II类</w:t>
      </w:r>
      <w:r>
        <w:rPr>
          <w:rFonts w:hint="default" w:ascii="Times New Roman" w:hAnsi="Times New Roman" w:eastAsia="宋体" w:cs="Times New Roman"/>
          <w:color w:val="auto"/>
          <w:kern w:val="0"/>
          <w:sz w:val="24"/>
          <w:szCs w:val="24"/>
        </w:rPr>
        <w:t>。丙类（标准设防类）应按本地区抗震设防烈度确定</w:t>
      </w:r>
      <w:r>
        <w:rPr>
          <w:rFonts w:hint="default" w:ascii="Times New Roman" w:hAnsi="Times New Roman" w:eastAsia="宋体" w:cs="Times New Roman"/>
          <w:color w:val="auto"/>
          <w:sz w:val="24"/>
          <w:szCs w:val="24"/>
        </w:rPr>
        <w:t>其抗震措施和地震作用。</w:t>
      </w:r>
    </w:p>
    <w:p w14:paraId="4E75B507">
      <w:pPr>
        <w:spacing w:before="120" w:after="120"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eastAsia="zh-CN"/>
        </w:rPr>
        <w:t>xxx</w:t>
      </w:r>
      <w:r>
        <w:rPr>
          <w:rFonts w:hint="default" w:ascii="Times New Roman" w:hAnsi="Times New Roman" w:eastAsia="宋体" w:cs="Times New Roman"/>
          <w:color w:val="auto"/>
          <w:kern w:val="0"/>
          <w:sz w:val="24"/>
          <w:szCs w:val="24"/>
        </w:rPr>
        <w:t>车间建成于2016年左右，据《建筑抗震鉴定标准》（</w:t>
      </w:r>
      <w:r>
        <w:rPr>
          <w:rFonts w:hint="eastAsia" w:ascii="Times New Roman" w:hAnsi="Times New Roman" w:eastAsia="宋体" w:cs="Times New Roman"/>
          <w:color w:val="auto"/>
          <w:kern w:val="0"/>
          <w:sz w:val="24"/>
          <w:szCs w:val="24"/>
          <w:lang w:eastAsia="zh-CN"/>
        </w:rPr>
        <w:t>GB5003-2009</w:t>
      </w:r>
      <w:r>
        <w:rPr>
          <w:rFonts w:hint="default" w:ascii="Times New Roman" w:hAnsi="Times New Roman" w:eastAsia="宋体" w:cs="Times New Roman"/>
          <w:color w:val="auto"/>
          <w:kern w:val="0"/>
          <w:sz w:val="24"/>
          <w:szCs w:val="24"/>
        </w:rPr>
        <w:t>）第1.0.4条规定，在2001年以后（按当时施行的抗震设计规范系列设计）建造的现有建筑，后续使用年限宜采用50年，采用C类建筑的抗震鉴定方法，即按《建筑抗震设计规范》</w:t>
      </w:r>
      <w:r>
        <w:rPr>
          <w:rFonts w:hint="default" w:ascii="Times New Roman" w:hAnsi="Times New Roman" w:eastAsia="宋体" w:cs="Times New Roman"/>
          <w:color w:val="auto"/>
          <w:kern w:val="0"/>
          <w:sz w:val="24"/>
          <w:szCs w:val="24"/>
          <w:lang w:eastAsia="zh-CN"/>
        </w:rPr>
        <w:t>（GB/T50011-2010）</w:t>
      </w:r>
      <w:r>
        <w:rPr>
          <w:rFonts w:hint="default" w:ascii="Times New Roman" w:hAnsi="Times New Roman" w:eastAsia="宋体" w:cs="Times New Roman"/>
          <w:color w:val="auto"/>
          <w:kern w:val="0"/>
          <w:sz w:val="24"/>
          <w:szCs w:val="24"/>
        </w:rPr>
        <w:t>进行抗震鉴定。</w:t>
      </w:r>
    </w:p>
    <w:p w14:paraId="028A514F">
      <w:pPr>
        <w:keepNext w:val="0"/>
        <w:keepLines w:val="0"/>
        <w:pageBreakBefore w:val="0"/>
        <w:widowControl w:val="0"/>
        <w:kinsoku/>
        <w:wordWrap/>
        <w:overflowPunct/>
        <w:topLinePunct w:val="0"/>
        <w:autoSpaceDE/>
        <w:autoSpaceDN/>
        <w:bidi w:val="0"/>
        <w:adjustRightInd/>
        <w:snapToGrid/>
        <w:spacing w:before="157" w:beforeLines="50" w:after="157" w:afterLines="50"/>
        <w:textAlignment w:val="auto"/>
        <w:rPr>
          <w:rFonts w:hint="default" w:ascii="Times New Roman" w:hAnsi="Times New Roman" w:cs="Times New Roman"/>
          <w:b/>
          <w:bCs/>
          <w:color w:val="auto"/>
          <w:sz w:val="30"/>
          <w:szCs w:val="30"/>
          <w:lang w:val="en-US" w:eastAsia="zh-CN"/>
        </w:rPr>
      </w:pPr>
      <w:bookmarkStart w:id="416" w:name="_Toc250535378"/>
      <w:bookmarkStart w:id="417" w:name="_Toc248482545"/>
      <w:bookmarkStart w:id="418" w:name="_Toc15936"/>
      <w:bookmarkStart w:id="419" w:name="_Toc250625325"/>
      <w:bookmarkStart w:id="420" w:name="_Toc476777736"/>
      <w:bookmarkStart w:id="421" w:name="_Toc249717338"/>
      <w:bookmarkStart w:id="422" w:name="_Toc245804552"/>
      <w:bookmarkStart w:id="423" w:name="_Toc68269985"/>
      <w:bookmarkStart w:id="424" w:name="_Toc32225"/>
      <w:bookmarkStart w:id="425" w:name="_Toc139285956"/>
      <w:bookmarkStart w:id="426" w:name="_Toc24714"/>
      <w:bookmarkStart w:id="427" w:name="_Toc115082687"/>
      <w:bookmarkStart w:id="428" w:name="_Toc114428678"/>
      <w:r>
        <w:rPr>
          <w:rFonts w:hint="default" w:ascii="Times New Roman" w:hAnsi="Times New Roman" w:cs="Times New Roman"/>
          <w:b/>
          <w:bCs/>
          <w:color w:val="auto"/>
          <w:sz w:val="30"/>
          <w:szCs w:val="30"/>
          <w:lang w:val="en-US" w:eastAsia="zh-CN"/>
        </w:rPr>
        <w:t xml:space="preserve">7.1 </w:t>
      </w:r>
      <w:bookmarkEnd w:id="416"/>
      <w:bookmarkEnd w:id="417"/>
      <w:bookmarkEnd w:id="418"/>
      <w:bookmarkEnd w:id="419"/>
      <w:bookmarkEnd w:id="420"/>
      <w:bookmarkEnd w:id="421"/>
      <w:bookmarkEnd w:id="422"/>
      <w:bookmarkEnd w:id="423"/>
      <w:r>
        <w:rPr>
          <w:rFonts w:hint="default" w:ascii="Times New Roman" w:hAnsi="Times New Roman" w:cs="Times New Roman"/>
          <w:b/>
          <w:bCs/>
          <w:color w:val="auto"/>
          <w:sz w:val="30"/>
          <w:szCs w:val="30"/>
          <w:lang w:val="en-US" w:eastAsia="zh-CN"/>
        </w:rPr>
        <w:t>抗震承载力验算</w:t>
      </w:r>
      <w:bookmarkEnd w:id="424"/>
      <w:bookmarkEnd w:id="425"/>
      <w:bookmarkEnd w:id="426"/>
      <w:bookmarkEnd w:id="427"/>
      <w:bookmarkEnd w:id="428"/>
    </w:p>
    <w:p w14:paraId="6F5C05D8">
      <w:pPr>
        <w:spacing w:before="0" w:after="0"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根据现场检测情况，对</w:t>
      </w:r>
      <w:r>
        <w:rPr>
          <w:rFonts w:hint="default" w:ascii="Times New Roman" w:hAnsi="Times New Roman" w:eastAsia="宋体" w:cs="Times New Roman"/>
          <w:color w:val="auto"/>
          <w:sz w:val="24"/>
          <w:szCs w:val="24"/>
          <w:lang w:eastAsia="zh-CN"/>
        </w:rPr>
        <w:t>xxx</w:t>
      </w:r>
      <w:r>
        <w:rPr>
          <w:rFonts w:hint="default" w:ascii="Times New Roman" w:hAnsi="Times New Roman" w:eastAsia="宋体" w:cs="Times New Roman"/>
          <w:color w:val="auto"/>
          <w:sz w:val="24"/>
          <w:szCs w:val="24"/>
        </w:rPr>
        <w:t>车间在永久作用和可变作用组合下进行验算，计算分析采用中国建筑科学研究院编制的有限元计算软件PKPM结构模块。</w:t>
      </w:r>
    </w:p>
    <w:p w14:paraId="60305D7A">
      <w:pPr>
        <w:spacing w:before="120" w:after="120"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 (一)验算结果</w:t>
      </w:r>
    </w:p>
    <w:p w14:paraId="3920354A">
      <w:pPr>
        <w:spacing w:before="120" w:after="120"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根据现场对</w:t>
      </w:r>
      <w:r>
        <w:rPr>
          <w:rFonts w:hint="eastAsia" w:ascii="Times New Roman" w:hAnsi="Times New Roman" w:eastAsia="宋体" w:cs="Times New Roman"/>
          <w:color w:val="auto"/>
          <w:sz w:val="24"/>
          <w:szCs w:val="24"/>
          <w:lang w:val="en-US" w:eastAsia="zh-CN"/>
        </w:rPr>
        <w:t>XX</w:t>
      </w:r>
      <w:r>
        <w:rPr>
          <w:rFonts w:hint="default" w:ascii="Times New Roman" w:hAnsi="Times New Roman" w:eastAsia="宋体" w:cs="Times New Roman"/>
          <w:color w:val="auto"/>
          <w:sz w:val="24"/>
          <w:szCs w:val="24"/>
        </w:rPr>
        <w:t>车间结构布置、各区域的实际使用用途等的检测结果，采用</w:t>
      </w:r>
      <w:r>
        <w:rPr>
          <w:rFonts w:hint="eastAsia" w:ascii="Times New Roman" w:hAnsi="Times New Roman" w:eastAsia="宋体" w:cs="Times New Roman"/>
          <w:color w:val="auto"/>
          <w:sz w:val="24"/>
          <w:szCs w:val="24"/>
          <w:lang w:val="en-US" w:eastAsia="zh-CN"/>
        </w:rPr>
        <w:t>XX</w:t>
      </w:r>
      <w:r>
        <w:rPr>
          <w:rFonts w:hint="default" w:ascii="Times New Roman" w:hAnsi="Times New Roman" w:eastAsia="宋体" w:cs="Times New Roman"/>
          <w:color w:val="auto"/>
          <w:sz w:val="24"/>
          <w:szCs w:val="24"/>
        </w:rPr>
        <w:t>结构计算软件对</w:t>
      </w:r>
      <w:r>
        <w:rPr>
          <w:rFonts w:hint="eastAsia" w:ascii="Times New Roman" w:hAnsi="Times New Roman" w:eastAsia="宋体" w:cs="Times New Roman"/>
          <w:color w:val="auto"/>
          <w:sz w:val="24"/>
          <w:szCs w:val="24"/>
          <w:lang w:val="en-US" w:eastAsia="zh-CN"/>
        </w:rPr>
        <w:t>XX</w:t>
      </w:r>
      <w:r>
        <w:rPr>
          <w:rFonts w:hint="default" w:ascii="Times New Roman" w:hAnsi="Times New Roman" w:eastAsia="宋体" w:cs="Times New Roman"/>
          <w:color w:val="auto"/>
          <w:sz w:val="24"/>
          <w:szCs w:val="24"/>
        </w:rPr>
        <w:t>车间进行抗震承载力验算。</w:t>
      </w:r>
    </w:p>
    <w:p w14:paraId="792D89FE">
      <w:pPr>
        <w:spacing w:before="120" w:after="120" w:line="360" w:lineRule="auto"/>
        <w:ind w:firstLine="482" w:firstLineChars="200"/>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抗震承载力验算模型及结果见</w:t>
      </w:r>
      <w:r>
        <w:rPr>
          <w:rFonts w:hint="eastAsia" w:ascii="Times New Roman" w:hAnsi="Times New Roman" w:eastAsia="宋体" w:cs="Times New Roman"/>
          <w:b/>
          <w:color w:val="auto"/>
          <w:sz w:val="24"/>
          <w:szCs w:val="24"/>
          <w:lang w:val="en-US" w:eastAsia="zh-CN"/>
        </w:rPr>
        <w:t>附件9.2</w:t>
      </w:r>
      <w:r>
        <w:rPr>
          <w:rFonts w:hint="default" w:ascii="Times New Roman" w:hAnsi="Times New Roman" w:eastAsia="宋体" w:cs="Times New Roman"/>
          <w:b/>
          <w:color w:val="auto"/>
          <w:sz w:val="24"/>
          <w:szCs w:val="24"/>
        </w:rPr>
        <w:t>所示：</w:t>
      </w:r>
    </w:p>
    <w:p w14:paraId="5A7A9917">
      <w:pPr>
        <w:spacing w:line="360" w:lineRule="auto"/>
        <w:ind w:firstLine="482" w:firstLineChars="200"/>
        <w:jc w:val="both"/>
        <w:rPr>
          <w:rFonts w:hint="default" w:ascii="Times New Roman" w:hAnsi="Times New Roman" w:eastAsia="宋体" w:cs="Times New Roman"/>
          <w:b/>
          <w:bCs/>
          <w:color w:val="auto"/>
          <w:sz w:val="24"/>
          <w:szCs w:val="22"/>
          <w:lang w:val="en-US" w:eastAsia="zh-CN" w:bidi="ar-SA"/>
        </w:rPr>
      </w:pPr>
      <w:r>
        <w:rPr>
          <w:rFonts w:hint="default" w:ascii="Times New Roman" w:hAnsi="Times New Roman" w:eastAsia="宋体" w:cs="Times New Roman"/>
          <w:b/>
          <w:bCs/>
          <w:color w:val="auto"/>
          <w:sz w:val="24"/>
          <w:szCs w:val="22"/>
          <w:lang w:val="en-US" w:eastAsia="zh-CN" w:bidi="ar-SA"/>
        </w:rPr>
        <w:t>注：本验算仅针对本报告中抗震鉴定，不作它用！</w:t>
      </w:r>
    </w:p>
    <w:p w14:paraId="01E707B4">
      <w:pPr>
        <w:keepNext w:val="0"/>
        <w:keepLines w:val="0"/>
        <w:pageBreakBefore w:val="0"/>
        <w:widowControl w:val="0"/>
        <w:kinsoku/>
        <w:wordWrap/>
        <w:overflowPunct/>
        <w:topLinePunct w:val="0"/>
        <w:autoSpaceDE/>
        <w:autoSpaceDN/>
        <w:bidi w:val="0"/>
        <w:adjustRightInd/>
        <w:snapToGrid/>
        <w:spacing w:before="157" w:beforeLines="50" w:after="157" w:afterLines="50"/>
        <w:textAlignment w:val="auto"/>
        <w:rPr>
          <w:rFonts w:hint="default" w:ascii="Times New Roman" w:hAnsi="Times New Roman" w:cs="Times New Roman"/>
          <w:b/>
          <w:bCs/>
          <w:color w:val="auto"/>
          <w:sz w:val="30"/>
          <w:szCs w:val="30"/>
          <w:lang w:val="en-US" w:eastAsia="zh-CN"/>
        </w:rPr>
      </w:pPr>
      <w:bookmarkStart w:id="429" w:name="_Toc25577"/>
      <w:r>
        <w:rPr>
          <w:rFonts w:hint="default" w:ascii="Times New Roman" w:hAnsi="Times New Roman" w:cs="Times New Roman"/>
          <w:b/>
          <w:bCs/>
          <w:color w:val="auto"/>
          <w:sz w:val="30"/>
          <w:szCs w:val="30"/>
          <w:lang w:val="en-US" w:eastAsia="zh-CN"/>
        </w:rPr>
        <w:t>7.2 抗震措施</w:t>
      </w:r>
      <w:bookmarkEnd w:id="429"/>
    </w:p>
    <w:p w14:paraId="74E164DC">
      <w:pPr>
        <w:spacing w:before="120" w:after="120" w:line="360" w:lineRule="auto"/>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经核查，</w:t>
      </w:r>
      <w:r>
        <w:rPr>
          <w:rFonts w:hint="eastAsia" w:ascii="Times New Roman" w:hAnsi="Times New Roman" w:eastAsia="宋体" w:cs="Times New Roman"/>
          <w:color w:val="auto"/>
          <w:sz w:val="24"/>
          <w:szCs w:val="24"/>
          <w:lang w:val="en-US" w:eastAsia="zh-CN"/>
        </w:rPr>
        <w:t>XX</w:t>
      </w:r>
      <w:r>
        <w:rPr>
          <w:rFonts w:hint="default" w:ascii="Times New Roman" w:hAnsi="Times New Roman" w:eastAsia="宋体" w:cs="Times New Roman"/>
          <w:color w:val="auto"/>
          <w:sz w:val="24"/>
          <w:szCs w:val="24"/>
        </w:rPr>
        <w:t>车间结构体系和结构平面布置、结构平面和竖向规则性、构件连接及其节点与构造、相关柱间支撑和屋面支撑系统设置</w:t>
      </w:r>
      <w:r>
        <w:rPr>
          <w:rFonts w:hint="default" w:ascii="Times New Roman" w:hAnsi="Times New Roman" w:eastAsia="宋体" w:cs="Times New Roman"/>
          <w:color w:val="auto"/>
          <w:kern w:val="0"/>
          <w:sz w:val="24"/>
          <w:szCs w:val="24"/>
        </w:rPr>
        <w:t>及其他抗震措施（含抗震构造措施）符合《建筑抗震设计规范》</w:t>
      </w:r>
      <w:r>
        <w:rPr>
          <w:rFonts w:hint="default" w:ascii="Times New Roman" w:hAnsi="Times New Roman" w:eastAsia="宋体" w:cs="Times New Roman"/>
          <w:color w:val="auto"/>
          <w:kern w:val="0"/>
          <w:sz w:val="24"/>
          <w:szCs w:val="24"/>
          <w:lang w:eastAsia="zh-CN"/>
        </w:rPr>
        <w:t>（GB/T50011-2010）</w:t>
      </w:r>
      <w:r>
        <w:rPr>
          <w:rFonts w:hint="default" w:ascii="Times New Roman" w:hAnsi="Times New Roman" w:eastAsia="宋体" w:cs="Times New Roman"/>
          <w:color w:val="auto"/>
          <w:kern w:val="0"/>
          <w:sz w:val="24"/>
          <w:szCs w:val="24"/>
        </w:rPr>
        <w:t>第9.2条关于单层钢结构厂房抗震要求。</w:t>
      </w:r>
    </w:p>
    <w:p w14:paraId="287D2784">
      <w:pPr>
        <w:keepNext w:val="0"/>
        <w:keepLines w:val="0"/>
        <w:pageBreakBefore w:val="0"/>
        <w:widowControl w:val="0"/>
        <w:kinsoku/>
        <w:wordWrap/>
        <w:overflowPunct/>
        <w:topLinePunct w:val="0"/>
        <w:autoSpaceDE/>
        <w:autoSpaceDN/>
        <w:bidi w:val="0"/>
        <w:adjustRightInd/>
        <w:snapToGrid/>
        <w:spacing w:before="157" w:beforeLines="50" w:after="157" w:afterLines="50"/>
        <w:textAlignment w:val="auto"/>
        <w:rPr>
          <w:rFonts w:hint="default" w:ascii="Times New Roman" w:hAnsi="Times New Roman" w:cs="Times New Roman"/>
          <w:b/>
          <w:bCs/>
          <w:color w:val="auto"/>
          <w:sz w:val="30"/>
          <w:szCs w:val="30"/>
          <w:lang w:val="en-US" w:eastAsia="zh-CN"/>
        </w:rPr>
      </w:pPr>
      <w:bookmarkStart w:id="430" w:name="_Toc115082688"/>
      <w:bookmarkStart w:id="431" w:name="_Toc19929"/>
      <w:bookmarkStart w:id="432" w:name="_Toc114428679"/>
      <w:bookmarkStart w:id="433" w:name="_Toc68269986"/>
      <w:bookmarkStart w:id="434" w:name="_Toc476777737"/>
      <w:bookmarkStart w:id="435" w:name="_Toc139285957"/>
      <w:bookmarkStart w:id="436" w:name="_Toc5418"/>
      <w:bookmarkStart w:id="437" w:name="_Toc1308"/>
      <w:r>
        <w:rPr>
          <w:rFonts w:hint="default" w:ascii="Times New Roman" w:hAnsi="Times New Roman" w:cs="Times New Roman"/>
          <w:b/>
          <w:bCs/>
          <w:color w:val="auto"/>
          <w:sz w:val="30"/>
          <w:szCs w:val="30"/>
          <w:lang w:val="en-US" w:eastAsia="zh-CN"/>
        </w:rPr>
        <w:t>7.3 抗震鉴定结论</w:t>
      </w:r>
      <w:bookmarkEnd w:id="430"/>
      <w:bookmarkEnd w:id="431"/>
      <w:bookmarkEnd w:id="432"/>
      <w:bookmarkEnd w:id="433"/>
      <w:bookmarkEnd w:id="434"/>
      <w:bookmarkEnd w:id="435"/>
      <w:bookmarkEnd w:id="436"/>
      <w:bookmarkEnd w:id="437"/>
    </w:p>
    <w:p w14:paraId="14774839">
      <w:pPr>
        <w:spacing w:before="120" w:after="120" w:line="360" w:lineRule="auto"/>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rPr>
        <w:t>根据抗震承载力验算结果及对其</w:t>
      </w:r>
      <w:r>
        <w:rPr>
          <w:rFonts w:hint="eastAsia" w:ascii="Times New Roman" w:hAnsi="Times New Roman" w:eastAsia="宋体" w:cs="Times New Roman"/>
          <w:color w:val="auto"/>
          <w:sz w:val="24"/>
          <w:szCs w:val="24"/>
          <w:lang w:val="en-US" w:eastAsia="zh-CN"/>
        </w:rPr>
        <w:t>XX</w:t>
      </w:r>
      <w:r>
        <w:rPr>
          <w:rFonts w:hint="default" w:ascii="Times New Roman" w:hAnsi="Times New Roman" w:eastAsia="宋体" w:cs="Times New Roman"/>
          <w:color w:val="auto"/>
          <w:sz w:val="24"/>
          <w:szCs w:val="24"/>
        </w:rPr>
        <w:t>车间相关抗震措施进行调查，结果表明，</w:t>
      </w:r>
      <w:r>
        <w:rPr>
          <w:rFonts w:hint="eastAsia" w:ascii="Times New Roman" w:hAnsi="Times New Roman" w:eastAsia="宋体" w:cs="Times New Roman"/>
          <w:color w:val="auto"/>
          <w:sz w:val="24"/>
          <w:szCs w:val="24"/>
          <w:lang w:val="en-US" w:eastAsia="zh-CN"/>
        </w:rPr>
        <w:t>XX</w:t>
      </w:r>
      <w:r>
        <w:rPr>
          <w:rFonts w:hint="default" w:ascii="Times New Roman" w:hAnsi="Times New Roman" w:eastAsia="宋体" w:cs="Times New Roman"/>
          <w:color w:val="auto"/>
          <w:sz w:val="24"/>
          <w:szCs w:val="24"/>
        </w:rPr>
        <w:t>车间抗震承载力验算及相关抗震措施等满足相关抗震鉴定要求。</w:t>
      </w:r>
    </w:p>
    <w:p w14:paraId="43B37C7B">
      <w:pPr>
        <w:keepNext w:val="0"/>
        <w:keepLines w:val="0"/>
        <w:pageBreakBefore w:val="0"/>
        <w:widowControl w:val="0"/>
        <w:kinsoku/>
        <w:wordWrap/>
        <w:overflowPunct/>
        <w:topLinePunct w:val="0"/>
        <w:autoSpaceDE/>
        <w:autoSpaceDN/>
        <w:bidi w:val="0"/>
        <w:adjustRightInd/>
        <w:snapToGrid/>
        <w:spacing w:before="313" w:beforeLines="100" w:after="313" w:afterLines="100" w:line="360" w:lineRule="auto"/>
        <w:jc w:val="center"/>
        <w:textAlignment w:val="auto"/>
        <w:rPr>
          <w:rFonts w:hint="default"/>
          <w:b/>
          <w:bCs/>
          <w:color w:val="auto"/>
          <w:sz w:val="32"/>
          <w:szCs w:val="32"/>
          <w:lang w:val="en-US" w:eastAsia="zh-CN"/>
        </w:rPr>
      </w:pPr>
      <w:bookmarkStart w:id="438" w:name="_Toc18386"/>
      <w:bookmarkStart w:id="439" w:name="_Toc23469"/>
      <w:bookmarkStart w:id="440" w:name="_Toc105078974"/>
      <w:bookmarkStart w:id="441" w:name="_Toc23592"/>
      <w:r>
        <w:rPr>
          <w:rFonts w:hint="default"/>
          <w:b/>
          <w:bCs/>
          <w:color w:val="auto"/>
          <w:sz w:val="32"/>
          <w:szCs w:val="32"/>
          <w:lang w:val="en-US" w:eastAsia="zh-CN"/>
        </w:rPr>
        <w:t>八、结论及建议</w:t>
      </w:r>
      <w:bookmarkEnd w:id="438"/>
      <w:bookmarkEnd w:id="439"/>
      <w:bookmarkEnd w:id="440"/>
      <w:bookmarkEnd w:id="441"/>
    </w:p>
    <w:p w14:paraId="6801DC36">
      <w:pPr>
        <w:keepNext w:val="0"/>
        <w:keepLines w:val="0"/>
        <w:pageBreakBefore w:val="0"/>
        <w:widowControl w:val="0"/>
        <w:kinsoku/>
        <w:wordWrap/>
        <w:overflowPunct/>
        <w:topLinePunct w:val="0"/>
        <w:autoSpaceDE/>
        <w:autoSpaceDN/>
        <w:bidi w:val="0"/>
        <w:adjustRightInd/>
        <w:snapToGrid/>
        <w:spacing w:before="157" w:beforeLines="50" w:after="157" w:afterLines="50"/>
        <w:textAlignment w:val="auto"/>
        <w:rPr>
          <w:rFonts w:hint="default" w:ascii="Times New Roman" w:hAnsi="Times New Roman" w:cs="Times New Roman"/>
          <w:b/>
          <w:bCs/>
          <w:color w:val="auto"/>
          <w:sz w:val="30"/>
          <w:szCs w:val="30"/>
          <w:lang w:val="en-US" w:eastAsia="zh-CN"/>
        </w:rPr>
      </w:pPr>
      <w:bookmarkStart w:id="442" w:name="_Toc28467"/>
      <w:bookmarkStart w:id="443" w:name="_Toc105078975"/>
      <w:bookmarkStart w:id="444" w:name="_Toc89708088"/>
      <w:r>
        <w:rPr>
          <w:rFonts w:hint="default" w:ascii="Times New Roman" w:hAnsi="Times New Roman" w:cs="Times New Roman"/>
          <w:b/>
          <w:bCs/>
          <w:color w:val="auto"/>
          <w:sz w:val="30"/>
          <w:szCs w:val="30"/>
          <w:lang w:val="en-US" w:eastAsia="zh-CN"/>
        </w:rPr>
        <w:t>8.1 现场检测结论</w:t>
      </w:r>
      <w:bookmarkEnd w:id="442"/>
      <w:bookmarkEnd w:id="443"/>
      <w:bookmarkEnd w:id="444"/>
      <w:r>
        <w:rPr>
          <w:rFonts w:hint="eastAsia" w:ascii="Times New Roman" w:hAnsi="Times New Roman" w:cs="Times New Roman"/>
          <w:b/>
          <w:bCs/>
          <w:color w:val="auto"/>
          <w:sz w:val="30"/>
          <w:szCs w:val="30"/>
          <w:lang w:val="en-US" w:eastAsia="zh-CN"/>
        </w:rPr>
        <w:t>（与正文结论一致）</w:t>
      </w:r>
    </w:p>
    <w:p w14:paraId="381D416B">
      <w:pPr>
        <w:autoSpaceDE w:val="0"/>
        <w:autoSpaceDN w:val="0"/>
        <w:adjustRightInd w:val="0"/>
        <w:spacing w:before="0" w:after="0" w:line="360" w:lineRule="auto"/>
        <w:jc w:val="left"/>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1、建筑结构概况</w:t>
      </w:r>
    </w:p>
    <w:p w14:paraId="248BD13C">
      <w:pPr>
        <w:autoSpaceDE w:val="0"/>
        <w:autoSpaceDN w:val="0"/>
        <w:adjustRightInd w:val="0"/>
        <w:spacing w:before="0" w:after="0" w:line="360" w:lineRule="auto"/>
        <w:jc w:val="left"/>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2、建筑结构布置调查</w:t>
      </w:r>
    </w:p>
    <w:p w14:paraId="59264955">
      <w:pPr>
        <w:autoSpaceDE w:val="0"/>
        <w:autoSpaceDN w:val="0"/>
        <w:adjustRightInd w:val="0"/>
        <w:spacing w:before="0" w:after="0" w:line="360" w:lineRule="auto"/>
        <w:jc w:val="left"/>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3、建筑轴网尺寸及构件截面复核</w:t>
      </w:r>
    </w:p>
    <w:p w14:paraId="198CFE25">
      <w:pPr>
        <w:autoSpaceDE w:val="0"/>
        <w:autoSpaceDN w:val="0"/>
        <w:adjustRightInd w:val="0"/>
        <w:spacing w:before="0" w:after="0" w:line="360" w:lineRule="auto"/>
        <w:jc w:val="left"/>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4、外观缺陷检测</w:t>
      </w:r>
    </w:p>
    <w:p w14:paraId="2CF55EDC">
      <w:pPr>
        <w:autoSpaceDE w:val="0"/>
        <w:autoSpaceDN w:val="0"/>
        <w:adjustRightInd w:val="0"/>
        <w:spacing w:before="0" w:after="0" w:line="360" w:lineRule="auto"/>
        <w:jc w:val="left"/>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5、防腐涂层厚度检测</w:t>
      </w:r>
    </w:p>
    <w:p w14:paraId="0BA1DAF2">
      <w:pPr>
        <w:spacing w:before="120" w:after="120" w:line="240" w:lineRule="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6、钢材里氏硬度检测</w:t>
      </w:r>
    </w:p>
    <w:p w14:paraId="7DD7CCDB">
      <w:pPr>
        <w:spacing w:before="120" w:after="120"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7、钢柱垂直度检测</w:t>
      </w:r>
      <w:r>
        <w:rPr>
          <w:rFonts w:hint="default" w:ascii="Times New Roman" w:hAnsi="Times New Roman" w:eastAsia="宋体" w:cs="Times New Roman"/>
          <w:color w:val="auto"/>
          <w:sz w:val="24"/>
          <w:szCs w:val="24"/>
        </w:rPr>
        <w:t xml:space="preserve"> </w:t>
      </w:r>
    </w:p>
    <w:p w14:paraId="789A94C2">
      <w:pPr>
        <w:spacing w:before="120" w:after="120" w:line="240" w:lineRule="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8、钢梁挠度检测</w:t>
      </w:r>
    </w:p>
    <w:p w14:paraId="3927F0AF">
      <w:pPr>
        <w:keepNext w:val="0"/>
        <w:keepLines w:val="0"/>
        <w:pageBreakBefore w:val="0"/>
        <w:widowControl w:val="0"/>
        <w:kinsoku/>
        <w:wordWrap/>
        <w:overflowPunct/>
        <w:topLinePunct w:val="0"/>
        <w:autoSpaceDE/>
        <w:autoSpaceDN/>
        <w:bidi w:val="0"/>
        <w:adjustRightInd/>
        <w:snapToGrid/>
        <w:spacing w:before="157" w:beforeLines="50" w:after="157" w:afterLines="50"/>
        <w:textAlignment w:val="auto"/>
        <w:rPr>
          <w:rFonts w:hint="default" w:ascii="Times New Roman" w:hAnsi="Times New Roman" w:cs="Times New Roman"/>
          <w:b/>
          <w:bCs/>
          <w:color w:val="auto"/>
          <w:sz w:val="30"/>
          <w:szCs w:val="30"/>
          <w:lang w:val="en-US" w:eastAsia="zh-CN"/>
        </w:rPr>
      </w:pPr>
      <w:bookmarkStart w:id="445" w:name="_Toc22242"/>
      <w:bookmarkStart w:id="446" w:name="_Toc89708091"/>
      <w:bookmarkStart w:id="447" w:name="_Toc105078977"/>
      <w:r>
        <w:rPr>
          <w:rFonts w:hint="default" w:ascii="Times New Roman" w:hAnsi="Times New Roman" w:cs="Times New Roman"/>
          <w:b/>
          <w:bCs/>
          <w:color w:val="auto"/>
          <w:sz w:val="30"/>
          <w:szCs w:val="30"/>
          <w:lang w:val="en-US" w:eastAsia="zh-CN"/>
        </w:rPr>
        <w:t>8.2 可靠性鉴定结论</w:t>
      </w:r>
      <w:bookmarkEnd w:id="445"/>
      <w:bookmarkEnd w:id="446"/>
      <w:bookmarkEnd w:id="447"/>
    </w:p>
    <w:p w14:paraId="64F1022C">
      <w:pPr>
        <w:keepNext w:val="0"/>
        <w:keepLines w:val="0"/>
        <w:pageBreakBefore w:val="0"/>
        <w:widowControl w:val="0"/>
        <w:kinsoku/>
        <w:wordWrap/>
        <w:overflowPunct/>
        <w:topLinePunct w:val="0"/>
        <w:autoSpaceDE/>
        <w:autoSpaceDN/>
        <w:bidi w:val="0"/>
        <w:adjustRightInd/>
        <w:snapToGrid/>
        <w:spacing w:before="157" w:beforeLines="50" w:after="157" w:afterLines="50"/>
        <w:textAlignment w:val="auto"/>
        <w:rPr>
          <w:rFonts w:hint="default" w:ascii="Times New Roman" w:hAnsi="Times New Roman" w:cs="Times New Roman"/>
          <w:b/>
          <w:bCs/>
          <w:color w:val="auto"/>
          <w:sz w:val="30"/>
          <w:szCs w:val="30"/>
          <w:lang w:val="en-US" w:eastAsia="zh-CN"/>
        </w:rPr>
      </w:pPr>
      <w:bookmarkStart w:id="448" w:name="_Toc89708092"/>
      <w:bookmarkStart w:id="449" w:name="_Toc105078978"/>
      <w:bookmarkStart w:id="450" w:name="_Toc29373"/>
      <w:r>
        <w:rPr>
          <w:rFonts w:hint="default" w:ascii="Times New Roman" w:hAnsi="Times New Roman" w:cs="Times New Roman"/>
          <w:b/>
          <w:bCs/>
          <w:color w:val="auto"/>
          <w:sz w:val="30"/>
          <w:szCs w:val="30"/>
          <w:lang w:val="en-US" w:eastAsia="zh-CN"/>
        </w:rPr>
        <w:t xml:space="preserve">8.3 </w:t>
      </w:r>
      <w:bookmarkEnd w:id="448"/>
      <w:bookmarkEnd w:id="449"/>
      <w:r>
        <w:rPr>
          <w:rFonts w:hint="default" w:ascii="Times New Roman" w:hAnsi="Times New Roman" w:cs="Times New Roman"/>
          <w:b/>
          <w:bCs/>
          <w:color w:val="auto"/>
          <w:sz w:val="30"/>
          <w:szCs w:val="30"/>
          <w:lang w:val="en-US" w:eastAsia="zh-CN"/>
        </w:rPr>
        <w:t>抗震鉴定结论</w:t>
      </w:r>
      <w:bookmarkEnd w:id="450"/>
    </w:p>
    <w:p w14:paraId="5E9C9A17">
      <w:pPr>
        <w:keepNext w:val="0"/>
        <w:keepLines w:val="0"/>
        <w:pageBreakBefore w:val="0"/>
        <w:widowControl w:val="0"/>
        <w:kinsoku/>
        <w:wordWrap/>
        <w:overflowPunct/>
        <w:topLinePunct w:val="0"/>
        <w:autoSpaceDE/>
        <w:autoSpaceDN/>
        <w:bidi w:val="0"/>
        <w:adjustRightInd/>
        <w:snapToGrid/>
        <w:spacing w:before="157" w:beforeLines="50" w:after="157" w:afterLines="50"/>
        <w:textAlignment w:val="auto"/>
        <w:rPr>
          <w:rFonts w:hint="default" w:ascii="Times New Roman" w:hAnsi="Times New Roman" w:cs="Times New Roman"/>
          <w:b/>
          <w:bCs/>
          <w:color w:val="auto"/>
          <w:sz w:val="30"/>
          <w:szCs w:val="30"/>
          <w:lang w:val="en-US" w:eastAsia="zh-CN"/>
        </w:rPr>
      </w:pPr>
      <w:bookmarkStart w:id="451" w:name="_Toc14694"/>
      <w:r>
        <w:rPr>
          <w:rFonts w:hint="default" w:ascii="Times New Roman" w:hAnsi="Times New Roman" w:cs="Times New Roman"/>
          <w:b/>
          <w:bCs/>
          <w:color w:val="auto"/>
          <w:sz w:val="30"/>
          <w:szCs w:val="30"/>
          <w:lang w:val="en-US" w:eastAsia="zh-CN"/>
        </w:rPr>
        <w:t>8.4 建议</w:t>
      </w:r>
      <w:bookmarkEnd w:id="451"/>
    </w:p>
    <w:p w14:paraId="525E8013">
      <w:pPr>
        <w:keepNext w:val="0"/>
        <w:keepLines w:val="0"/>
        <w:pageBreakBefore w:val="0"/>
        <w:widowControl w:val="0"/>
        <w:kinsoku/>
        <w:wordWrap/>
        <w:overflowPunct/>
        <w:topLinePunct w:val="0"/>
        <w:autoSpaceDE/>
        <w:autoSpaceDN/>
        <w:bidi w:val="0"/>
        <w:adjustRightInd/>
        <w:snapToGrid/>
        <w:spacing w:before="313" w:beforeLines="100" w:after="313" w:afterLines="100" w:line="360" w:lineRule="auto"/>
        <w:jc w:val="center"/>
        <w:textAlignment w:val="auto"/>
        <w:rPr>
          <w:rFonts w:hint="default"/>
          <w:b/>
          <w:bCs/>
          <w:color w:val="auto"/>
          <w:sz w:val="32"/>
          <w:szCs w:val="32"/>
          <w:lang w:val="en-US" w:eastAsia="zh-CN"/>
        </w:rPr>
      </w:pPr>
      <w:bookmarkStart w:id="452" w:name="_Toc7666"/>
      <w:bookmarkStart w:id="453" w:name="_Toc6070"/>
      <w:bookmarkStart w:id="454" w:name="_Toc11934"/>
      <w:r>
        <w:rPr>
          <w:rFonts w:hint="default"/>
          <w:b/>
          <w:bCs/>
          <w:color w:val="auto"/>
          <w:sz w:val="32"/>
          <w:szCs w:val="32"/>
          <w:lang w:val="en-US" w:eastAsia="zh-CN"/>
        </w:rPr>
        <w:t>九、</w:t>
      </w:r>
      <w:r>
        <w:rPr>
          <w:rFonts w:hint="eastAsia"/>
          <w:b/>
          <w:bCs/>
          <w:color w:val="auto"/>
          <w:sz w:val="32"/>
          <w:szCs w:val="32"/>
          <w:lang w:val="en-US" w:eastAsia="zh-CN"/>
        </w:rPr>
        <w:t>附</w:t>
      </w:r>
      <w:bookmarkEnd w:id="452"/>
      <w:bookmarkEnd w:id="453"/>
      <w:bookmarkEnd w:id="454"/>
      <w:r>
        <w:rPr>
          <w:rFonts w:hint="eastAsia"/>
          <w:b/>
          <w:bCs/>
          <w:color w:val="auto"/>
          <w:sz w:val="32"/>
          <w:szCs w:val="32"/>
          <w:lang w:val="en-US" w:eastAsia="zh-CN"/>
        </w:rPr>
        <w:t>件</w:t>
      </w:r>
    </w:p>
    <w:p w14:paraId="4814C5C7">
      <w:pPr>
        <w:keepNext w:val="0"/>
        <w:keepLines w:val="0"/>
        <w:pageBreakBefore w:val="0"/>
        <w:widowControl w:val="0"/>
        <w:kinsoku/>
        <w:wordWrap/>
        <w:overflowPunct/>
        <w:topLinePunct w:val="0"/>
        <w:autoSpaceDE/>
        <w:autoSpaceDN/>
        <w:bidi w:val="0"/>
        <w:adjustRightInd/>
        <w:snapToGrid/>
        <w:spacing w:before="157" w:beforeLines="50" w:after="157" w:afterLines="50"/>
        <w:textAlignment w:val="auto"/>
        <w:rPr>
          <w:rFonts w:hint="eastAsia" w:ascii="Times New Roman" w:hAnsi="Times New Roman" w:cs="Times New Roman"/>
          <w:b/>
          <w:bCs/>
          <w:color w:val="auto"/>
          <w:sz w:val="30"/>
          <w:szCs w:val="30"/>
          <w:lang w:val="en-US" w:eastAsia="zh-CN"/>
        </w:rPr>
      </w:pPr>
      <w:bookmarkStart w:id="455" w:name="_Toc28967"/>
      <w:r>
        <w:rPr>
          <w:rFonts w:hint="eastAsia" w:ascii="Times New Roman" w:hAnsi="Times New Roman" w:cs="Times New Roman"/>
          <w:b/>
          <w:bCs/>
          <w:color w:val="auto"/>
          <w:sz w:val="30"/>
          <w:szCs w:val="30"/>
          <w:lang w:val="en-US" w:eastAsia="zh-CN"/>
        </w:rPr>
        <w:t>9.1 现场建筑及结构平面布置图</w:t>
      </w:r>
      <w:bookmarkEnd w:id="455"/>
    </w:p>
    <w:p w14:paraId="3C5D07A6">
      <w:pPr>
        <w:keepNext w:val="0"/>
        <w:keepLines w:val="0"/>
        <w:pageBreakBefore w:val="0"/>
        <w:widowControl w:val="0"/>
        <w:kinsoku/>
        <w:wordWrap/>
        <w:overflowPunct/>
        <w:topLinePunct w:val="0"/>
        <w:autoSpaceDE/>
        <w:autoSpaceDN/>
        <w:bidi w:val="0"/>
        <w:adjustRightInd/>
        <w:snapToGrid/>
        <w:spacing w:before="157" w:beforeLines="50" w:after="157" w:afterLines="50"/>
        <w:textAlignment w:val="auto"/>
        <w:rPr>
          <w:rFonts w:hint="eastAsia" w:ascii="Times New Roman" w:hAnsi="Times New Roman" w:cs="Times New Roman"/>
          <w:b/>
          <w:bCs/>
          <w:color w:val="auto"/>
          <w:sz w:val="30"/>
          <w:szCs w:val="30"/>
          <w:lang w:val="en-US" w:eastAsia="zh-CN"/>
        </w:rPr>
      </w:pPr>
      <w:bookmarkStart w:id="456" w:name="_Toc13741"/>
      <w:r>
        <w:rPr>
          <w:rFonts w:hint="eastAsia" w:ascii="Times New Roman" w:hAnsi="Times New Roman" w:cs="Times New Roman"/>
          <w:b/>
          <w:bCs/>
          <w:color w:val="auto"/>
          <w:sz w:val="30"/>
          <w:szCs w:val="30"/>
          <w:lang w:val="en-US" w:eastAsia="zh-CN"/>
        </w:rPr>
        <w:t>9.2 计算结果附图</w:t>
      </w:r>
      <w:bookmarkEnd w:id="456"/>
    </w:p>
    <w:p w14:paraId="17CF8B68">
      <w:pPr>
        <w:keepNext w:val="0"/>
        <w:keepLines w:val="0"/>
        <w:pageBreakBefore w:val="0"/>
        <w:widowControl w:val="0"/>
        <w:tabs>
          <w:tab w:val="left" w:pos="6347"/>
        </w:tabs>
        <w:kinsoku/>
        <w:wordWrap/>
        <w:overflowPunct/>
        <w:topLinePunct w:val="0"/>
        <w:autoSpaceDE/>
        <w:autoSpaceDN/>
        <w:bidi w:val="0"/>
        <w:adjustRightInd/>
        <w:snapToGrid/>
        <w:spacing w:before="157" w:beforeLines="50" w:after="157" w:afterLines="50"/>
        <w:textAlignment w:val="auto"/>
        <w:rPr>
          <w:rFonts w:hint="eastAsia" w:ascii="Times New Roman" w:hAnsi="Times New Roman" w:cs="Times New Roman"/>
          <w:b/>
          <w:bCs/>
          <w:color w:val="auto"/>
          <w:sz w:val="30"/>
          <w:szCs w:val="30"/>
          <w:lang w:val="en-US" w:eastAsia="zh-CN"/>
        </w:rPr>
      </w:pPr>
      <w:bookmarkStart w:id="457" w:name="_Toc11159"/>
      <w:r>
        <w:rPr>
          <w:rFonts w:hint="eastAsia" w:ascii="Times New Roman" w:hAnsi="Times New Roman" w:cs="Times New Roman"/>
          <w:b/>
          <w:bCs/>
          <w:color w:val="auto"/>
          <w:sz w:val="30"/>
          <w:szCs w:val="30"/>
          <w:lang w:val="en-US" w:eastAsia="zh-CN"/>
        </w:rPr>
        <w:t>9.3 现场检测照片</w:t>
      </w:r>
      <w:bookmarkEnd w:id="457"/>
      <w:r>
        <w:rPr>
          <w:rFonts w:hint="eastAsia" w:ascii="Times New Roman" w:hAnsi="Times New Roman" w:cs="Times New Roman"/>
          <w:b/>
          <w:bCs/>
          <w:color w:val="auto"/>
          <w:sz w:val="30"/>
          <w:szCs w:val="30"/>
          <w:lang w:val="en-US" w:eastAsia="zh-CN"/>
        </w:rPr>
        <w:tab/>
      </w:r>
    </w:p>
    <w:p w14:paraId="7EF6C792">
      <w:pPr>
        <w:keepNext w:val="0"/>
        <w:keepLines w:val="0"/>
        <w:pageBreakBefore w:val="0"/>
        <w:widowControl w:val="0"/>
        <w:tabs>
          <w:tab w:val="left" w:pos="6347"/>
        </w:tabs>
        <w:kinsoku/>
        <w:wordWrap/>
        <w:overflowPunct/>
        <w:topLinePunct w:val="0"/>
        <w:autoSpaceDE/>
        <w:autoSpaceDN/>
        <w:bidi w:val="0"/>
        <w:adjustRightInd/>
        <w:snapToGrid/>
        <w:spacing w:before="157" w:beforeLines="50" w:after="157" w:afterLines="50"/>
        <w:textAlignment w:val="auto"/>
        <w:rPr>
          <w:rFonts w:hint="eastAsia" w:ascii="Times New Roman" w:hAnsi="Times New Roman" w:cs="Times New Roman"/>
          <w:b/>
          <w:bCs/>
          <w:color w:val="auto"/>
          <w:sz w:val="30"/>
          <w:szCs w:val="30"/>
          <w:lang w:val="en-US" w:eastAsia="zh-CN"/>
        </w:rPr>
        <w:sectPr>
          <w:headerReference r:id="rId11" w:type="default"/>
          <w:footerReference r:id="rId12" w:type="default"/>
          <w:type w:val="continuous"/>
          <w:pgSz w:w="11906" w:h="16838"/>
          <w:pgMar w:top="1440" w:right="1800" w:bottom="1440" w:left="1800" w:header="851" w:footer="992" w:gutter="0"/>
          <w:pgNumType w:fmt="decimal"/>
          <w:cols w:space="425" w:num="1"/>
          <w:docGrid w:type="lines" w:linePitch="312" w:charSpace="0"/>
        </w:sectPr>
      </w:pPr>
    </w:p>
    <w:p w14:paraId="52710CF7">
      <w:pPr>
        <w:pStyle w:val="3"/>
        <w:bidi w:val="0"/>
        <w:jc w:val="center"/>
        <w:rPr>
          <w:rFonts w:hint="default" w:ascii="Times New Roman" w:hAnsi="Times New Roman" w:cs="Times New Roman"/>
          <w:color w:val="auto"/>
          <w:lang w:val="en-US" w:eastAsia="zh-CN"/>
        </w:rPr>
      </w:pPr>
      <w:bookmarkStart w:id="458" w:name="_Toc26782"/>
      <w:r>
        <w:rPr>
          <w:rFonts w:hint="default" w:ascii="Times New Roman" w:hAnsi="Times New Roman" w:cs="Times New Roman"/>
          <w:color w:val="auto"/>
          <w:lang w:val="en-US" w:eastAsia="zh-CN"/>
        </w:rPr>
        <w:t xml:space="preserve">附录E </w:t>
      </w:r>
      <w:r>
        <w:rPr>
          <w:rFonts w:hint="eastAsia" w:ascii="Times New Roman" w:hAnsi="Times New Roman" w:cs="Times New Roman"/>
          <w:color w:val="auto"/>
          <w:lang w:val="en-US" w:eastAsia="zh-CN"/>
        </w:rPr>
        <w:t xml:space="preserve"> 单层工业厂房抗震构造措施核查表（部分）</w:t>
      </w:r>
      <w:bookmarkEnd w:id="458"/>
    </w:p>
    <w:p w14:paraId="77BF95EE">
      <w:pPr>
        <w:keepNext w:val="0"/>
        <w:keepLines w:val="0"/>
        <w:pageBreakBefore w:val="0"/>
        <w:widowControl w:val="0"/>
        <w:kinsoku/>
        <w:wordWrap/>
        <w:overflowPunct/>
        <w:topLinePunct w:val="0"/>
        <w:autoSpaceDE/>
        <w:autoSpaceDN/>
        <w:bidi w:val="0"/>
        <w:adjustRightInd/>
        <w:snapToGrid/>
        <w:spacing w:line="240" w:lineRule="auto"/>
        <w:ind w:firstLine="482"/>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单层钢筋混凝土柱厂房</w:t>
      </w:r>
      <w:r>
        <w:rPr>
          <w:rFonts w:hint="default" w:ascii="Times New Roman" w:hAnsi="Times New Roman" w:eastAsia="宋体" w:cs="Times New Roman"/>
          <w:b/>
          <w:bCs/>
          <w:color w:val="auto"/>
          <w:sz w:val="21"/>
          <w:szCs w:val="21"/>
        </w:rPr>
        <w:t>A类抗震鉴定构造措施（表</w:t>
      </w:r>
      <w:r>
        <w:rPr>
          <w:rFonts w:hint="default" w:ascii="Times New Roman" w:hAnsi="Times New Roman" w:eastAsia="宋体" w:cs="Times New Roman"/>
          <w:color w:val="auto"/>
          <w:sz w:val="21"/>
          <w:szCs w:val="21"/>
          <w:lang w:val="en-US" w:eastAsia="zh-CN"/>
        </w:rPr>
        <w:t>E.1</w:t>
      </w:r>
      <w:r>
        <w:rPr>
          <w:rFonts w:hint="default" w:ascii="Times New Roman" w:hAnsi="Times New Roman" w:eastAsia="宋体" w:cs="Times New Roman"/>
          <w:b/>
          <w:bCs/>
          <w:color w:val="auto"/>
          <w:sz w:val="21"/>
          <w:szCs w:val="21"/>
        </w:rPr>
        <w:t>）</w:t>
      </w:r>
    </w:p>
    <w:tbl>
      <w:tblPr>
        <w:tblStyle w:val="22"/>
        <w:tblW w:w="492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701"/>
        <w:gridCol w:w="413"/>
        <w:gridCol w:w="486"/>
        <w:gridCol w:w="903"/>
        <w:gridCol w:w="891"/>
        <w:gridCol w:w="203"/>
        <w:gridCol w:w="2280"/>
        <w:gridCol w:w="1822"/>
      </w:tblGrid>
      <w:tr w14:paraId="47D97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7" w:hRule="atLeast"/>
          <w:jc w:val="center"/>
        </w:trPr>
        <w:tc>
          <w:tcPr>
            <w:tcW w:w="5000" w:type="pct"/>
            <w:gridSpan w:val="9"/>
            <w:vAlign w:val="center"/>
          </w:tcPr>
          <w:p w14:paraId="6472FC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一般规定</w:t>
            </w:r>
          </w:p>
        </w:tc>
      </w:tr>
      <w:tr w14:paraId="4D7C0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7" w:hRule="atLeast"/>
          <w:jc w:val="center"/>
        </w:trPr>
        <w:tc>
          <w:tcPr>
            <w:tcW w:w="417" w:type="pct"/>
            <w:vAlign w:val="center"/>
          </w:tcPr>
          <w:p w14:paraId="1D301B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663" w:type="pct"/>
            <w:gridSpan w:val="2"/>
            <w:vAlign w:val="center"/>
          </w:tcPr>
          <w:p w14:paraId="7C5929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总体信息</w:t>
            </w:r>
          </w:p>
        </w:tc>
        <w:tc>
          <w:tcPr>
            <w:tcW w:w="1357" w:type="pct"/>
            <w:gridSpan w:val="3"/>
            <w:vAlign w:val="center"/>
          </w:tcPr>
          <w:p w14:paraId="485BE1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设防烈度：□6度□7度</w:t>
            </w:r>
          </w:p>
        </w:tc>
        <w:tc>
          <w:tcPr>
            <w:tcW w:w="1477" w:type="pct"/>
            <w:gridSpan w:val="2"/>
            <w:vAlign w:val="center"/>
          </w:tcPr>
          <w:p w14:paraId="34CA5E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□现浇楼盖；</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轻屋盖</w:t>
            </w:r>
          </w:p>
        </w:tc>
        <w:tc>
          <w:tcPr>
            <w:tcW w:w="1084" w:type="pct"/>
            <w:vAlign w:val="center"/>
          </w:tcPr>
          <w:p w14:paraId="2CA563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建筑物层数：层</w:t>
            </w:r>
          </w:p>
        </w:tc>
      </w:tr>
      <w:tr w14:paraId="2327F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7" w:hRule="atLeast"/>
          <w:jc w:val="center"/>
        </w:trPr>
        <w:tc>
          <w:tcPr>
            <w:tcW w:w="417" w:type="pct"/>
            <w:vMerge w:val="restart"/>
            <w:vAlign w:val="center"/>
          </w:tcPr>
          <w:p w14:paraId="4E07B9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663" w:type="pct"/>
            <w:gridSpan w:val="2"/>
            <w:vMerge w:val="restart"/>
            <w:vAlign w:val="center"/>
          </w:tcPr>
          <w:p w14:paraId="427E8C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外观和内在质量</w:t>
            </w:r>
          </w:p>
        </w:tc>
        <w:tc>
          <w:tcPr>
            <w:tcW w:w="3919" w:type="pct"/>
            <w:gridSpan w:val="6"/>
            <w:vAlign w:val="center"/>
          </w:tcPr>
          <w:p w14:paraId="7E518D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□无不均匀沉降</w:t>
            </w:r>
          </w:p>
        </w:tc>
      </w:tr>
      <w:tr w14:paraId="3FB86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7" w:hRule="atLeast"/>
          <w:jc w:val="center"/>
        </w:trPr>
        <w:tc>
          <w:tcPr>
            <w:tcW w:w="417" w:type="pct"/>
            <w:vMerge w:val="continue"/>
            <w:vAlign w:val="center"/>
          </w:tcPr>
          <w:p w14:paraId="5C8226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663" w:type="pct"/>
            <w:gridSpan w:val="2"/>
            <w:vMerge w:val="continue"/>
            <w:vAlign w:val="center"/>
          </w:tcPr>
          <w:p w14:paraId="3E92CD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3919" w:type="pct"/>
            <w:gridSpan w:val="6"/>
            <w:vAlign w:val="center"/>
          </w:tcPr>
          <w:p w14:paraId="070A903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□钢筋无露筋和锈蚀□构连接无裂缝或松动</w:t>
            </w:r>
          </w:p>
        </w:tc>
      </w:tr>
      <w:tr w14:paraId="13B28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7" w:hRule="atLeast"/>
          <w:jc w:val="center"/>
        </w:trPr>
        <w:tc>
          <w:tcPr>
            <w:tcW w:w="417" w:type="pct"/>
            <w:vMerge w:val="continue"/>
            <w:vAlign w:val="center"/>
          </w:tcPr>
          <w:p w14:paraId="6E7BB5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663" w:type="pct"/>
            <w:gridSpan w:val="2"/>
            <w:vMerge w:val="continue"/>
            <w:vAlign w:val="center"/>
          </w:tcPr>
          <w:p w14:paraId="41C0A1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3919" w:type="pct"/>
            <w:gridSpan w:val="6"/>
            <w:vAlign w:val="center"/>
          </w:tcPr>
          <w:p w14:paraId="18E6EA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□无砖墙、钢结构构件的其他损伤</w:t>
            </w:r>
          </w:p>
        </w:tc>
      </w:tr>
      <w:tr w14:paraId="67413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7" w:hRule="atLeast"/>
          <w:jc w:val="center"/>
        </w:trPr>
        <w:tc>
          <w:tcPr>
            <w:tcW w:w="5000" w:type="pct"/>
            <w:gridSpan w:val="9"/>
            <w:vAlign w:val="center"/>
          </w:tcPr>
          <w:p w14:paraId="355018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抗震构造措施鉴定</w:t>
            </w:r>
          </w:p>
        </w:tc>
      </w:tr>
      <w:tr w14:paraId="6A86C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7" w:hRule="atLeast"/>
          <w:jc w:val="center"/>
        </w:trPr>
        <w:tc>
          <w:tcPr>
            <w:tcW w:w="1907" w:type="pct"/>
            <w:gridSpan w:val="5"/>
            <w:vAlign w:val="center"/>
          </w:tcPr>
          <w:p w14:paraId="1EF216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评定项目</w:t>
            </w:r>
          </w:p>
        </w:tc>
        <w:tc>
          <w:tcPr>
            <w:tcW w:w="651" w:type="pct"/>
            <w:gridSpan w:val="2"/>
            <w:vAlign w:val="center"/>
          </w:tcPr>
          <w:p w14:paraId="68A0FF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结构现状</w:t>
            </w:r>
          </w:p>
        </w:tc>
        <w:tc>
          <w:tcPr>
            <w:tcW w:w="1357" w:type="pct"/>
            <w:vAlign w:val="center"/>
          </w:tcPr>
          <w:p w14:paraId="599180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规范要求</w:t>
            </w:r>
          </w:p>
        </w:tc>
        <w:tc>
          <w:tcPr>
            <w:tcW w:w="1084" w:type="pct"/>
            <w:vAlign w:val="center"/>
          </w:tcPr>
          <w:p w14:paraId="474F1B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评定结果</w:t>
            </w:r>
          </w:p>
        </w:tc>
      </w:tr>
      <w:tr w14:paraId="547B4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9" w:hRule="atLeast"/>
          <w:jc w:val="center"/>
        </w:trPr>
        <w:tc>
          <w:tcPr>
            <w:tcW w:w="417" w:type="pct"/>
            <w:vMerge w:val="restart"/>
            <w:vAlign w:val="center"/>
          </w:tcPr>
          <w:p w14:paraId="080DF0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417" w:type="pct"/>
            <w:vMerge w:val="restart"/>
            <w:vAlign w:val="center"/>
          </w:tcPr>
          <w:p w14:paraId="5A5887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结构体系</w:t>
            </w:r>
          </w:p>
        </w:tc>
        <w:tc>
          <w:tcPr>
            <w:tcW w:w="1072" w:type="pct"/>
            <w:gridSpan w:val="3"/>
            <w:vAlign w:val="center"/>
          </w:tcPr>
          <w:p w14:paraId="22E28D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厂房的突出屋面天窗的承重构件</w:t>
            </w:r>
          </w:p>
        </w:tc>
        <w:tc>
          <w:tcPr>
            <w:tcW w:w="651" w:type="pct"/>
            <w:gridSpan w:val="2"/>
            <w:vAlign w:val="center"/>
          </w:tcPr>
          <w:p w14:paraId="53F76002">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rPr>
            </w:pPr>
          </w:p>
        </w:tc>
        <w:tc>
          <w:tcPr>
            <w:tcW w:w="1357" w:type="pct"/>
            <w:vAlign w:val="center"/>
          </w:tcPr>
          <w:p w14:paraId="2208B3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25"/>
                <w:rFonts w:hint="default" w:ascii="Times New Roman" w:hAnsi="Times New Roman" w:eastAsia="宋体" w:cs="Times New Roman"/>
                <w:b w:val="0"/>
                <w:color w:val="auto"/>
                <w:sz w:val="21"/>
                <w:szCs w:val="21"/>
              </w:rPr>
            </w:pPr>
            <w:r>
              <w:rPr>
                <w:rFonts w:hint="default" w:ascii="Times New Roman" w:hAnsi="Times New Roman" w:eastAsia="宋体" w:cs="Times New Roman"/>
                <w:color w:val="auto"/>
                <w:sz w:val="21"/>
                <w:szCs w:val="21"/>
              </w:rPr>
              <w:t>突出屋面天窗的端部不应为砖墙承重</w:t>
            </w:r>
          </w:p>
        </w:tc>
        <w:tc>
          <w:tcPr>
            <w:tcW w:w="1084" w:type="pct"/>
            <w:vAlign w:val="center"/>
          </w:tcPr>
          <w:p w14:paraId="64E72E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□满足；□不满足</w:t>
            </w:r>
          </w:p>
        </w:tc>
      </w:tr>
      <w:tr w14:paraId="2BE46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17" w:type="pct"/>
            <w:vMerge w:val="continue"/>
            <w:vAlign w:val="center"/>
          </w:tcPr>
          <w:p w14:paraId="286B87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417" w:type="pct"/>
            <w:vMerge w:val="continue"/>
            <w:vAlign w:val="center"/>
          </w:tcPr>
          <w:p w14:paraId="070B30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072" w:type="pct"/>
            <w:gridSpan w:val="3"/>
            <w:vAlign w:val="center"/>
          </w:tcPr>
          <w:p w14:paraId="129A6D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防震缝缝宽度</w:t>
            </w:r>
          </w:p>
        </w:tc>
        <w:tc>
          <w:tcPr>
            <w:tcW w:w="651" w:type="pct"/>
            <w:gridSpan w:val="2"/>
            <w:vAlign w:val="center"/>
          </w:tcPr>
          <w:p w14:paraId="193210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357" w:type="pct"/>
            <w:vAlign w:val="center"/>
          </w:tcPr>
          <w:p w14:paraId="313B33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防震缝宽度，一般为50~90mm,纵横跨交接处宜为100~150mm</w:t>
            </w:r>
          </w:p>
        </w:tc>
        <w:tc>
          <w:tcPr>
            <w:tcW w:w="1084" w:type="pct"/>
            <w:vAlign w:val="center"/>
          </w:tcPr>
          <w:p w14:paraId="13A31E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□满足；□不满足</w:t>
            </w:r>
          </w:p>
        </w:tc>
      </w:tr>
      <w:tr w14:paraId="2965B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17" w:type="pct"/>
            <w:vMerge w:val="restart"/>
            <w:vAlign w:val="center"/>
          </w:tcPr>
          <w:p w14:paraId="4C797B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417" w:type="pct"/>
            <w:vMerge w:val="restart"/>
            <w:vAlign w:val="center"/>
          </w:tcPr>
          <w:p w14:paraId="3833E2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抗震构造措施</w:t>
            </w:r>
          </w:p>
        </w:tc>
        <w:tc>
          <w:tcPr>
            <w:tcW w:w="1072" w:type="pct"/>
            <w:gridSpan w:val="3"/>
            <w:vAlign w:val="center"/>
          </w:tcPr>
          <w:p w14:paraId="42416F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厂房的构件形式</w:t>
            </w:r>
          </w:p>
        </w:tc>
        <w:tc>
          <w:tcPr>
            <w:tcW w:w="651" w:type="pct"/>
            <w:gridSpan w:val="2"/>
            <w:vAlign w:val="center"/>
          </w:tcPr>
          <w:p w14:paraId="018011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357" w:type="pct"/>
            <w:vAlign w:val="center"/>
          </w:tcPr>
          <w:p w14:paraId="0ACE3843">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现有的组合屋架的下弦杆宜为型钢</w:t>
            </w:r>
          </w:p>
        </w:tc>
        <w:tc>
          <w:tcPr>
            <w:tcW w:w="1084" w:type="pct"/>
            <w:vAlign w:val="center"/>
          </w:tcPr>
          <w:p w14:paraId="78B7F4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□满足；□不满足</w:t>
            </w:r>
          </w:p>
        </w:tc>
      </w:tr>
      <w:tr w14:paraId="57CB8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6" w:hRule="atLeast"/>
          <w:jc w:val="center"/>
        </w:trPr>
        <w:tc>
          <w:tcPr>
            <w:tcW w:w="417" w:type="pct"/>
            <w:vMerge w:val="continue"/>
            <w:vAlign w:val="center"/>
          </w:tcPr>
          <w:p w14:paraId="350DAD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417" w:type="pct"/>
            <w:vMerge w:val="continue"/>
            <w:vAlign w:val="center"/>
          </w:tcPr>
          <w:p w14:paraId="2D823B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535" w:type="pct"/>
            <w:gridSpan w:val="2"/>
            <w:vAlign w:val="center"/>
          </w:tcPr>
          <w:p w14:paraId="046D2D71">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无檩屋</w:t>
            </w:r>
          </w:p>
          <w:p w14:paraId="68031FE5">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架支撑</w:t>
            </w:r>
          </w:p>
          <w:p w14:paraId="12C5DFD7">
            <w:pPr>
              <w:pStyle w:val="6"/>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default" w:ascii="Times New Roman" w:hAnsi="Times New Roman" w:eastAsia="宋体" w:cs="Times New Roman"/>
                <w:color w:val="auto"/>
                <w:sz w:val="21"/>
                <w:szCs w:val="21"/>
              </w:rPr>
            </w:pPr>
          </w:p>
        </w:tc>
        <w:tc>
          <w:tcPr>
            <w:tcW w:w="537" w:type="pct"/>
            <w:vAlign w:val="center"/>
          </w:tcPr>
          <w:p w14:paraId="1A2590BD">
            <w:pPr>
              <w:pStyle w:val="6"/>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天窗两侧竖向支撑</w:t>
            </w:r>
          </w:p>
        </w:tc>
        <w:tc>
          <w:tcPr>
            <w:tcW w:w="651" w:type="pct"/>
            <w:gridSpan w:val="2"/>
            <w:vAlign w:val="center"/>
          </w:tcPr>
          <w:p w14:paraId="7E567C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357" w:type="pct"/>
            <w:vAlign w:val="center"/>
          </w:tcPr>
          <w:p w14:paraId="320F5E92">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厂房单元天窗端开间及每隔42m个有一道</w:t>
            </w:r>
          </w:p>
        </w:tc>
        <w:tc>
          <w:tcPr>
            <w:tcW w:w="1084" w:type="pct"/>
            <w:vAlign w:val="center"/>
          </w:tcPr>
          <w:p w14:paraId="1F97AD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□满足；□不满足</w:t>
            </w:r>
          </w:p>
        </w:tc>
      </w:tr>
      <w:tr w14:paraId="04658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 w:hRule="atLeast"/>
          <w:jc w:val="center"/>
        </w:trPr>
        <w:tc>
          <w:tcPr>
            <w:tcW w:w="417" w:type="pct"/>
            <w:vMerge w:val="continue"/>
            <w:vAlign w:val="center"/>
          </w:tcPr>
          <w:p w14:paraId="50245E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417" w:type="pct"/>
            <w:vMerge w:val="continue"/>
            <w:vAlign w:val="center"/>
          </w:tcPr>
          <w:p w14:paraId="27E554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535" w:type="pct"/>
            <w:gridSpan w:val="2"/>
            <w:vAlign w:val="center"/>
          </w:tcPr>
          <w:p w14:paraId="0A70F3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有檩屋架支撑</w:t>
            </w:r>
          </w:p>
        </w:tc>
        <w:tc>
          <w:tcPr>
            <w:tcW w:w="537" w:type="pct"/>
            <w:vAlign w:val="center"/>
          </w:tcPr>
          <w:p w14:paraId="74364F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上弦横向支撑</w:t>
            </w:r>
          </w:p>
        </w:tc>
        <w:tc>
          <w:tcPr>
            <w:tcW w:w="651" w:type="pct"/>
            <w:gridSpan w:val="2"/>
            <w:vAlign w:val="center"/>
          </w:tcPr>
          <w:p w14:paraId="001388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357" w:type="pct"/>
            <w:vAlign w:val="center"/>
          </w:tcPr>
          <w:p w14:paraId="4C0BC4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rPr>
              <w:t>厂房单元端开间各有一道</w:t>
            </w:r>
          </w:p>
        </w:tc>
        <w:tc>
          <w:tcPr>
            <w:tcW w:w="1084" w:type="pct"/>
            <w:vAlign w:val="center"/>
          </w:tcPr>
          <w:p w14:paraId="3156D6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□满足；□不满足</w:t>
            </w:r>
          </w:p>
        </w:tc>
      </w:tr>
      <w:tr w14:paraId="36211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417" w:type="pct"/>
            <w:vMerge w:val="continue"/>
            <w:vAlign w:val="center"/>
          </w:tcPr>
          <w:p w14:paraId="70A61B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417" w:type="pct"/>
            <w:vMerge w:val="continue"/>
            <w:vAlign w:val="center"/>
          </w:tcPr>
          <w:p w14:paraId="6EC94A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535" w:type="pct"/>
            <w:gridSpan w:val="2"/>
            <w:vMerge w:val="restart"/>
            <w:vAlign w:val="center"/>
          </w:tcPr>
          <w:p w14:paraId="6D90B1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有檩天窗架支撑</w:t>
            </w:r>
          </w:p>
        </w:tc>
        <w:tc>
          <w:tcPr>
            <w:tcW w:w="537" w:type="pct"/>
            <w:vAlign w:val="center"/>
          </w:tcPr>
          <w:p w14:paraId="382107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上弦横向支撑</w:t>
            </w:r>
          </w:p>
        </w:tc>
        <w:tc>
          <w:tcPr>
            <w:tcW w:w="651" w:type="pct"/>
            <w:gridSpan w:val="2"/>
            <w:vAlign w:val="center"/>
          </w:tcPr>
          <w:p w14:paraId="5BAFE148">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rPr>
            </w:pPr>
          </w:p>
        </w:tc>
        <w:tc>
          <w:tcPr>
            <w:tcW w:w="1357" w:type="pct"/>
            <w:vAlign w:val="center"/>
          </w:tcPr>
          <w:p w14:paraId="2F1F9C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厂房单元的天窗端开间各有一道</w:t>
            </w:r>
          </w:p>
        </w:tc>
        <w:tc>
          <w:tcPr>
            <w:tcW w:w="1084" w:type="pct"/>
            <w:vAlign w:val="center"/>
          </w:tcPr>
          <w:p w14:paraId="7D7263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□满足；□不满足</w:t>
            </w:r>
          </w:p>
        </w:tc>
      </w:tr>
      <w:tr w14:paraId="3FD9D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0" w:hRule="atLeast"/>
          <w:jc w:val="center"/>
        </w:trPr>
        <w:tc>
          <w:tcPr>
            <w:tcW w:w="417" w:type="pct"/>
            <w:vMerge w:val="continue"/>
            <w:vAlign w:val="center"/>
          </w:tcPr>
          <w:p w14:paraId="0A50A4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417" w:type="pct"/>
            <w:vMerge w:val="continue"/>
            <w:vAlign w:val="center"/>
          </w:tcPr>
          <w:p w14:paraId="592007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535" w:type="pct"/>
            <w:gridSpan w:val="2"/>
            <w:vMerge w:val="continue"/>
            <w:vAlign w:val="center"/>
          </w:tcPr>
          <w:p w14:paraId="22D984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537" w:type="pct"/>
            <w:vAlign w:val="center"/>
          </w:tcPr>
          <w:p w14:paraId="359E91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两侧竖向支撑</w:t>
            </w:r>
          </w:p>
        </w:tc>
        <w:tc>
          <w:tcPr>
            <w:tcW w:w="651" w:type="pct"/>
            <w:gridSpan w:val="2"/>
            <w:vAlign w:val="center"/>
          </w:tcPr>
          <w:p w14:paraId="7F5F6F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357" w:type="pct"/>
            <w:vAlign w:val="center"/>
          </w:tcPr>
          <w:p w14:paraId="72A6BF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厂房单元天窗端开间及每隔42m个有一道</w:t>
            </w:r>
          </w:p>
        </w:tc>
        <w:tc>
          <w:tcPr>
            <w:tcW w:w="1084" w:type="pct"/>
            <w:vAlign w:val="center"/>
          </w:tcPr>
          <w:p w14:paraId="5B2C40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□满足；□不满足</w:t>
            </w:r>
          </w:p>
        </w:tc>
      </w:tr>
      <w:tr w14:paraId="171F3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71" w:hRule="atLeast"/>
          <w:jc w:val="center"/>
        </w:trPr>
        <w:tc>
          <w:tcPr>
            <w:tcW w:w="417" w:type="pct"/>
            <w:vMerge w:val="continue"/>
            <w:vAlign w:val="center"/>
          </w:tcPr>
          <w:p w14:paraId="428D52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417" w:type="pct"/>
            <w:vMerge w:val="continue"/>
            <w:vAlign w:val="center"/>
          </w:tcPr>
          <w:p w14:paraId="29E540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072" w:type="pct"/>
            <w:gridSpan w:val="3"/>
            <w:vAlign w:val="center"/>
          </w:tcPr>
          <w:p w14:paraId="032B82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排架柱</w:t>
            </w:r>
          </w:p>
        </w:tc>
        <w:tc>
          <w:tcPr>
            <w:tcW w:w="651" w:type="pct"/>
            <w:gridSpan w:val="2"/>
            <w:vAlign w:val="center"/>
          </w:tcPr>
          <w:p w14:paraId="51CC54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357" w:type="pct"/>
            <w:vAlign w:val="center"/>
          </w:tcPr>
          <w:p w14:paraId="2E76AF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7度时Ⅲ、Ⅳ类场地时，有住建支撑的排架柱，柱顶以下500mm和柱底至设计地坪以上500mm范围内，以及柱变位受约束的部位上下各300mm的范围内，箍筋不宜小于φ8，间距不宜大于100mm</w:t>
            </w:r>
          </w:p>
        </w:tc>
        <w:tc>
          <w:tcPr>
            <w:tcW w:w="1084" w:type="pct"/>
            <w:vAlign w:val="center"/>
          </w:tcPr>
          <w:p w14:paraId="5F417D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满足；□不满足</w:t>
            </w:r>
          </w:p>
        </w:tc>
      </w:tr>
      <w:tr w14:paraId="25B64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14" w:hRule="atLeast"/>
          <w:jc w:val="center"/>
        </w:trPr>
        <w:tc>
          <w:tcPr>
            <w:tcW w:w="417" w:type="pct"/>
            <w:vMerge w:val="continue"/>
            <w:vAlign w:val="center"/>
          </w:tcPr>
          <w:p w14:paraId="4BF52F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417" w:type="pct"/>
            <w:vMerge w:val="continue"/>
            <w:vAlign w:val="center"/>
          </w:tcPr>
          <w:p w14:paraId="7DA398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072" w:type="pct"/>
            <w:gridSpan w:val="3"/>
            <w:vAlign w:val="center"/>
          </w:tcPr>
          <w:p w14:paraId="03251E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柱间支撑设置要求</w:t>
            </w:r>
          </w:p>
        </w:tc>
        <w:tc>
          <w:tcPr>
            <w:tcW w:w="651" w:type="pct"/>
            <w:gridSpan w:val="2"/>
            <w:vAlign w:val="center"/>
          </w:tcPr>
          <w:p w14:paraId="1500A2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red"/>
              </w:rPr>
            </w:pPr>
          </w:p>
        </w:tc>
        <w:tc>
          <w:tcPr>
            <w:tcW w:w="1357" w:type="pct"/>
            <w:vAlign w:val="center"/>
          </w:tcPr>
          <w:p w14:paraId="7F04A642">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1、7度时Ⅲ、Ⅳ类场地时</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厂房单元中部应有一道上下柱间支撑</w:t>
            </w:r>
          </w:p>
          <w:p w14:paraId="5C46A1FE">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2、柱间支撑宜釆用型钢</w:t>
            </w:r>
          </w:p>
        </w:tc>
        <w:tc>
          <w:tcPr>
            <w:tcW w:w="1084" w:type="pct"/>
            <w:vAlign w:val="center"/>
          </w:tcPr>
          <w:p w14:paraId="73CB7A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满足；□不满足</w:t>
            </w:r>
          </w:p>
        </w:tc>
      </w:tr>
      <w:tr w14:paraId="44C11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54" w:hRule="atLeast"/>
          <w:jc w:val="center"/>
        </w:trPr>
        <w:tc>
          <w:tcPr>
            <w:tcW w:w="417" w:type="pct"/>
            <w:vAlign w:val="center"/>
          </w:tcPr>
          <w:p w14:paraId="527F72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417" w:type="pct"/>
            <w:vAlign w:val="center"/>
          </w:tcPr>
          <w:p w14:paraId="413047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072" w:type="pct"/>
            <w:gridSpan w:val="3"/>
            <w:vAlign w:val="center"/>
          </w:tcPr>
          <w:p w14:paraId="04F760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连接构造</w:t>
            </w:r>
          </w:p>
        </w:tc>
        <w:tc>
          <w:tcPr>
            <w:tcW w:w="651" w:type="pct"/>
            <w:gridSpan w:val="2"/>
            <w:vAlign w:val="center"/>
          </w:tcPr>
          <w:p w14:paraId="331533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red"/>
              </w:rPr>
            </w:pPr>
          </w:p>
        </w:tc>
        <w:tc>
          <w:tcPr>
            <w:tcW w:w="1357" w:type="pct"/>
            <w:vAlign w:val="center"/>
          </w:tcPr>
          <w:p w14:paraId="247565C3">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SA"/>
              </w:rPr>
              <w:t>1、</w:t>
            </w:r>
            <w:r>
              <w:rPr>
                <w:rFonts w:hint="default" w:ascii="Times New Roman" w:hAnsi="Times New Roman" w:eastAsia="宋体" w:cs="Times New Roman"/>
                <w:color w:val="auto"/>
                <w:sz w:val="21"/>
                <w:szCs w:val="21"/>
              </w:rPr>
              <w:t>檩条在屋架上的支承长度不宜小于50mm；</w:t>
            </w:r>
          </w:p>
          <w:p w14:paraId="430BC0EA">
            <w:pPr>
              <w:pStyle w:val="6"/>
              <w:keepNext w:val="0"/>
              <w:keepLines w:val="0"/>
              <w:pageBreakBefore w:val="0"/>
              <w:widowControl w:val="0"/>
              <w:numPr>
                <w:ilvl w:val="0"/>
                <w:numId w:val="0"/>
              </w:numPr>
              <w:kinsoku/>
              <w:wordWrap/>
              <w:overflowPunct/>
              <w:topLinePunct w:val="0"/>
              <w:autoSpaceDE/>
              <w:autoSpaceDN/>
              <w:bidi w:val="0"/>
              <w:adjustRightInd/>
              <w:snapToGrid/>
              <w:spacing w:before="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SA"/>
              </w:rPr>
              <w:t>2、</w:t>
            </w:r>
            <w:r>
              <w:rPr>
                <w:rFonts w:hint="default" w:ascii="Times New Roman" w:hAnsi="Times New Roman" w:eastAsia="宋体" w:cs="Times New Roman"/>
                <w:color w:val="auto"/>
                <w:sz w:val="21"/>
                <w:szCs w:val="21"/>
              </w:rPr>
              <w:t>大型屋面板在天窗架、屋架上的支承长度不宜小于50mm；</w:t>
            </w:r>
          </w:p>
          <w:p w14:paraId="48BE78F3">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2"/>
                <w:sz w:val="21"/>
                <w:szCs w:val="21"/>
                <w:lang w:val="en-US" w:eastAsia="zh-CN" w:bidi="ar-SA"/>
              </w:rPr>
              <w:t>3、</w:t>
            </w:r>
            <w:r>
              <w:rPr>
                <w:rFonts w:hint="default" w:ascii="Times New Roman" w:hAnsi="Times New Roman" w:eastAsia="宋体" w:cs="Times New Roman"/>
                <w:color w:val="auto"/>
                <w:sz w:val="21"/>
                <w:szCs w:val="21"/>
              </w:rPr>
              <w:t>锯齿形厂房双梁在牛腿上的支承长度，两端为直头时不应小于120mm，梁端为斜头时，不应小于150mm</w:t>
            </w:r>
            <w:r>
              <w:rPr>
                <w:rFonts w:hint="default" w:ascii="Times New Roman" w:hAnsi="Times New Roman" w:eastAsia="宋体" w:cs="Times New Roman"/>
                <w:color w:val="auto"/>
                <w:sz w:val="21"/>
                <w:szCs w:val="21"/>
                <w:lang w:eastAsia="zh-CN"/>
              </w:rPr>
              <w:t>；</w:t>
            </w:r>
          </w:p>
          <w:p w14:paraId="3B5102C3">
            <w:pPr>
              <w:pStyle w:val="6"/>
              <w:keepNext w:val="0"/>
              <w:keepLines w:val="0"/>
              <w:pageBreakBefore w:val="0"/>
              <w:widowControl w:val="0"/>
              <w:numPr>
                <w:ilvl w:val="0"/>
                <w:numId w:val="0"/>
              </w:numPr>
              <w:kinsoku/>
              <w:wordWrap/>
              <w:overflowPunct/>
              <w:topLinePunct w:val="0"/>
              <w:autoSpaceDE/>
              <w:autoSpaceDN/>
              <w:bidi w:val="0"/>
              <w:adjustRightInd/>
              <w:snapToGrid/>
              <w:spacing w:before="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SA"/>
              </w:rPr>
              <w:t>4、</w:t>
            </w:r>
            <w:r>
              <w:rPr>
                <w:rFonts w:hint="default" w:ascii="Times New Roman" w:hAnsi="Times New Roman" w:eastAsia="宋体" w:cs="Times New Roman"/>
                <w:color w:val="auto"/>
                <w:sz w:val="21"/>
                <w:szCs w:val="21"/>
              </w:rPr>
              <w:t>天窗架与屋架，屋架、托架与柱子，屋盖支撑与屋架，柱间支撑与排架柱之间应有可靠连接；</w:t>
            </w:r>
          </w:p>
          <w:p w14:paraId="0990DB34">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SA"/>
              </w:rPr>
              <w:t>5、</w:t>
            </w:r>
            <w:r>
              <w:rPr>
                <w:rFonts w:hint="default" w:ascii="Times New Roman" w:hAnsi="Times New Roman" w:eastAsia="宋体" w:cs="Times New Roman"/>
                <w:color w:val="auto"/>
                <w:sz w:val="21"/>
                <w:szCs w:val="21"/>
              </w:rPr>
              <w:t>上墙抗风柱与屋架（屋面梁）上弦应有可靠连接；</w:t>
            </w:r>
          </w:p>
          <w:p w14:paraId="6E36137B">
            <w:pPr>
              <w:pStyle w:val="6"/>
              <w:keepNext w:val="0"/>
              <w:keepLines w:val="0"/>
              <w:pageBreakBefore w:val="0"/>
              <w:widowControl w:val="0"/>
              <w:numPr>
                <w:ilvl w:val="0"/>
                <w:numId w:val="0"/>
              </w:numPr>
              <w:kinsoku/>
              <w:wordWrap/>
              <w:overflowPunct/>
              <w:topLinePunct w:val="0"/>
              <w:autoSpaceDE/>
              <w:autoSpaceDN/>
              <w:bidi w:val="0"/>
              <w:adjustRightInd/>
              <w:snapToGrid/>
              <w:spacing w:before="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SA"/>
              </w:rPr>
              <w:t>6、</w:t>
            </w:r>
            <w:r>
              <w:rPr>
                <w:rFonts w:hint="default" w:ascii="Times New Roman" w:hAnsi="Times New Roman" w:eastAsia="宋体" w:cs="Times New Roman"/>
                <w:color w:val="auto"/>
                <w:sz w:val="21"/>
                <w:szCs w:val="21"/>
              </w:rPr>
              <w:t>天窗端壁板、天窗侧板与大型屋面板之间的缝隙不应为砖块封堵。</w:t>
            </w:r>
          </w:p>
        </w:tc>
        <w:tc>
          <w:tcPr>
            <w:tcW w:w="1084" w:type="pct"/>
            <w:vAlign w:val="center"/>
          </w:tcPr>
          <w:p w14:paraId="6D2E9F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满足；□不满足</w:t>
            </w:r>
          </w:p>
        </w:tc>
      </w:tr>
    </w:tbl>
    <w:p w14:paraId="4F1EF49B">
      <w:pP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br w:type="page"/>
      </w:r>
    </w:p>
    <w:p w14:paraId="7CFA01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单层钢筋混凝土柱厂房</w:t>
      </w:r>
      <w:r>
        <w:rPr>
          <w:rFonts w:hint="eastAsia" w:ascii="Times New Roman" w:hAnsi="Times New Roman" w:eastAsia="宋体" w:cs="Times New Roman"/>
          <w:b/>
          <w:bCs/>
          <w:color w:val="auto"/>
          <w:sz w:val="21"/>
          <w:szCs w:val="21"/>
          <w:lang w:val="en-US" w:eastAsia="zh-CN"/>
        </w:rPr>
        <w:t>B</w:t>
      </w:r>
      <w:r>
        <w:rPr>
          <w:rFonts w:hint="default" w:ascii="Times New Roman" w:hAnsi="Times New Roman" w:eastAsia="宋体" w:cs="Times New Roman"/>
          <w:b/>
          <w:bCs/>
          <w:color w:val="auto"/>
          <w:sz w:val="21"/>
          <w:szCs w:val="21"/>
        </w:rPr>
        <w:t>类抗震鉴定构造措施（表</w:t>
      </w:r>
      <w:r>
        <w:rPr>
          <w:rFonts w:hint="eastAsia" w:ascii="Times New Roman" w:hAnsi="Times New Roman" w:eastAsia="宋体" w:cs="Times New Roman"/>
          <w:color w:val="auto"/>
          <w:sz w:val="21"/>
          <w:szCs w:val="21"/>
          <w:lang w:val="en-US" w:eastAsia="zh-CN"/>
        </w:rPr>
        <w:t>E.2</w:t>
      </w:r>
      <w:r>
        <w:rPr>
          <w:rFonts w:hint="default" w:ascii="Times New Roman" w:hAnsi="Times New Roman" w:eastAsia="宋体" w:cs="Times New Roman"/>
          <w:b/>
          <w:bCs/>
          <w:color w:val="auto"/>
          <w:sz w:val="21"/>
          <w:szCs w:val="21"/>
        </w:rPr>
        <w:t>）</w:t>
      </w:r>
    </w:p>
    <w:tbl>
      <w:tblPr>
        <w:tblStyle w:val="22"/>
        <w:tblW w:w="515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733"/>
        <w:gridCol w:w="430"/>
        <w:gridCol w:w="68"/>
        <w:gridCol w:w="518"/>
        <w:gridCol w:w="1061"/>
        <w:gridCol w:w="1140"/>
        <w:gridCol w:w="2412"/>
        <w:gridCol w:w="1685"/>
      </w:tblGrid>
      <w:tr w14:paraId="47DA5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9" w:hRule="atLeast"/>
          <w:jc w:val="center"/>
        </w:trPr>
        <w:tc>
          <w:tcPr>
            <w:tcW w:w="5000" w:type="pct"/>
            <w:gridSpan w:val="9"/>
            <w:vAlign w:val="center"/>
          </w:tcPr>
          <w:p w14:paraId="00F51A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一般规定</w:t>
            </w:r>
          </w:p>
        </w:tc>
      </w:tr>
      <w:tr w14:paraId="3CAC9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9" w:hRule="atLeast"/>
          <w:jc w:val="center"/>
        </w:trPr>
        <w:tc>
          <w:tcPr>
            <w:tcW w:w="417" w:type="pct"/>
            <w:vAlign w:val="center"/>
          </w:tcPr>
          <w:p w14:paraId="70E560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662" w:type="pct"/>
            <w:gridSpan w:val="2"/>
            <w:vAlign w:val="center"/>
          </w:tcPr>
          <w:p w14:paraId="7C313A3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总体信息</w:t>
            </w:r>
          </w:p>
        </w:tc>
        <w:tc>
          <w:tcPr>
            <w:tcW w:w="1587" w:type="pct"/>
            <w:gridSpan w:val="4"/>
            <w:vAlign w:val="center"/>
          </w:tcPr>
          <w:p w14:paraId="5C0A60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设防烈度：□6度□7度</w:t>
            </w:r>
          </w:p>
        </w:tc>
        <w:tc>
          <w:tcPr>
            <w:tcW w:w="1373" w:type="pct"/>
            <w:vAlign w:val="center"/>
          </w:tcPr>
          <w:p w14:paraId="3F23F9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□现浇楼盖；□轻屋盖</w:t>
            </w:r>
          </w:p>
        </w:tc>
        <w:tc>
          <w:tcPr>
            <w:tcW w:w="959" w:type="pct"/>
            <w:vAlign w:val="center"/>
          </w:tcPr>
          <w:p w14:paraId="5C8602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建筑物层数：层</w:t>
            </w:r>
          </w:p>
        </w:tc>
      </w:tr>
      <w:tr w14:paraId="3BA1B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9" w:hRule="atLeast"/>
          <w:jc w:val="center"/>
        </w:trPr>
        <w:tc>
          <w:tcPr>
            <w:tcW w:w="417" w:type="pct"/>
            <w:vMerge w:val="restart"/>
            <w:vAlign w:val="center"/>
          </w:tcPr>
          <w:p w14:paraId="663AA1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662" w:type="pct"/>
            <w:gridSpan w:val="2"/>
            <w:vMerge w:val="restart"/>
            <w:vAlign w:val="center"/>
          </w:tcPr>
          <w:p w14:paraId="3BEE69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外观和内在质量</w:t>
            </w:r>
          </w:p>
        </w:tc>
        <w:tc>
          <w:tcPr>
            <w:tcW w:w="3920" w:type="pct"/>
            <w:gridSpan w:val="6"/>
            <w:vAlign w:val="center"/>
          </w:tcPr>
          <w:p w14:paraId="50FD6A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□无不均匀沉降</w:t>
            </w:r>
          </w:p>
        </w:tc>
      </w:tr>
      <w:tr w14:paraId="024C6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9" w:hRule="atLeast"/>
          <w:jc w:val="center"/>
        </w:trPr>
        <w:tc>
          <w:tcPr>
            <w:tcW w:w="417" w:type="pct"/>
            <w:vMerge w:val="continue"/>
            <w:vAlign w:val="center"/>
          </w:tcPr>
          <w:p w14:paraId="150611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662" w:type="pct"/>
            <w:gridSpan w:val="2"/>
            <w:vMerge w:val="continue"/>
            <w:vAlign w:val="center"/>
          </w:tcPr>
          <w:p w14:paraId="4AAAF4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3920" w:type="pct"/>
            <w:gridSpan w:val="6"/>
            <w:vAlign w:val="center"/>
          </w:tcPr>
          <w:p w14:paraId="54E963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□钢筋无露筋和锈蚀□构连接无裂缝或松动</w:t>
            </w:r>
          </w:p>
        </w:tc>
      </w:tr>
      <w:tr w14:paraId="41827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9" w:hRule="atLeast"/>
          <w:jc w:val="center"/>
        </w:trPr>
        <w:tc>
          <w:tcPr>
            <w:tcW w:w="417" w:type="pct"/>
            <w:vMerge w:val="continue"/>
            <w:vAlign w:val="center"/>
          </w:tcPr>
          <w:p w14:paraId="4E1CA5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662" w:type="pct"/>
            <w:gridSpan w:val="2"/>
            <w:vMerge w:val="continue"/>
            <w:vAlign w:val="center"/>
          </w:tcPr>
          <w:p w14:paraId="6FB983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3920" w:type="pct"/>
            <w:gridSpan w:val="6"/>
            <w:vAlign w:val="center"/>
          </w:tcPr>
          <w:p w14:paraId="6EC281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□无砖墙、钢结构构件的其他损伤</w:t>
            </w:r>
          </w:p>
        </w:tc>
      </w:tr>
      <w:tr w14:paraId="375DE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9" w:hRule="atLeast"/>
          <w:jc w:val="center"/>
        </w:trPr>
        <w:tc>
          <w:tcPr>
            <w:tcW w:w="5000" w:type="pct"/>
            <w:gridSpan w:val="9"/>
            <w:vAlign w:val="center"/>
          </w:tcPr>
          <w:p w14:paraId="73FE88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抗震构造措施鉴定</w:t>
            </w:r>
          </w:p>
        </w:tc>
      </w:tr>
      <w:tr w14:paraId="0F0BF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9" w:hRule="atLeast"/>
          <w:jc w:val="center"/>
        </w:trPr>
        <w:tc>
          <w:tcPr>
            <w:tcW w:w="2017" w:type="pct"/>
            <w:gridSpan w:val="6"/>
            <w:vAlign w:val="center"/>
          </w:tcPr>
          <w:p w14:paraId="4189086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评定项目</w:t>
            </w:r>
          </w:p>
        </w:tc>
        <w:tc>
          <w:tcPr>
            <w:tcW w:w="649" w:type="pct"/>
            <w:vAlign w:val="center"/>
          </w:tcPr>
          <w:p w14:paraId="6094B4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结构现状</w:t>
            </w:r>
          </w:p>
        </w:tc>
        <w:tc>
          <w:tcPr>
            <w:tcW w:w="1373" w:type="pct"/>
            <w:vAlign w:val="center"/>
          </w:tcPr>
          <w:p w14:paraId="502E7B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规范要求</w:t>
            </w:r>
          </w:p>
        </w:tc>
        <w:tc>
          <w:tcPr>
            <w:tcW w:w="959" w:type="pct"/>
            <w:vAlign w:val="center"/>
          </w:tcPr>
          <w:p w14:paraId="246CAB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评定结果</w:t>
            </w:r>
          </w:p>
        </w:tc>
      </w:tr>
      <w:tr w14:paraId="3CF8B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92" w:hRule="atLeast"/>
          <w:jc w:val="center"/>
        </w:trPr>
        <w:tc>
          <w:tcPr>
            <w:tcW w:w="417" w:type="pct"/>
            <w:vMerge w:val="restart"/>
            <w:vAlign w:val="center"/>
          </w:tcPr>
          <w:p w14:paraId="24F5FF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417" w:type="pct"/>
            <w:vMerge w:val="restart"/>
            <w:vAlign w:val="center"/>
          </w:tcPr>
          <w:p w14:paraId="54BB2B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结构体系</w:t>
            </w:r>
          </w:p>
        </w:tc>
        <w:tc>
          <w:tcPr>
            <w:tcW w:w="1182" w:type="pct"/>
            <w:gridSpan w:val="4"/>
            <w:vAlign w:val="center"/>
          </w:tcPr>
          <w:p w14:paraId="272A4D7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厂房的突出屋面天窗</w:t>
            </w:r>
          </w:p>
        </w:tc>
        <w:tc>
          <w:tcPr>
            <w:tcW w:w="649" w:type="pct"/>
            <w:vAlign w:val="center"/>
          </w:tcPr>
          <w:p w14:paraId="72F15D0F">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rPr>
            </w:pPr>
          </w:p>
        </w:tc>
        <w:tc>
          <w:tcPr>
            <w:tcW w:w="1373" w:type="pct"/>
            <w:vAlign w:val="center"/>
          </w:tcPr>
          <w:p w14:paraId="6EFAD83F">
            <w:pPr>
              <w:keepNext w:val="0"/>
              <w:keepLines w:val="0"/>
              <w:pageBreakBefore w:val="0"/>
              <w:widowControl w:val="0"/>
              <w:numPr>
                <w:ilvl w:val="0"/>
                <w:numId w:val="6"/>
              </w:numPr>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宜采用钢天窗或矩形截面杆件的混凝土天窗架</w:t>
            </w:r>
            <w:r>
              <w:rPr>
                <w:rFonts w:hint="eastAsia" w:ascii="Times New Roman" w:hAnsi="Times New Roman" w:eastAsia="宋体" w:cs="Times New Roman"/>
                <w:color w:val="auto"/>
                <w:sz w:val="21"/>
                <w:szCs w:val="21"/>
                <w:lang w:eastAsia="zh-CN"/>
              </w:rPr>
              <w:t>；</w:t>
            </w:r>
          </w:p>
          <w:p w14:paraId="40A0EC68">
            <w:pPr>
              <w:pStyle w:val="6"/>
              <w:keepNext w:val="0"/>
              <w:keepLines w:val="0"/>
              <w:pageBreakBefore w:val="0"/>
              <w:widowControl w:val="0"/>
              <w:numPr>
                <w:ilvl w:val="0"/>
                <w:numId w:val="6"/>
              </w:numPr>
              <w:kinsoku/>
              <w:wordWrap/>
              <w:overflowPunct/>
              <w:topLinePunct w:val="0"/>
              <w:autoSpaceDE/>
              <w:autoSpaceDN/>
              <w:bidi w:val="0"/>
              <w:adjustRightInd/>
              <w:snapToGrid/>
              <w:spacing w:before="0" w:line="240" w:lineRule="auto"/>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天窗架宜从厂房单元端部第三柱间开始设置</w:t>
            </w:r>
            <w:r>
              <w:rPr>
                <w:rFonts w:hint="eastAsia" w:ascii="Times New Roman" w:hAnsi="Times New Roman" w:eastAsia="宋体" w:cs="Times New Roman"/>
                <w:color w:val="auto"/>
                <w:sz w:val="21"/>
                <w:szCs w:val="21"/>
                <w:lang w:eastAsia="zh-CN"/>
              </w:rPr>
              <w:t>。</w:t>
            </w:r>
          </w:p>
        </w:tc>
        <w:tc>
          <w:tcPr>
            <w:tcW w:w="959" w:type="pct"/>
            <w:vAlign w:val="center"/>
          </w:tcPr>
          <w:p w14:paraId="013FBE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□满足；□不满足</w:t>
            </w:r>
          </w:p>
        </w:tc>
      </w:tr>
      <w:tr w14:paraId="1DBB6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1" w:hRule="atLeast"/>
          <w:jc w:val="center"/>
        </w:trPr>
        <w:tc>
          <w:tcPr>
            <w:tcW w:w="417" w:type="pct"/>
            <w:vMerge w:val="continue"/>
            <w:vAlign w:val="center"/>
          </w:tcPr>
          <w:p w14:paraId="1D5BDD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417" w:type="pct"/>
            <w:vMerge w:val="continue"/>
            <w:vAlign w:val="center"/>
          </w:tcPr>
          <w:p w14:paraId="6C75EA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182" w:type="pct"/>
            <w:gridSpan w:val="4"/>
            <w:vAlign w:val="center"/>
          </w:tcPr>
          <w:p w14:paraId="735F16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防震缝缝宽度</w:t>
            </w:r>
          </w:p>
        </w:tc>
        <w:tc>
          <w:tcPr>
            <w:tcW w:w="649" w:type="pct"/>
            <w:vAlign w:val="center"/>
          </w:tcPr>
          <w:p w14:paraId="270038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373" w:type="pct"/>
            <w:vAlign w:val="center"/>
          </w:tcPr>
          <w:p w14:paraId="163CACC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防震缝宽度，一般为50~90mm,纵横跨交接处宜为100~150mm</w:t>
            </w:r>
          </w:p>
        </w:tc>
        <w:tc>
          <w:tcPr>
            <w:tcW w:w="959" w:type="pct"/>
            <w:vAlign w:val="center"/>
          </w:tcPr>
          <w:p w14:paraId="22FE19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□满足；□不满足</w:t>
            </w:r>
          </w:p>
        </w:tc>
      </w:tr>
      <w:tr w14:paraId="1CA8A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2" w:hRule="atLeast"/>
          <w:jc w:val="center"/>
        </w:trPr>
        <w:tc>
          <w:tcPr>
            <w:tcW w:w="417" w:type="pct"/>
            <w:vMerge w:val="restart"/>
            <w:vAlign w:val="center"/>
          </w:tcPr>
          <w:p w14:paraId="668C2E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417" w:type="pct"/>
            <w:vMerge w:val="restart"/>
            <w:vAlign w:val="center"/>
          </w:tcPr>
          <w:p w14:paraId="36C572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抗震构造措施</w:t>
            </w:r>
          </w:p>
        </w:tc>
        <w:tc>
          <w:tcPr>
            <w:tcW w:w="283" w:type="pct"/>
            <w:gridSpan w:val="2"/>
            <w:vMerge w:val="restart"/>
            <w:vAlign w:val="center"/>
          </w:tcPr>
          <w:p w14:paraId="34DBCD78">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无檩屋</w:t>
            </w:r>
          </w:p>
          <w:p w14:paraId="711AC3BB">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架支撑</w:t>
            </w:r>
          </w:p>
          <w:p w14:paraId="3E664934">
            <w:pPr>
              <w:pStyle w:val="6"/>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default" w:ascii="Times New Roman" w:hAnsi="Times New Roman" w:eastAsia="宋体" w:cs="Times New Roman"/>
                <w:color w:val="auto"/>
                <w:sz w:val="21"/>
                <w:szCs w:val="21"/>
              </w:rPr>
            </w:pPr>
          </w:p>
        </w:tc>
        <w:tc>
          <w:tcPr>
            <w:tcW w:w="899" w:type="pct"/>
            <w:gridSpan w:val="2"/>
            <w:vAlign w:val="center"/>
          </w:tcPr>
          <w:p w14:paraId="152EED69">
            <w:pPr>
              <w:pStyle w:val="6"/>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上弦横向支撑</w:t>
            </w:r>
          </w:p>
        </w:tc>
        <w:tc>
          <w:tcPr>
            <w:tcW w:w="649" w:type="pct"/>
            <w:vAlign w:val="center"/>
          </w:tcPr>
          <w:p w14:paraId="1D2553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373" w:type="pct"/>
            <w:vAlign w:val="center"/>
          </w:tcPr>
          <w:p w14:paraId="0245BAD8">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屋架跨度小于18m时同非抗震设计，跨度不小于18m时在厂房单元端开间个有一道</w:t>
            </w:r>
          </w:p>
        </w:tc>
        <w:tc>
          <w:tcPr>
            <w:tcW w:w="959" w:type="pct"/>
            <w:vAlign w:val="center"/>
          </w:tcPr>
          <w:p w14:paraId="2FD73D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□满足；□不满足</w:t>
            </w:r>
          </w:p>
        </w:tc>
      </w:tr>
      <w:tr w14:paraId="21066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6" w:hRule="atLeast"/>
          <w:jc w:val="center"/>
        </w:trPr>
        <w:tc>
          <w:tcPr>
            <w:tcW w:w="417" w:type="pct"/>
            <w:vMerge w:val="continue"/>
            <w:vAlign w:val="center"/>
          </w:tcPr>
          <w:p w14:paraId="4BEDA725">
            <w:pPr>
              <w:pStyle w:val="6"/>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default" w:ascii="Times New Roman" w:hAnsi="Times New Roman" w:eastAsia="宋体" w:cs="Times New Roman"/>
                <w:color w:val="auto"/>
                <w:sz w:val="21"/>
                <w:szCs w:val="21"/>
              </w:rPr>
            </w:pPr>
          </w:p>
        </w:tc>
        <w:tc>
          <w:tcPr>
            <w:tcW w:w="417" w:type="pct"/>
            <w:vMerge w:val="continue"/>
            <w:vAlign w:val="center"/>
          </w:tcPr>
          <w:p w14:paraId="64995369">
            <w:pPr>
              <w:pStyle w:val="6"/>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default" w:ascii="Times New Roman" w:hAnsi="Times New Roman" w:eastAsia="宋体" w:cs="Times New Roman"/>
                <w:color w:val="auto"/>
                <w:sz w:val="21"/>
                <w:szCs w:val="21"/>
              </w:rPr>
            </w:pPr>
          </w:p>
        </w:tc>
        <w:tc>
          <w:tcPr>
            <w:tcW w:w="283" w:type="pct"/>
            <w:gridSpan w:val="2"/>
            <w:vMerge w:val="continue"/>
            <w:vAlign w:val="center"/>
          </w:tcPr>
          <w:p w14:paraId="3FE36DB3">
            <w:pPr>
              <w:pStyle w:val="6"/>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default" w:ascii="Times New Roman" w:hAnsi="Times New Roman" w:eastAsia="宋体" w:cs="Times New Roman"/>
                <w:color w:val="auto"/>
                <w:sz w:val="21"/>
                <w:szCs w:val="21"/>
              </w:rPr>
            </w:pPr>
          </w:p>
        </w:tc>
        <w:tc>
          <w:tcPr>
            <w:tcW w:w="294" w:type="pct"/>
            <w:vMerge w:val="restart"/>
            <w:vAlign w:val="center"/>
          </w:tcPr>
          <w:p w14:paraId="0C43AFCA">
            <w:pPr>
              <w:pStyle w:val="6"/>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两端竖向支撑</w:t>
            </w:r>
          </w:p>
        </w:tc>
        <w:tc>
          <w:tcPr>
            <w:tcW w:w="604" w:type="pct"/>
            <w:vAlign w:val="center"/>
          </w:tcPr>
          <w:p w14:paraId="6ED44B82">
            <w:pPr>
              <w:pStyle w:val="6"/>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屋架端部高度≤900mm</w:t>
            </w:r>
          </w:p>
        </w:tc>
        <w:tc>
          <w:tcPr>
            <w:tcW w:w="649" w:type="pct"/>
            <w:vAlign w:val="center"/>
          </w:tcPr>
          <w:p w14:paraId="19B6EA1E">
            <w:pPr>
              <w:pStyle w:val="6"/>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default" w:ascii="Times New Roman" w:hAnsi="Times New Roman" w:eastAsia="宋体" w:cs="Times New Roman"/>
                <w:color w:val="auto"/>
                <w:sz w:val="21"/>
                <w:szCs w:val="21"/>
              </w:rPr>
            </w:pPr>
          </w:p>
        </w:tc>
        <w:tc>
          <w:tcPr>
            <w:tcW w:w="1373" w:type="pct"/>
            <w:vAlign w:val="center"/>
          </w:tcPr>
          <w:p w14:paraId="2C4032E2">
            <w:pPr>
              <w:pStyle w:val="6"/>
              <w:keepNext w:val="0"/>
              <w:keepLines w:val="0"/>
              <w:pageBreakBefore w:val="0"/>
              <w:widowControl w:val="0"/>
              <w:kinsoku/>
              <w:wordWrap/>
              <w:overflowPunct/>
              <w:topLinePunct w:val="0"/>
              <w:autoSpaceDE/>
              <w:autoSpaceDN/>
              <w:bidi w:val="0"/>
              <w:adjustRightInd/>
              <w:snapToGrid/>
              <w:spacing w:before="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同非抗震设计</w:t>
            </w:r>
          </w:p>
        </w:tc>
        <w:tc>
          <w:tcPr>
            <w:tcW w:w="959" w:type="pct"/>
            <w:vAlign w:val="center"/>
          </w:tcPr>
          <w:p w14:paraId="6FEE6DAF">
            <w:pPr>
              <w:pStyle w:val="6"/>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□满足；□不满足</w:t>
            </w:r>
          </w:p>
        </w:tc>
      </w:tr>
      <w:tr w14:paraId="0E604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6" w:hRule="atLeast"/>
          <w:jc w:val="center"/>
        </w:trPr>
        <w:tc>
          <w:tcPr>
            <w:tcW w:w="417" w:type="pct"/>
            <w:vMerge w:val="continue"/>
            <w:vAlign w:val="center"/>
          </w:tcPr>
          <w:p w14:paraId="0C16786D">
            <w:pPr>
              <w:pStyle w:val="6"/>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default" w:ascii="Times New Roman" w:hAnsi="Times New Roman" w:eastAsia="宋体" w:cs="Times New Roman"/>
                <w:color w:val="auto"/>
                <w:sz w:val="21"/>
                <w:szCs w:val="21"/>
              </w:rPr>
            </w:pPr>
          </w:p>
        </w:tc>
        <w:tc>
          <w:tcPr>
            <w:tcW w:w="417" w:type="pct"/>
            <w:vMerge w:val="continue"/>
            <w:vAlign w:val="center"/>
          </w:tcPr>
          <w:p w14:paraId="6B8C2600">
            <w:pPr>
              <w:pStyle w:val="6"/>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default" w:ascii="Times New Roman" w:hAnsi="Times New Roman" w:eastAsia="宋体" w:cs="Times New Roman"/>
                <w:color w:val="auto"/>
                <w:sz w:val="21"/>
                <w:szCs w:val="21"/>
              </w:rPr>
            </w:pPr>
          </w:p>
        </w:tc>
        <w:tc>
          <w:tcPr>
            <w:tcW w:w="283" w:type="pct"/>
            <w:gridSpan w:val="2"/>
            <w:vMerge w:val="continue"/>
            <w:vAlign w:val="center"/>
          </w:tcPr>
          <w:p w14:paraId="10280D1E">
            <w:pPr>
              <w:pStyle w:val="6"/>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default" w:ascii="Times New Roman" w:hAnsi="Times New Roman" w:eastAsia="宋体" w:cs="Times New Roman"/>
                <w:color w:val="auto"/>
                <w:sz w:val="21"/>
                <w:szCs w:val="21"/>
              </w:rPr>
            </w:pPr>
          </w:p>
        </w:tc>
        <w:tc>
          <w:tcPr>
            <w:tcW w:w="294" w:type="pct"/>
            <w:vMerge w:val="continue"/>
            <w:vAlign w:val="center"/>
          </w:tcPr>
          <w:p w14:paraId="3BFCF3FB">
            <w:pPr>
              <w:pStyle w:val="6"/>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default" w:ascii="Times New Roman" w:hAnsi="Times New Roman" w:eastAsia="宋体" w:cs="Times New Roman"/>
                <w:color w:val="auto"/>
                <w:sz w:val="21"/>
                <w:szCs w:val="21"/>
              </w:rPr>
            </w:pPr>
          </w:p>
        </w:tc>
        <w:tc>
          <w:tcPr>
            <w:tcW w:w="604" w:type="pct"/>
            <w:vAlign w:val="center"/>
          </w:tcPr>
          <w:p w14:paraId="32F0E3C5">
            <w:pPr>
              <w:pStyle w:val="6"/>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屋架端部高度≥900mm</w:t>
            </w:r>
          </w:p>
        </w:tc>
        <w:tc>
          <w:tcPr>
            <w:tcW w:w="649" w:type="pct"/>
            <w:vAlign w:val="center"/>
          </w:tcPr>
          <w:p w14:paraId="4D3BE3C1">
            <w:pPr>
              <w:pStyle w:val="6"/>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default" w:ascii="Times New Roman" w:hAnsi="Times New Roman" w:eastAsia="宋体" w:cs="Times New Roman"/>
                <w:color w:val="auto"/>
                <w:sz w:val="21"/>
                <w:szCs w:val="21"/>
              </w:rPr>
            </w:pPr>
          </w:p>
        </w:tc>
        <w:tc>
          <w:tcPr>
            <w:tcW w:w="1373" w:type="pct"/>
            <w:vAlign w:val="center"/>
          </w:tcPr>
          <w:p w14:paraId="67BD3E28">
            <w:pPr>
              <w:pStyle w:val="6"/>
              <w:keepNext w:val="0"/>
              <w:keepLines w:val="0"/>
              <w:pageBreakBefore w:val="0"/>
              <w:widowControl w:val="0"/>
              <w:kinsoku/>
              <w:wordWrap/>
              <w:overflowPunct/>
              <w:topLinePunct w:val="0"/>
              <w:autoSpaceDE/>
              <w:autoSpaceDN/>
              <w:bidi w:val="0"/>
              <w:adjustRightInd/>
              <w:snapToGrid/>
              <w:spacing w:before="0" w:line="240" w:lineRule="auto"/>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厂房单元端开间各有一道</w:t>
            </w:r>
          </w:p>
        </w:tc>
        <w:tc>
          <w:tcPr>
            <w:tcW w:w="959" w:type="pct"/>
            <w:vAlign w:val="center"/>
          </w:tcPr>
          <w:p w14:paraId="0715A8EC">
            <w:pPr>
              <w:pStyle w:val="6"/>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□满足；□不满足</w:t>
            </w:r>
          </w:p>
        </w:tc>
      </w:tr>
      <w:tr w14:paraId="6BE2C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417" w:type="pct"/>
            <w:vMerge w:val="continue"/>
            <w:vAlign w:val="center"/>
          </w:tcPr>
          <w:p w14:paraId="73183735">
            <w:pPr>
              <w:pStyle w:val="6"/>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default" w:ascii="Times New Roman" w:hAnsi="Times New Roman" w:eastAsia="宋体" w:cs="Times New Roman"/>
                <w:color w:val="auto"/>
                <w:sz w:val="21"/>
                <w:szCs w:val="21"/>
              </w:rPr>
            </w:pPr>
          </w:p>
        </w:tc>
        <w:tc>
          <w:tcPr>
            <w:tcW w:w="417" w:type="pct"/>
            <w:vMerge w:val="continue"/>
            <w:vAlign w:val="center"/>
          </w:tcPr>
          <w:p w14:paraId="469D3E21">
            <w:pPr>
              <w:pStyle w:val="6"/>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default" w:ascii="Times New Roman" w:hAnsi="Times New Roman" w:eastAsia="宋体" w:cs="Times New Roman"/>
                <w:color w:val="auto"/>
                <w:sz w:val="21"/>
                <w:szCs w:val="21"/>
              </w:rPr>
            </w:pPr>
          </w:p>
        </w:tc>
        <w:tc>
          <w:tcPr>
            <w:tcW w:w="283" w:type="pct"/>
            <w:gridSpan w:val="2"/>
            <w:vMerge w:val="continue"/>
            <w:vAlign w:val="center"/>
          </w:tcPr>
          <w:p w14:paraId="05769D15">
            <w:pPr>
              <w:pStyle w:val="6"/>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default" w:ascii="Times New Roman" w:hAnsi="Times New Roman" w:eastAsia="宋体" w:cs="Times New Roman"/>
                <w:color w:val="auto"/>
                <w:sz w:val="21"/>
                <w:szCs w:val="21"/>
              </w:rPr>
            </w:pPr>
          </w:p>
        </w:tc>
        <w:tc>
          <w:tcPr>
            <w:tcW w:w="899" w:type="pct"/>
            <w:gridSpan w:val="2"/>
            <w:vAlign w:val="center"/>
          </w:tcPr>
          <w:p w14:paraId="654E17E5">
            <w:pPr>
              <w:pStyle w:val="6"/>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天窗两侧竖向支撑</w:t>
            </w:r>
          </w:p>
        </w:tc>
        <w:tc>
          <w:tcPr>
            <w:tcW w:w="649" w:type="pct"/>
            <w:vAlign w:val="center"/>
          </w:tcPr>
          <w:p w14:paraId="19477766">
            <w:pPr>
              <w:pStyle w:val="6"/>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default" w:ascii="Times New Roman" w:hAnsi="Times New Roman" w:eastAsia="宋体" w:cs="Times New Roman"/>
                <w:color w:val="auto"/>
                <w:sz w:val="21"/>
                <w:szCs w:val="21"/>
              </w:rPr>
            </w:pPr>
          </w:p>
        </w:tc>
        <w:tc>
          <w:tcPr>
            <w:tcW w:w="1373" w:type="pct"/>
            <w:vAlign w:val="center"/>
          </w:tcPr>
          <w:p w14:paraId="70899CCD">
            <w:pPr>
              <w:pStyle w:val="6"/>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厂房单元天窗端开间及每隔30m各有一道</w:t>
            </w:r>
          </w:p>
        </w:tc>
        <w:tc>
          <w:tcPr>
            <w:tcW w:w="959" w:type="pct"/>
            <w:vAlign w:val="center"/>
          </w:tcPr>
          <w:p w14:paraId="1D2632C3">
            <w:pPr>
              <w:pStyle w:val="6"/>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□满足；□不满足</w:t>
            </w:r>
          </w:p>
        </w:tc>
      </w:tr>
      <w:tr w14:paraId="21990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9" w:hRule="atLeast"/>
          <w:jc w:val="center"/>
        </w:trPr>
        <w:tc>
          <w:tcPr>
            <w:tcW w:w="417" w:type="pct"/>
            <w:vMerge w:val="continue"/>
            <w:vAlign w:val="center"/>
          </w:tcPr>
          <w:p w14:paraId="378583AA">
            <w:pPr>
              <w:pStyle w:val="6"/>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default" w:ascii="Times New Roman" w:hAnsi="Times New Roman" w:eastAsia="宋体" w:cs="Times New Roman"/>
                <w:color w:val="auto"/>
                <w:sz w:val="21"/>
                <w:szCs w:val="21"/>
              </w:rPr>
            </w:pPr>
          </w:p>
        </w:tc>
        <w:tc>
          <w:tcPr>
            <w:tcW w:w="417" w:type="pct"/>
            <w:vMerge w:val="continue"/>
            <w:vAlign w:val="center"/>
          </w:tcPr>
          <w:p w14:paraId="3E3252C4">
            <w:pPr>
              <w:pStyle w:val="6"/>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default" w:ascii="Times New Roman" w:hAnsi="Times New Roman" w:eastAsia="宋体" w:cs="Times New Roman"/>
                <w:color w:val="auto"/>
                <w:sz w:val="21"/>
                <w:szCs w:val="21"/>
              </w:rPr>
            </w:pPr>
          </w:p>
        </w:tc>
        <w:tc>
          <w:tcPr>
            <w:tcW w:w="283" w:type="pct"/>
            <w:gridSpan w:val="2"/>
            <w:vMerge w:val="continue"/>
            <w:vAlign w:val="center"/>
          </w:tcPr>
          <w:p w14:paraId="3096A21A">
            <w:pPr>
              <w:pStyle w:val="6"/>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default" w:ascii="Times New Roman" w:hAnsi="Times New Roman" w:eastAsia="宋体" w:cs="Times New Roman"/>
                <w:color w:val="auto"/>
                <w:sz w:val="21"/>
                <w:szCs w:val="21"/>
              </w:rPr>
            </w:pPr>
          </w:p>
        </w:tc>
        <w:tc>
          <w:tcPr>
            <w:tcW w:w="899" w:type="pct"/>
            <w:gridSpan w:val="2"/>
            <w:vAlign w:val="center"/>
          </w:tcPr>
          <w:p w14:paraId="3039C6A5">
            <w:pPr>
              <w:pStyle w:val="6"/>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天窗上弦横向支撑</w:t>
            </w:r>
          </w:p>
        </w:tc>
        <w:tc>
          <w:tcPr>
            <w:tcW w:w="649" w:type="pct"/>
            <w:vAlign w:val="center"/>
          </w:tcPr>
          <w:p w14:paraId="7CD7784B">
            <w:pPr>
              <w:pStyle w:val="6"/>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default" w:ascii="Times New Roman" w:hAnsi="Times New Roman" w:eastAsia="宋体" w:cs="Times New Roman"/>
                <w:color w:val="auto"/>
                <w:sz w:val="21"/>
                <w:szCs w:val="21"/>
              </w:rPr>
            </w:pPr>
          </w:p>
        </w:tc>
        <w:tc>
          <w:tcPr>
            <w:tcW w:w="1373" w:type="pct"/>
            <w:vAlign w:val="center"/>
          </w:tcPr>
          <w:p w14:paraId="47E4BB5D">
            <w:pPr>
              <w:pStyle w:val="6"/>
              <w:keepNext w:val="0"/>
              <w:keepLines w:val="0"/>
              <w:pageBreakBefore w:val="0"/>
              <w:widowControl w:val="0"/>
              <w:kinsoku/>
              <w:wordWrap/>
              <w:overflowPunct/>
              <w:topLinePunct w:val="0"/>
              <w:autoSpaceDE/>
              <w:autoSpaceDN/>
              <w:bidi w:val="0"/>
              <w:adjustRightInd/>
              <w:snapToGrid/>
              <w:spacing w:before="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同非抗震设计</w:t>
            </w:r>
          </w:p>
        </w:tc>
        <w:tc>
          <w:tcPr>
            <w:tcW w:w="959" w:type="pct"/>
            <w:vAlign w:val="center"/>
          </w:tcPr>
          <w:p w14:paraId="4AEBA7A7">
            <w:pPr>
              <w:pStyle w:val="6"/>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□满足；□不满足</w:t>
            </w:r>
          </w:p>
        </w:tc>
      </w:tr>
      <w:tr w14:paraId="1D07D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42" w:hRule="atLeast"/>
          <w:jc w:val="center"/>
        </w:trPr>
        <w:tc>
          <w:tcPr>
            <w:tcW w:w="417" w:type="pct"/>
            <w:vMerge w:val="continue"/>
            <w:vAlign w:val="center"/>
          </w:tcPr>
          <w:p w14:paraId="31BD3D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417" w:type="pct"/>
            <w:vMerge w:val="continue"/>
            <w:vAlign w:val="center"/>
          </w:tcPr>
          <w:p w14:paraId="6308BD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83" w:type="pct"/>
            <w:gridSpan w:val="2"/>
            <w:vAlign w:val="center"/>
          </w:tcPr>
          <w:p w14:paraId="7996C7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有檩屋架支撑</w:t>
            </w:r>
          </w:p>
        </w:tc>
        <w:tc>
          <w:tcPr>
            <w:tcW w:w="899" w:type="pct"/>
            <w:gridSpan w:val="2"/>
            <w:vAlign w:val="center"/>
          </w:tcPr>
          <w:p w14:paraId="6003ED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上弦横向支撑</w:t>
            </w:r>
          </w:p>
        </w:tc>
        <w:tc>
          <w:tcPr>
            <w:tcW w:w="649" w:type="pct"/>
            <w:vAlign w:val="center"/>
          </w:tcPr>
          <w:p w14:paraId="4D5114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373" w:type="pct"/>
            <w:vAlign w:val="center"/>
          </w:tcPr>
          <w:p w14:paraId="18E3F58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rPr>
              <w:t>厂房单元端开间各有一道</w:t>
            </w:r>
          </w:p>
        </w:tc>
        <w:tc>
          <w:tcPr>
            <w:tcW w:w="959" w:type="pct"/>
            <w:vAlign w:val="center"/>
          </w:tcPr>
          <w:p w14:paraId="5B19A5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□满足；□不满足</w:t>
            </w:r>
          </w:p>
        </w:tc>
      </w:tr>
      <w:tr w14:paraId="3EF93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6" w:hRule="atLeast"/>
          <w:jc w:val="center"/>
        </w:trPr>
        <w:tc>
          <w:tcPr>
            <w:tcW w:w="417" w:type="pct"/>
            <w:vMerge w:val="continue"/>
            <w:vAlign w:val="center"/>
          </w:tcPr>
          <w:p w14:paraId="2BD5ED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417" w:type="pct"/>
            <w:vMerge w:val="continue"/>
            <w:vAlign w:val="center"/>
          </w:tcPr>
          <w:p w14:paraId="402396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83" w:type="pct"/>
            <w:gridSpan w:val="2"/>
            <w:vAlign w:val="center"/>
          </w:tcPr>
          <w:p w14:paraId="478B36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899" w:type="pct"/>
            <w:gridSpan w:val="2"/>
            <w:vAlign w:val="center"/>
          </w:tcPr>
          <w:p w14:paraId="3063D4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端部竖向支撑</w:t>
            </w:r>
          </w:p>
        </w:tc>
        <w:tc>
          <w:tcPr>
            <w:tcW w:w="649" w:type="pct"/>
            <w:vAlign w:val="center"/>
          </w:tcPr>
          <w:p w14:paraId="312886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373" w:type="pct"/>
            <w:vAlign w:val="center"/>
          </w:tcPr>
          <w:p w14:paraId="161AA1D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屋架端部高度大于900mm时，厂房单元端开间及柱间支撑开间各有一道</w:t>
            </w:r>
          </w:p>
        </w:tc>
        <w:tc>
          <w:tcPr>
            <w:tcW w:w="959" w:type="pct"/>
            <w:vAlign w:val="center"/>
          </w:tcPr>
          <w:p w14:paraId="7C20F2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□满足；□不满足</w:t>
            </w:r>
          </w:p>
        </w:tc>
      </w:tr>
      <w:tr w14:paraId="5D834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9" w:hRule="atLeast"/>
          <w:jc w:val="center"/>
        </w:trPr>
        <w:tc>
          <w:tcPr>
            <w:tcW w:w="417" w:type="pct"/>
            <w:vMerge w:val="continue"/>
            <w:vAlign w:val="center"/>
          </w:tcPr>
          <w:p w14:paraId="42CB9D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417" w:type="pct"/>
            <w:vMerge w:val="continue"/>
            <w:vAlign w:val="center"/>
          </w:tcPr>
          <w:p w14:paraId="56B02C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83" w:type="pct"/>
            <w:gridSpan w:val="2"/>
            <w:vMerge w:val="restart"/>
            <w:vAlign w:val="center"/>
          </w:tcPr>
          <w:p w14:paraId="1347A6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有檩天窗架支撑</w:t>
            </w:r>
          </w:p>
        </w:tc>
        <w:tc>
          <w:tcPr>
            <w:tcW w:w="899" w:type="pct"/>
            <w:gridSpan w:val="2"/>
            <w:vAlign w:val="center"/>
          </w:tcPr>
          <w:p w14:paraId="65DCC8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上弦横向支撑</w:t>
            </w:r>
          </w:p>
        </w:tc>
        <w:tc>
          <w:tcPr>
            <w:tcW w:w="649" w:type="pct"/>
            <w:vAlign w:val="center"/>
          </w:tcPr>
          <w:p w14:paraId="0C49D8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373" w:type="pct"/>
            <w:vAlign w:val="center"/>
          </w:tcPr>
          <w:p w14:paraId="5506FC9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厂房单元的天窗端开间各有一道</w:t>
            </w:r>
          </w:p>
        </w:tc>
        <w:tc>
          <w:tcPr>
            <w:tcW w:w="959" w:type="pct"/>
            <w:vAlign w:val="center"/>
          </w:tcPr>
          <w:p w14:paraId="2DB0F6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□满足；□不满足</w:t>
            </w:r>
          </w:p>
        </w:tc>
      </w:tr>
      <w:tr w14:paraId="57DA1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9" w:hRule="atLeast"/>
          <w:jc w:val="center"/>
        </w:trPr>
        <w:tc>
          <w:tcPr>
            <w:tcW w:w="417" w:type="pct"/>
            <w:vMerge w:val="continue"/>
            <w:vAlign w:val="center"/>
          </w:tcPr>
          <w:p w14:paraId="0852AC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417" w:type="pct"/>
            <w:vMerge w:val="continue"/>
            <w:vAlign w:val="center"/>
          </w:tcPr>
          <w:p w14:paraId="4BD497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83" w:type="pct"/>
            <w:gridSpan w:val="2"/>
            <w:vMerge w:val="continue"/>
            <w:vAlign w:val="center"/>
          </w:tcPr>
          <w:p w14:paraId="146973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899" w:type="pct"/>
            <w:gridSpan w:val="2"/>
            <w:vAlign w:val="center"/>
          </w:tcPr>
          <w:p w14:paraId="528250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两侧竖向支撑</w:t>
            </w:r>
          </w:p>
        </w:tc>
        <w:tc>
          <w:tcPr>
            <w:tcW w:w="649" w:type="pct"/>
            <w:vAlign w:val="center"/>
          </w:tcPr>
          <w:p w14:paraId="6A7503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373" w:type="pct"/>
            <w:vAlign w:val="center"/>
          </w:tcPr>
          <w:p w14:paraId="62C4F5C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厂房单元的天窗端开间及每隔36m各有一道</w:t>
            </w:r>
          </w:p>
        </w:tc>
        <w:tc>
          <w:tcPr>
            <w:tcW w:w="959" w:type="pct"/>
            <w:vAlign w:val="center"/>
          </w:tcPr>
          <w:p w14:paraId="3FE515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□满足；□不满足</w:t>
            </w:r>
          </w:p>
        </w:tc>
      </w:tr>
      <w:tr w14:paraId="333B0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36" w:hRule="atLeast"/>
          <w:jc w:val="center"/>
        </w:trPr>
        <w:tc>
          <w:tcPr>
            <w:tcW w:w="417" w:type="pct"/>
            <w:vMerge w:val="continue"/>
            <w:vAlign w:val="center"/>
          </w:tcPr>
          <w:p w14:paraId="2F8EAE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417" w:type="pct"/>
            <w:vMerge w:val="continue"/>
            <w:vAlign w:val="center"/>
          </w:tcPr>
          <w:p w14:paraId="19E91F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182" w:type="pct"/>
            <w:gridSpan w:val="4"/>
            <w:vAlign w:val="center"/>
          </w:tcPr>
          <w:p w14:paraId="545F11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排架柱</w:t>
            </w:r>
          </w:p>
        </w:tc>
        <w:tc>
          <w:tcPr>
            <w:tcW w:w="649" w:type="pct"/>
            <w:vAlign w:val="center"/>
          </w:tcPr>
          <w:p w14:paraId="30B499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373" w:type="pct"/>
            <w:vAlign w:val="center"/>
          </w:tcPr>
          <w:p w14:paraId="0F84B49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7度时Ⅲ、Ⅳ类场地时，有住建支撑的排架柱，柱顶以下500mm和柱底至设计地坪以上500mm范围内，以及柱变位受约束的部位上下各300mm的范围内，箍筋不宜小于φ8，间距不宜大于100mm</w:t>
            </w:r>
            <w:r>
              <w:rPr>
                <w:rFonts w:hint="eastAsia" w:ascii="Times New Roman" w:hAnsi="Times New Roman" w:eastAsia="宋体" w:cs="Times New Roman"/>
                <w:color w:val="auto"/>
                <w:sz w:val="21"/>
                <w:szCs w:val="21"/>
                <w:highlight w:val="none"/>
                <w:lang w:eastAsia="zh-CN"/>
              </w:rPr>
              <w:t>。</w:t>
            </w:r>
          </w:p>
        </w:tc>
        <w:tc>
          <w:tcPr>
            <w:tcW w:w="959" w:type="pct"/>
            <w:vAlign w:val="center"/>
          </w:tcPr>
          <w:p w14:paraId="7AA864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满足；□不满足</w:t>
            </w:r>
          </w:p>
        </w:tc>
      </w:tr>
      <w:tr w14:paraId="2EA21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17" w:type="pct"/>
            <w:vMerge w:val="continue"/>
            <w:vAlign w:val="center"/>
          </w:tcPr>
          <w:p w14:paraId="338711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417" w:type="pct"/>
            <w:vMerge w:val="continue"/>
            <w:vAlign w:val="center"/>
          </w:tcPr>
          <w:p w14:paraId="62B6F7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182" w:type="pct"/>
            <w:gridSpan w:val="4"/>
            <w:vAlign w:val="center"/>
          </w:tcPr>
          <w:p w14:paraId="2CBFB1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柱间支撑设置要求</w:t>
            </w:r>
          </w:p>
        </w:tc>
        <w:tc>
          <w:tcPr>
            <w:tcW w:w="649" w:type="pct"/>
            <w:vAlign w:val="center"/>
          </w:tcPr>
          <w:p w14:paraId="66121D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red"/>
              </w:rPr>
            </w:pPr>
          </w:p>
        </w:tc>
        <w:tc>
          <w:tcPr>
            <w:tcW w:w="1373" w:type="pct"/>
            <w:vAlign w:val="center"/>
          </w:tcPr>
          <w:p w14:paraId="5D43D01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1、厂房单元中部应有一道上下柱间支撑</w:t>
            </w:r>
            <w:r>
              <w:rPr>
                <w:rFonts w:hint="eastAsia" w:ascii="Times New Roman" w:hAnsi="Times New Roman" w:eastAsia="宋体" w:cs="Times New Roman"/>
                <w:color w:val="auto"/>
                <w:sz w:val="21"/>
                <w:szCs w:val="21"/>
                <w:highlight w:val="none"/>
                <w:lang w:eastAsia="zh-CN"/>
              </w:rPr>
              <w:t>；</w:t>
            </w:r>
          </w:p>
          <w:p w14:paraId="513D197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Times New Roman"/>
                <w:color w:val="auto"/>
                <w:sz w:val="21"/>
                <w:szCs w:val="21"/>
                <w:highlight w:val="none"/>
                <w:vertAlign w:val="superscript"/>
                <w:lang w:eastAsia="zh-CN"/>
              </w:rPr>
            </w:pPr>
            <w:r>
              <w:rPr>
                <w:rFonts w:hint="default" w:ascii="Times New Roman" w:hAnsi="Times New Roman" w:eastAsia="宋体" w:cs="Times New Roman"/>
                <w:color w:val="auto"/>
                <w:sz w:val="21"/>
                <w:szCs w:val="21"/>
                <w:highlight w:val="none"/>
              </w:rPr>
              <w:t>2、柱间支撑宜釆用型钢，其斜杆与水平面的夹角不宜大于55</w:t>
            </w:r>
            <w:r>
              <w:rPr>
                <w:rFonts w:hint="default" w:ascii="Times New Roman" w:hAnsi="Times New Roman" w:eastAsia="宋体" w:cs="Times New Roman"/>
                <w:color w:val="auto"/>
                <w:sz w:val="21"/>
                <w:szCs w:val="21"/>
                <w:highlight w:val="none"/>
                <w:vertAlign w:val="superscript"/>
              </w:rPr>
              <w:t>0</w:t>
            </w:r>
            <w:r>
              <w:rPr>
                <w:rFonts w:hint="eastAsia" w:ascii="Times New Roman" w:hAnsi="Times New Roman" w:eastAsia="宋体" w:cs="Times New Roman"/>
                <w:color w:val="auto"/>
                <w:sz w:val="21"/>
                <w:szCs w:val="21"/>
                <w:highlight w:val="none"/>
                <w:vertAlign w:val="baseline"/>
                <w:lang w:eastAsia="zh-CN"/>
              </w:rPr>
              <w:t>；</w:t>
            </w:r>
          </w:p>
          <w:p w14:paraId="35AC7FD2">
            <w:pPr>
              <w:pStyle w:val="6"/>
              <w:keepNext w:val="0"/>
              <w:keepLines w:val="0"/>
              <w:pageBreakBefore w:val="0"/>
              <w:widowControl w:val="0"/>
              <w:kinsoku/>
              <w:wordWrap/>
              <w:overflowPunct/>
              <w:topLinePunct w:val="0"/>
              <w:autoSpaceDE/>
              <w:autoSpaceDN/>
              <w:bidi w:val="0"/>
              <w:adjustRightInd/>
              <w:snapToGrid/>
              <w:spacing w:before="0" w:line="240" w:lineRule="auto"/>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r>
              <w:rPr>
                <w:rFonts w:hint="default" w:ascii="Times New Roman" w:hAnsi="Times New Roman" w:eastAsia="宋体" w:cs="Times New Roman"/>
                <w:color w:val="auto"/>
                <w:sz w:val="21"/>
                <w:szCs w:val="21"/>
                <w:highlight w:val="none"/>
                <w:lang w:val="en-US" w:eastAsia="zh-CN"/>
              </w:rPr>
              <w:t>长细比：6、7度区，上柱支撑：250；下柱支撑：200</w:t>
            </w:r>
            <w:r>
              <w:rPr>
                <w:rFonts w:hint="eastAsia" w:ascii="Times New Roman" w:hAnsi="Times New Roman" w:eastAsia="宋体" w:cs="Times New Roman"/>
                <w:color w:val="auto"/>
                <w:sz w:val="21"/>
                <w:szCs w:val="21"/>
                <w:highlight w:val="none"/>
                <w:lang w:val="en-US" w:eastAsia="zh-CN"/>
              </w:rPr>
              <w:t>。</w:t>
            </w:r>
          </w:p>
        </w:tc>
        <w:tc>
          <w:tcPr>
            <w:tcW w:w="959" w:type="pct"/>
            <w:vAlign w:val="center"/>
          </w:tcPr>
          <w:p w14:paraId="505F3A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满足；□不满足</w:t>
            </w:r>
          </w:p>
        </w:tc>
      </w:tr>
      <w:tr w14:paraId="71698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24" w:hRule="atLeast"/>
          <w:jc w:val="center"/>
        </w:trPr>
        <w:tc>
          <w:tcPr>
            <w:tcW w:w="417" w:type="pct"/>
            <w:vMerge w:val="continue"/>
            <w:vAlign w:val="center"/>
          </w:tcPr>
          <w:p w14:paraId="6D0B28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417" w:type="pct"/>
            <w:vMerge w:val="continue"/>
            <w:vAlign w:val="center"/>
          </w:tcPr>
          <w:p w14:paraId="24B42A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182" w:type="pct"/>
            <w:gridSpan w:val="4"/>
            <w:vAlign w:val="center"/>
          </w:tcPr>
          <w:p w14:paraId="10CE61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连接构造</w:t>
            </w:r>
          </w:p>
        </w:tc>
        <w:tc>
          <w:tcPr>
            <w:tcW w:w="649" w:type="pct"/>
            <w:vAlign w:val="center"/>
          </w:tcPr>
          <w:p w14:paraId="7E0223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red"/>
              </w:rPr>
            </w:pPr>
          </w:p>
        </w:tc>
        <w:tc>
          <w:tcPr>
            <w:tcW w:w="1373" w:type="pct"/>
            <w:vAlign w:val="center"/>
          </w:tcPr>
          <w:p w14:paraId="1E3A176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、檩条在屋架上的支承长度不宜小于50mm；</w:t>
            </w:r>
          </w:p>
          <w:p w14:paraId="712A7170">
            <w:pPr>
              <w:pStyle w:val="6"/>
              <w:keepNext w:val="0"/>
              <w:keepLines w:val="0"/>
              <w:pageBreakBefore w:val="0"/>
              <w:widowControl w:val="0"/>
              <w:kinsoku/>
              <w:wordWrap/>
              <w:overflowPunct/>
              <w:topLinePunct w:val="0"/>
              <w:autoSpaceDE/>
              <w:autoSpaceDN/>
              <w:bidi w:val="0"/>
              <w:adjustRightInd/>
              <w:snapToGrid/>
              <w:spacing w:before="0" w:line="240" w:lineRule="auto"/>
              <w:jc w:val="left"/>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、大型屋面板应与屋架（屋面梁）焊牢，靠柱列的屋面板与屋架（屋面梁）的连接焊缝长度不宜小于80mm</w:t>
            </w:r>
            <w:r>
              <w:rPr>
                <w:rFonts w:hint="eastAsia" w:ascii="Times New Roman" w:hAnsi="Times New Roman" w:eastAsia="宋体" w:cs="Times New Roman"/>
                <w:color w:val="auto"/>
                <w:sz w:val="21"/>
                <w:szCs w:val="21"/>
                <w:lang w:eastAsia="zh-CN"/>
              </w:rPr>
              <w:t>；</w:t>
            </w:r>
          </w:p>
          <w:p w14:paraId="1E8AFB3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、突出屋面天窗架的侧板与天窗立柱宜采用螺栓连接</w:t>
            </w:r>
          </w:p>
          <w:p w14:paraId="427C4E5C">
            <w:pPr>
              <w:pStyle w:val="6"/>
              <w:keepNext w:val="0"/>
              <w:keepLines w:val="0"/>
              <w:pageBreakBefore w:val="0"/>
              <w:widowControl w:val="0"/>
              <w:kinsoku/>
              <w:wordWrap/>
              <w:overflowPunct/>
              <w:topLinePunct w:val="0"/>
              <w:autoSpaceDE/>
              <w:autoSpaceDN/>
              <w:bidi w:val="0"/>
              <w:adjustRightInd/>
              <w:snapToGrid/>
              <w:spacing w:before="0" w:line="240" w:lineRule="auto"/>
              <w:jc w:val="left"/>
              <w:textAlignment w:val="auto"/>
              <w:rPr>
                <w:rFonts w:hint="default" w:ascii="Times New Roman" w:hAnsi="Times New Roman" w:eastAsia="宋体" w:cs="Times New Roman"/>
                <w:color w:val="auto"/>
                <w:sz w:val="21"/>
                <w:szCs w:val="21"/>
              </w:rPr>
            </w:pPr>
          </w:p>
        </w:tc>
        <w:tc>
          <w:tcPr>
            <w:tcW w:w="959" w:type="pct"/>
            <w:vAlign w:val="center"/>
          </w:tcPr>
          <w:p w14:paraId="57A351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r>
    </w:tbl>
    <w:p w14:paraId="776A202E">
      <w:pPr>
        <w:rPr>
          <w:color w:val="auto"/>
        </w:rPr>
      </w:pPr>
      <w:r>
        <w:rPr>
          <w:color w:val="auto"/>
        </w:rPr>
        <w:br w:type="page"/>
      </w:r>
    </w:p>
    <w:p w14:paraId="7B8151DE">
      <w:pPr>
        <w:keepNext w:val="0"/>
        <w:keepLines w:val="0"/>
        <w:pageBreakBefore w:val="0"/>
        <w:widowControl w:val="0"/>
        <w:kinsoku/>
        <w:wordWrap/>
        <w:overflowPunct/>
        <w:topLinePunct w:val="0"/>
        <w:autoSpaceDE/>
        <w:autoSpaceDN/>
        <w:bidi w:val="0"/>
        <w:adjustRightInd/>
        <w:snapToGrid/>
        <w:spacing w:line="240" w:lineRule="auto"/>
        <w:ind w:firstLine="482"/>
        <w:jc w:val="center"/>
        <w:textAlignment w:val="auto"/>
        <w:rPr>
          <w:rFonts w:hint="default"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lang w:val="en-US" w:eastAsia="zh-CN"/>
        </w:rPr>
        <w:t>单层砖柱厂房</w:t>
      </w:r>
      <w:r>
        <w:rPr>
          <w:rFonts w:hint="default" w:ascii="Times New Roman" w:hAnsi="Times New Roman" w:eastAsia="宋体" w:cs="Times New Roman"/>
          <w:b/>
          <w:bCs/>
          <w:color w:val="auto"/>
          <w:sz w:val="21"/>
          <w:szCs w:val="21"/>
        </w:rPr>
        <w:t>A类抗震鉴定构造措施（表</w:t>
      </w:r>
      <w:r>
        <w:rPr>
          <w:rFonts w:hint="eastAsia" w:ascii="Times New Roman" w:hAnsi="Times New Roman" w:eastAsia="宋体" w:cs="Times New Roman"/>
          <w:b/>
          <w:bCs/>
          <w:color w:val="auto"/>
          <w:sz w:val="21"/>
          <w:szCs w:val="21"/>
          <w:lang w:val="en-US" w:eastAsia="zh-CN"/>
        </w:rPr>
        <w:t>E.3</w:t>
      </w:r>
      <w:r>
        <w:rPr>
          <w:rFonts w:hint="default" w:ascii="Times New Roman" w:hAnsi="Times New Roman" w:eastAsia="宋体" w:cs="Times New Roman"/>
          <w:b/>
          <w:bCs/>
          <w:color w:val="auto"/>
          <w:sz w:val="21"/>
          <w:szCs w:val="21"/>
        </w:rPr>
        <w:t>）</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713"/>
        <w:gridCol w:w="419"/>
        <w:gridCol w:w="699"/>
        <w:gridCol w:w="1095"/>
        <w:gridCol w:w="631"/>
        <w:gridCol w:w="2626"/>
        <w:gridCol w:w="1626"/>
      </w:tblGrid>
      <w:tr w14:paraId="44F7D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2" w:hRule="atLeast"/>
          <w:jc w:val="center"/>
        </w:trPr>
        <w:tc>
          <w:tcPr>
            <w:tcW w:w="5000" w:type="pct"/>
            <w:gridSpan w:val="8"/>
            <w:vAlign w:val="center"/>
          </w:tcPr>
          <w:p w14:paraId="5AF6FD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一般规定</w:t>
            </w:r>
          </w:p>
        </w:tc>
      </w:tr>
      <w:tr w14:paraId="6D8B4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418" w:type="pct"/>
            <w:vAlign w:val="center"/>
          </w:tcPr>
          <w:p w14:paraId="49EF29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664" w:type="pct"/>
            <w:gridSpan w:val="2"/>
            <w:vAlign w:val="center"/>
          </w:tcPr>
          <w:p w14:paraId="278CA7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总体信息</w:t>
            </w:r>
          </w:p>
        </w:tc>
        <w:tc>
          <w:tcPr>
            <w:tcW w:w="1422" w:type="pct"/>
            <w:gridSpan w:val="3"/>
            <w:vAlign w:val="center"/>
          </w:tcPr>
          <w:p w14:paraId="505978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设防烈度：□6度□7度</w:t>
            </w:r>
          </w:p>
        </w:tc>
        <w:tc>
          <w:tcPr>
            <w:tcW w:w="1540" w:type="pct"/>
            <w:vAlign w:val="center"/>
          </w:tcPr>
          <w:p w14:paraId="7C8CD8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□现浇楼盖；☑轻屋盖</w:t>
            </w:r>
          </w:p>
        </w:tc>
        <w:tc>
          <w:tcPr>
            <w:tcW w:w="954" w:type="pct"/>
            <w:vAlign w:val="center"/>
          </w:tcPr>
          <w:p w14:paraId="21F88B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建筑物层数：层</w:t>
            </w:r>
          </w:p>
        </w:tc>
      </w:tr>
      <w:tr w14:paraId="7EF06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418" w:type="pct"/>
            <w:vMerge w:val="restart"/>
            <w:vAlign w:val="center"/>
          </w:tcPr>
          <w:p w14:paraId="1B9F6F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664" w:type="pct"/>
            <w:gridSpan w:val="2"/>
            <w:vMerge w:val="restart"/>
            <w:vAlign w:val="center"/>
          </w:tcPr>
          <w:p w14:paraId="6ABF08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外观和内在质量</w:t>
            </w:r>
          </w:p>
        </w:tc>
        <w:tc>
          <w:tcPr>
            <w:tcW w:w="3917" w:type="pct"/>
            <w:gridSpan w:val="5"/>
            <w:vAlign w:val="center"/>
          </w:tcPr>
          <w:p w14:paraId="0DE218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□无不均匀沉降</w:t>
            </w:r>
          </w:p>
        </w:tc>
      </w:tr>
      <w:tr w14:paraId="72822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8" w:hRule="atLeast"/>
          <w:jc w:val="center"/>
        </w:trPr>
        <w:tc>
          <w:tcPr>
            <w:tcW w:w="418" w:type="pct"/>
            <w:vMerge w:val="continue"/>
            <w:vAlign w:val="center"/>
          </w:tcPr>
          <w:p w14:paraId="6021B3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664" w:type="pct"/>
            <w:gridSpan w:val="2"/>
            <w:vMerge w:val="continue"/>
            <w:vAlign w:val="center"/>
          </w:tcPr>
          <w:p w14:paraId="7EC732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3917" w:type="pct"/>
            <w:gridSpan w:val="5"/>
            <w:vAlign w:val="center"/>
          </w:tcPr>
          <w:p w14:paraId="7ACB5F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□钢筋无露筋和锈蚀□构连接无裂缝或松动</w:t>
            </w:r>
          </w:p>
        </w:tc>
      </w:tr>
      <w:tr w14:paraId="75E68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418" w:type="pct"/>
            <w:vMerge w:val="continue"/>
            <w:vAlign w:val="center"/>
          </w:tcPr>
          <w:p w14:paraId="5D9C5D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664" w:type="pct"/>
            <w:gridSpan w:val="2"/>
            <w:vMerge w:val="continue"/>
            <w:vAlign w:val="center"/>
          </w:tcPr>
          <w:p w14:paraId="5BE875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3917" w:type="pct"/>
            <w:gridSpan w:val="5"/>
            <w:vAlign w:val="center"/>
          </w:tcPr>
          <w:p w14:paraId="5AF6C0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□无砖墙、钢结构构件的其他损伤</w:t>
            </w:r>
          </w:p>
        </w:tc>
      </w:tr>
      <w:tr w14:paraId="13532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5000" w:type="pct"/>
            <w:gridSpan w:val="8"/>
            <w:vAlign w:val="center"/>
          </w:tcPr>
          <w:p w14:paraId="1E2BC5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抗震构造措施鉴定</w:t>
            </w:r>
          </w:p>
        </w:tc>
      </w:tr>
      <w:tr w14:paraId="2813C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1492" w:type="pct"/>
            <w:gridSpan w:val="4"/>
            <w:vAlign w:val="center"/>
          </w:tcPr>
          <w:p w14:paraId="1DA9A8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评定项目</w:t>
            </w:r>
          </w:p>
        </w:tc>
        <w:tc>
          <w:tcPr>
            <w:tcW w:w="642" w:type="pct"/>
            <w:vAlign w:val="center"/>
          </w:tcPr>
          <w:p w14:paraId="4B06E8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结构现状</w:t>
            </w:r>
          </w:p>
        </w:tc>
        <w:tc>
          <w:tcPr>
            <w:tcW w:w="1910" w:type="pct"/>
            <w:gridSpan w:val="2"/>
            <w:vAlign w:val="center"/>
          </w:tcPr>
          <w:p w14:paraId="2504CF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规范要求</w:t>
            </w:r>
          </w:p>
        </w:tc>
        <w:tc>
          <w:tcPr>
            <w:tcW w:w="954" w:type="pct"/>
            <w:vAlign w:val="center"/>
          </w:tcPr>
          <w:p w14:paraId="5ACE8B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评定结果</w:t>
            </w:r>
          </w:p>
        </w:tc>
      </w:tr>
      <w:tr w14:paraId="24BC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418" w:type="pct"/>
            <w:vMerge w:val="restart"/>
            <w:vAlign w:val="center"/>
          </w:tcPr>
          <w:p w14:paraId="12236D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418" w:type="pct"/>
            <w:vMerge w:val="restart"/>
            <w:vAlign w:val="center"/>
          </w:tcPr>
          <w:p w14:paraId="4C271C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结构体系</w:t>
            </w:r>
          </w:p>
        </w:tc>
        <w:tc>
          <w:tcPr>
            <w:tcW w:w="655" w:type="pct"/>
            <w:gridSpan w:val="2"/>
            <w:vAlign w:val="center"/>
          </w:tcPr>
          <w:p w14:paraId="21E047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构件形式</w:t>
            </w:r>
          </w:p>
        </w:tc>
        <w:tc>
          <w:tcPr>
            <w:tcW w:w="642" w:type="pct"/>
            <w:vAlign w:val="center"/>
          </w:tcPr>
          <w:p w14:paraId="67158704">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rPr>
            </w:pPr>
          </w:p>
        </w:tc>
        <w:tc>
          <w:tcPr>
            <w:tcW w:w="1910" w:type="pct"/>
            <w:gridSpan w:val="2"/>
            <w:vAlign w:val="center"/>
          </w:tcPr>
          <w:p w14:paraId="3E73E9F9">
            <w:pPr>
              <w:keepNext w:val="0"/>
              <w:keepLines w:val="0"/>
              <w:pageBreakBefore w:val="0"/>
              <w:widowControl w:val="0"/>
              <w:kinsoku/>
              <w:wordWrap/>
              <w:overflowPunct/>
              <w:topLinePunct w:val="0"/>
              <w:autoSpaceDE/>
              <w:autoSpaceDN/>
              <w:bidi w:val="0"/>
              <w:adjustRightInd/>
              <w:snapToGrid/>
              <w:spacing w:line="240" w:lineRule="auto"/>
              <w:jc w:val="left"/>
              <w:textAlignment w:val="auto"/>
              <w:rPr>
                <w:rStyle w:val="25"/>
                <w:rFonts w:hint="default" w:ascii="Times New Roman" w:hAnsi="Times New Roman" w:eastAsia="宋体" w:cs="Times New Roman"/>
                <w:b w:val="0"/>
                <w:color w:val="auto"/>
                <w:sz w:val="21"/>
                <w:szCs w:val="21"/>
              </w:rPr>
            </w:pPr>
            <w:r>
              <w:rPr>
                <w:rStyle w:val="25"/>
                <w:rFonts w:hint="default" w:ascii="Times New Roman" w:hAnsi="Times New Roman" w:eastAsia="宋体" w:cs="Times New Roman"/>
                <w:b w:val="0"/>
                <w:color w:val="auto"/>
                <w:sz w:val="21"/>
                <w:szCs w:val="21"/>
              </w:rPr>
              <w:t>承重山墙厚度不应小于240mm，开洞的水平截面面积不应超过山墙截面总面积的50%</w:t>
            </w:r>
          </w:p>
        </w:tc>
        <w:tc>
          <w:tcPr>
            <w:tcW w:w="954" w:type="pct"/>
            <w:vAlign w:val="center"/>
          </w:tcPr>
          <w:p w14:paraId="316F55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□满足；□不满足</w:t>
            </w:r>
          </w:p>
        </w:tc>
      </w:tr>
      <w:tr w14:paraId="410AB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0" w:hRule="atLeast"/>
          <w:jc w:val="center"/>
        </w:trPr>
        <w:tc>
          <w:tcPr>
            <w:tcW w:w="418" w:type="pct"/>
            <w:vMerge w:val="continue"/>
            <w:vAlign w:val="center"/>
          </w:tcPr>
          <w:p w14:paraId="48173C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418" w:type="pct"/>
            <w:vMerge w:val="continue"/>
            <w:vAlign w:val="center"/>
          </w:tcPr>
          <w:p w14:paraId="0C0930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655" w:type="pct"/>
            <w:gridSpan w:val="2"/>
            <w:vAlign w:val="center"/>
          </w:tcPr>
          <w:p w14:paraId="189B17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结构布置</w:t>
            </w:r>
          </w:p>
        </w:tc>
        <w:tc>
          <w:tcPr>
            <w:tcW w:w="642" w:type="pct"/>
            <w:vAlign w:val="center"/>
          </w:tcPr>
          <w:p w14:paraId="30A93B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910" w:type="pct"/>
            <w:gridSpan w:val="2"/>
            <w:vAlign w:val="center"/>
          </w:tcPr>
          <w:p w14:paraId="5A03778D">
            <w:pPr>
              <w:keepNext w:val="0"/>
              <w:keepLines w:val="0"/>
              <w:pageBreakBefore w:val="0"/>
              <w:widowControl w:val="0"/>
              <w:numPr>
                <w:ilvl w:val="0"/>
                <w:numId w:val="7"/>
              </w:numPr>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多跨厂房为不等高时，低跨的屋架（梁）不应削弱砖柱截面；</w:t>
            </w:r>
          </w:p>
          <w:p w14:paraId="7A9D4739">
            <w:pPr>
              <w:pStyle w:val="6"/>
              <w:keepNext w:val="0"/>
              <w:keepLines w:val="0"/>
              <w:pageBreakBefore w:val="0"/>
              <w:widowControl w:val="0"/>
              <w:numPr>
                <w:ilvl w:val="0"/>
                <w:numId w:val="7"/>
              </w:numPr>
              <w:kinsoku/>
              <w:wordWrap/>
              <w:overflowPunct/>
              <w:topLinePunct w:val="0"/>
              <w:autoSpaceDE/>
              <w:autoSpaceDN/>
              <w:bidi w:val="0"/>
              <w:adjustRightInd/>
              <w:snapToGrid/>
              <w:spacing w:before="0" w:line="240" w:lineRule="auto"/>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与柱不等高的砌体隔墙，宜与柱柔性连接或脱开</w:t>
            </w:r>
            <w:r>
              <w:rPr>
                <w:rFonts w:hint="eastAsia" w:ascii="Times New Roman" w:hAnsi="Times New Roman" w:eastAsia="宋体" w:cs="Times New Roman"/>
                <w:color w:val="auto"/>
                <w:sz w:val="21"/>
                <w:szCs w:val="21"/>
                <w:lang w:eastAsia="zh-CN"/>
              </w:rPr>
              <w:t>；</w:t>
            </w:r>
          </w:p>
          <w:p w14:paraId="5B58B7E1">
            <w:pPr>
              <w:keepNext w:val="0"/>
              <w:keepLines w:val="0"/>
              <w:pageBreakBefore w:val="0"/>
              <w:widowControl w:val="0"/>
              <w:numPr>
                <w:ilvl w:val="0"/>
                <w:numId w:val="7"/>
              </w:numPr>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拱脚处应有拉杆，山墙应有壁柱</w:t>
            </w:r>
            <w:r>
              <w:rPr>
                <w:rFonts w:hint="eastAsia" w:ascii="Times New Roman" w:hAnsi="Times New Roman" w:eastAsia="宋体" w:cs="Times New Roman"/>
                <w:color w:val="auto"/>
                <w:sz w:val="21"/>
                <w:szCs w:val="21"/>
                <w:lang w:eastAsia="zh-CN"/>
              </w:rPr>
              <w:t>。</w:t>
            </w:r>
          </w:p>
        </w:tc>
        <w:tc>
          <w:tcPr>
            <w:tcW w:w="954" w:type="pct"/>
            <w:vAlign w:val="center"/>
          </w:tcPr>
          <w:p w14:paraId="1F56A4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□满足；□不满足</w:t>
            </w:r>
          </w:p>
        </w:tc>
      </w:tr>
      <w:tr w14:paraId="4D42B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418" w:type="pct"/>
            <w:vMerge w:val="restart"/>
            <w:vAlign w:val="center"/>
          </w:tcPr>
          <w:p w14:paraId="49C5E2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418" w:type="pct"/>
            <w:vMerge w:val="restart"/>
            <w:vAlign w:val="center"/>
          </w:tcPr>
          <w:p w14:paraId="07AEBE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抗震构造措施</w:t>
            </w:r>
          </w:p>
        </w:tc>
        <w:tc>
          <w:tcPr>
            <w:tcW w:w="655" w:type="pct"/>
            <w:gridSpan w:val="2"/>
            <w:vAlign w:val="center"/>
          </w:tcPr>
          <w:p w14:paraId="6FD12E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材料强度</w:t>
            </w:r>
          </w:p>
        </w:tc>
        <w:tc>
          <w:tcPr>
            <w:tcW w:w="642" w:type="pct"/>
            <w:vAlign w:val="center"/>
          </w:tcPr>
          <w:p w14:paraId="0FB8C5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910" w:type="pct"/>
            <w:gridSpan w:val="2"/>
            <w:vAlign w:val="center"/>
          </w:tcPr>
          <w:p w14:paraId="64CF113D">
            <w:pPr>
              <w:keepNext w:val="0"/>
              <w:keepLines w:val="0"/>
              <w:pageBreakBefore w:val="0"/>
              <w:widowControl w:val="0"/>
              <w:numPr>
                <w:ilvl w:val="0"/>
                <w:numId w:val="8"/>
              </w:numPr>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砖强度等级不宜低于MU7.5;</w:t>
            </w:r>
          </w:p>
          <w:p w14:paraId="2410FA93">
            <w:pPr>
              <w:pStyle w:val="6"/>
              <w:keepNext w:val="0"/>
              <w:keepLines w:val="0"/>
              <w:pageBreakBefore w:val="0"/>
              <w:widowControl w:val="0"/>
              <w:numPr>
                <w:ilvl w:val="0"/>
                <w:numId w:val="8"/>
              </w:numPr>
              <w:kinsoku/>
              <w:wordWrap/>
              <w:overflowPunct/>
              <w:topLinePunct w:val="0"/>
              <w:autoSpaceDE/>
              <w:autoSpaceDN/>
              <w:bidi w:val="0"/>
              <w:adjustRightInd/>
              <w:snapToGrid/>
              <w:spacing w:before="0" w:line="240" w:lineRule="auto"/>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砂浆强度等级，6</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7度时不宜低于M1</w:t>
            </w:r>
            <w:r>
              <w:rPr>
                <w:rFonts w:hint="eastAsia" w:ascii="Times New Roman" w:hAnsi="Times New Roman" w:eastAsia="宋体" w:cs="Times New Roman"/>
                <w:color w:val="auto"/>
                <w:sz w:val="21"/>
                <w:szCs w:val="21"/>
                <w:lang w:eastAsia="zh-CN"/>
              </w:rPr>
              <w:t>。</w:t>
            </w:r>
          </w:p>
        </w:tc>
        <w:tc>
          <w:tcPr>
            <w:tcW w:w="954" w:type="pct"/>
            <w:vAlign w:val="center"/>
          </w:tcPr>
          <w:p w14:paraId="2B34CD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□满足；□不满足</w:t>
            </w:r>
          </w:p>
        </w:tc>
      </w:tr>
      <w:tr w14:paraId="4F727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418" w:type="pct"/>
            <w:vMerge w:val="continue"/>
            <w:vAlign w:val="center"/>
          </w:tcPr>
          <w:p w14:paraId="12C0B3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418" w:type="pct"/>
            <w:vMerge w:val="continue"/>
            <w:vAlign w:val="center"/>
          </w:tcPr>
          <w:p w14:paraId="427AC9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655" w:type="pct"/>
            <w:gridSpan w:val="2"/>
            <w:vAlign w:val="center"/>
          </w:tcPr>
          <w:p w14:paraId="739099BD">
            <w:pPr>
              <w:pStyle w:val="6"/>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连接构造</w:t>
            </w:r>
          </w:p>
        </w:tc>
        <w:tc>
          <w:tcPr>
            <w:tcW w:w="642" w:type="pct"/>
            <w:vAlign w:val="center"/>
          </w:tcPr>
          <w:p w14:paraId="6B2472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910" w:type="pct"/>
            <w:gridSpan w:val="2"/>
            <w:vAlign w:val="center"/>
          </w:tcPr>
          <w:p w14:paraId="4048A64C">
            <w:pPr>
              <w:keepNext w:val="0"/>
              <w:keepLines w:val="0"/>
              <w:pageBreakBefore w:val="0"/>
              <w:widowControl w:val="0"/>
              <w:numPr>
                <w:ilvl w:val="0"/>
                <w:numId w:val="9"/>
              </w:numPr>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屋架或大梁的支撑长度不宜夏鸥240mm；</w:t>
            </w:r>
          </w:p>
          <w:p w14:paraId="52FC4517">
            <w:pPr>
              <w:pStyle w:val="6"/>
              <w:keepNext w:val="0"/>
              <w:keepLines w:val="0"/>
              <w:pageBreakBefore w:val="0"/>
              <w:widowControl w:val="0"/>
              <w:numPr>
                <w:ilvl w:val="0"/>
                <w:numId w:val="9"/>
              </w:numPr>
              <w:kinsoku/>
              <w:wordWrap/>
              <w:overflowPunct/>
              <w:topLinePunct w:val="0"/>
              <w:autoSpaceDE/>
              <w:autoSpaceDN/>
              <w:bidi w:val="0"/>
              <w:adjustRightInd/>
              <w:snapToGrid/>
              <w:spacing w:before="0" w:line="240" w:lineRule="auto"/>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独立砖柱应在两个方向君有可靠连接</w:t>
            </w:r>
            <w:r>
              <w:rPr>
                <w:rFonts w:hint="eastAsia" w:ascii="Times New Roman" w:hAnsi="Times New Roman" w:eastAsia="宋体" w:cs="Times New Roman"/>
                <w:color w:val="auto"/>
                <w:sz w:val="21"/>
                <w:szCs w:val="21"/>
                <w:lang w:eastAsia="zh-CN"/>
              </w:rPr>
              <w:t>；</w:t>
            </w:r>
          </w:p>
          <w:p w14:paraId="2AAF029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3、7度时，砌筑在大梁上的悬墙、封檐墙应与梁、柱及屋盖等有可靠连接；</w:t>
            </w:r>
          </w:p>
          <w:p w14:paraId="28D6476D">
            <w:pPr>
              <w:pStyle w:val="6"/>
              <w:keepNext w:val="0"/>
              <w:keepLines w:val="0"/>
              <w:pageBreakBefore w:val="0"/>
              <w:widowControl w:val="0"/>
              <w:kinsoku/>
              <w:wordWrap/>
              <w:overflowPunct/>
              <w:topLinePunct w:val="0"/>
              <w:autoSpaceDE/>
              <w:autoSpaceDN/>
              <w:bidi w:val="0"/>
              <w:adjustRightInd/>
              <w:snapToGrid/>
              <w:spacing w:before="0" w:line="240" w:lineRule="auto"/>
              <w:jc w:val="left"/>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4、当砌筑砂浆的强度不低于M2.5且厚度为240mm事，对刚性结构房屋的封闭女儿墙墙高不宜大于0.9m；对整体性不梁或非刚性结构的房屋高度不应大于0.5m</w:t>
            </w:r>
            <w:r>
              <w:rPr>
                <w:rFonts w:hint="eastAsia" w:ascii="Times New Roman" w:hAnsi="Times New Roman" w:eastAsia="宋体" w:cs="Times New Roman"/>
                <w:color w:val="auto"/>
                <w:sz w:val="21"/>
                <w:szCs w:val="21"/>
                <w:lang w:val="en-US" w:eastAsia="zh-CN"/>
              </w:rPr>
              <w:t>。</w:t>
            </w:r>
          </w:p>
        </w:tc>
        <w:tc>
          <w:tcPr>
            <w:tcW w:w="954" w:type="pct"/>
            <w:vAlign w:val="center"/>
          </w:tcPr>
          <w:p w14:paraId="7D18E0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□满足；□不满足</w:t>
            </w:r>
          </w:p>
        </w:tc>
      </w:tr>
      <w:tr w14:paraId="72097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418" w:type="pct"/>
            <w:vMerge w:val="continue"/>
            <w:vAlign w:val="center"/>
          </w:tcPr>
          <w:p w14:paraId="2F6A85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418" w:type="pct"/>
            <w:vMerge w:val="continue"/>
            <w:vAlign w:val="center"/>
          </w:tcPr>
          <w:p w14:paraId="47806D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655" w:type="pct"/>
            <w:gridSpan w:val="2"/>
            <w:vAlign w:val="center"/>
          </w:tcPr>
          <w:p w14:paraId="759D58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圈梁布置</w:t>
            </w:r>
          </w:p>
        </w:tc>
        <w:tc>
          <w:tcPr>
            <w:tcW w:w="642" w:type="pct"/>
            <w:vAlign w:val="center"/>
          </w:tcPr>
          <w:p w14:paraId="48AFA7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910" w:type="pct"/>
            <w:gridSpan w:val="2"/>
            <w:vAlign w:val="center"/>
          </w:tcPr>
          <w:p w14:paraId="32AFF3E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1、7度时屋架底部标高大于4m,屋架底部标高处沿外墙和承重内墙，均应有现浇闭合圈梁一道，并与屋架或大梁等可靠连接；</w:t>
            </w:r>
          </w:p>
          <w:p w14:paraId="2F5ED94C">
            <w:pPr>
              <w:pStyle w:val="6"/>
              <w:keepNext w:val="0"/>
              <w:keepLines w:val="0"/>
              <w:pageBreakBefore w:val="0"/>
              <w:widowControl w:val="0"/>
              <w:kinsoku/>
              <w:wordWrap/>
              <w:overflowPunct/>
              <w:topLinePunct w:val="0"/>
              <w:autoSpaceDE/>
              <w:autoSpaceDN/>
              <w:bidi w:val="0"/>
              <w:adjustRightInd/>
              <w:snapToGrid/>
              <w:spacing w:before="0" w:line="240" w:lineRule="auto"/>
              <w:jc w:val="left"/>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2、7度时，屋盖构件应与山墙可靠连接，山墙壁柱宜通到墙顶</w:t>
            </w:r>
            <w:r>
              <w:rPr>
                <w:rFonts w:hint="eastAsia" w:ascii="Times New Roman" w:hAnsi="Times New Roman" w:eastAsia="宋体" w:cs="Times New Roman"/>
                <w:color w:val="auto"/>
                <w:sz w:val="21"/>
                <w:szCs w:val="21"/>
                <w:lang w:eastAsia="zh-CN"/>
              </w:rPr>
              <w:t>。</w:t>
            </w:r>
          </w:p>
        </w:tc>
        <w:tc>
          <w:tcPr>
            <w:tcW w:w="954" w:type="pct"/>
            <w:vAlign w:val="center"/>
          </w:tcPr>
          <w:p w14:paraId="7A5F88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□满足；□不满足</w:t>
            </w:r>
          </w:p>
        </w:tc>
      </w:tr>
    </w:tbl>
    <w:p w14:paraId="17E50823">
      <w:pPr>
        <w:rPr>
          <w:color w:val="auto"/>
        </w:rPr>
      </w:pPr>
      <w:r>
        <w:rPr>
          <w:color w:val="auto"/>
        </w:rPr>
        <w:br w:type="page"/>
      </w:r>
    </w:p>
    <w:p w14:paraId="67D57006">
      <w:pPr>
        <w:keepNext w:val="0"/>
        <w:keepLines w:val="0"/>
        <w:pageBreakBefore w:val="0"/>
        <w:widowControl w:val="0"/>
        <w:kinsoku/>
        <w:wordWrap/>
        <w:overflowPunct/>
        <w:topLinePunct w:val="0"/>
        <w:autoSpaceDE/>
        <w:autoSpaceDN/>
        <w:bidi w:val="0"/>
        <w:adjustRightInd/>
        <w:snapToGrid/>
        <w:spacing w:line="240" w:lineRule="auto"/>
        <w:ind w:firstLine="482"/>
        <w:jc w:val="center"/>
        <w:textAlignment w:val="auto"/>
        <w:rPr>
          <w:rFonts w:hint="default"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lang w:val="en-US" w:eastAsia="zh-CN"/>
        </w:rPr>
        <w:t>单层砖柱厂房B</w:t>
      </w:r>
      <w:r>
        <w:rPr>
          <w:rFonts w:hint="default" w:ascii="Times New Roman" w:hAnsi="Times New Roman" w:eastAsia="宋体" w:cs="Times New Roman"/>
          <w:b/>
          <w:bCs/>
          <w:color w:val="auto"/>
          <w:sz w:val="21"/>
          <w:szCs w:val="21"/>
        </w:rPr>
        <w:t>类抗震鉴定构造措施（表</w:t>
      </w:r>
      <w:r>
        <w:rPr>
          <w:rFonts w:hint="eastAsia" w:ascii="Times New Roman" w:hAnsi="Times New Roman" w:eastAsia="宋体" w:cs="Times New Roman"/>
          <w:b/>
          <w:bCs/>
          <w:color w:val="auto"/>
          <w:sz w:val="21"/>
          <w:szCs w:val="21"/>
          <w:lang w:val="en-US" w:eastAsia="zh-CN"/>
        </w:rPr>
        <w:t>E.4</w:t>
      </w:r>
      <w:r>
        <w:rPr>
          <w:rFonts w:hint="default" w:ascii="Times New Roman" w:hAnsi="Times New Roman" w:eastAsia="宋体" w:cs="Times New Roman"/>
          <w:b/>
          <w:bCs/>
          <w:color w:val="auto"/>
          <w:sz w:val="21"/>
          <w:szCs w:val="21"/>
        </w:rPr>
        <w:t>）</w:t>
      </w:r>
    </w:p>
    <w:tbl>
      <w:tblPr>
        <w:tblStyle w:val="2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713"/>
        <w:gridCol w:w="419"/>
        <w:gridCol w:w="700"/>
        <w:gridCol w:w="1215"/>
        <w:gridCol w:w="510"/>
        <w:gridCol w:w="2624"/>
        <w:gridCol w:w="1628"/>
      </w:tblGrid>
      <w:tr w14:paraId="010F3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2" w:hRule="atLeast"/>
          <w:jc w:val="center"/>
        </w:trPr>
        <w:tc>
          <w:tcPr>
            <w:tcW w:w="5000" w:type="pct"/>
            <w:gridSpan w:val="8"/>
            <w:vAlign w:val="center"/>
          </w:tcPr>
          <w:p w14:paraId="6DEC3C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一般规定</w:t>
            </w:r>
          </w:p>
        </w:tc>
      </w:tr>
      <w:tr w14:paraId="344FA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417" w:type="pct"/>
            <w:vAlign w:val="center"/>
          </w:tcPr>
          <w:p w14:paraId="20420C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664" w:type="pct"/>
            <w:gridSpan w:val="2"/>
            <w:vAlign w:val="center"/>
          </w:tcPr>
          <w:p w14:paraId="737821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总体信息</w:t>
            </w:r>
          </w:p>
        </w:tc>
        <w:tc>
          <w:tcPr>
            <w:tcW w:w="1422" w:type="pct"/>
            <w:gridSpan w:val="3"/>
            <w:vAlign w:val="center"/>
          </w:tcPr>
          <w:p w14:paraId="5D9780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设防烈度：□6度□7度</w:t>
            </w:r>
          </w:p>
        </w:tc>
        <w:tc>
          <w:tcPr>
            <w:tcW w:w="1539" w:type="pct"/>
            <w:vAlign w:val="center"/>
          </w:tcPr>
          <w:p w14:paraId="60FF3E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□现浇楼盖；☑轻屋盖</w:t>
            </w:r>
          </w:p>
        </w:tc>
        <w:tc>
          <w:tcPr>
            <w:tcW w:w="955" w:type="pct"/>
            <w:vAlign w:val="center"/>
          </w:tcPr>
          <w:p w14:paraId="393C79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建筑物层数：层</w:t>
            </w:r>
          </w:p>
        </w:tc>
      </w:tr>
      <w:tr w14:paraId="702A7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417" w:type="pct"/>
            <w:vMerge w:val="restart"/>
            <w:vAlign w:val="center"/>
          </w:tcPr>
          <w:p w14:paraId="38C1D8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664" w:type="pct"/>
            <w:gridSpan w:val="2"/>
            <w:vMerge w:val="restart"/>
            <w:vAlign w:val="center"/>
          </w:tcPr>
          <w:p w14:paraId="74570B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外观和内在质量</w:t>
            </w:r>
          </w:p>
        </w:tc>
        <w:tc>
          <w:tcPr>
            <w:tcW w:w="3917" w:type="pct"/>
            <w:gridSpan w:val="5"/>
            <w:vAlign w:val="center"/>
          </w:tcPr>
          <w:p w14:paraId="0E84C0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□无不均匀沉降</w:t>
            </w:r>
          </w:p>
        </w:tc>
      </w:tr>
      <w:tr w14:paraId="15085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8" w:hRule="atLeast"/>
          <w:jc w:val="center"/>
        </w:trPr>
        <w:tc>
          <w:tcPr>
            <w:tcW w:w="417" w:type="pct"/>
            <w:vMerge w:val="continue"/>
            <w:vAlign w:val="center"/>
          </w:tcPr>
          <w:p w14:paraId="47A4DF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664" w:type="pct"/>
            <w:gridSpan w:val="2"/>
            <w:vMerge w:val="continue"/>
            <w:vAlign w:val="center"/>
          </w:tcPr>
          <w:p w14:paraId="092D6F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3917" w:type="pct"/>
            <w:gridSpan w:val="5"/>
            <w:vAlign w:val="center"/>
          </w:tcPr>
          <w:p w14:paraId="2EDE47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□钢筋无露筋和锈蚀□构连接无裂缝或松动</w:t>
            </w:r>
          </w:p>
        </w:tc>
      </w:tr>
      <w:tr w14:paraId="3B818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417" w:type="pct"/>
            <w:vMerge w:val="continue"/>
            <w:vAlign w:val="center"/>
          </w:tcPr>
          <w:p w14:paraId="34E618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664" w:type="pct"/>
            <w:gridSpan w:val="2"/>
            <w:vMerge w:val="continue"/>
            <w:vAlign w:val="center"/>
          </w:tcPr>
          <w:p w14:paraId="29E215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3917" w:type="pct"/>
            <w:gridSpan w:val="5"/>
            <w:vAlign w:val="center"/>
          </w:tcPr>
          <w:p w14:paraId="2E4C1F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□无砖墙、钢结构构件的其他损伤</w:t>
            </w:r>
          </w:p>
        </w:tc>
      </w:tr>
      <w:tr w14:paraId="1F96D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5000" w:type="pct"/>
            <w:gridSpan w:val="8"/>
            <w:vAlign w:val="center"/>
          </w:tcPr>
          <w:p w14:paraId="6C493E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抗震构造措施鉴定</w:t>
            </w:r>
          </w:p>
        </w:tc>
      </w:tr>
      <w:tr w14:paraId="25542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1492" w:type="pct"/>
            <w:gridSpan w:val="4"/>
            <w:vAlign w:val="center"/>
          </w:tcPr>
          <w:p w14:paraId="249394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评定项目</w:t>
            </w:r>
          </w:p>
        </w:tc>
        <w:tc>
          <w:tcPr>
            <w:tcW w:w="712" w:type="pct"/>
            <w:vAlign w:val="center"/>
          </w:tcPr>
          <w:p w14:paraId="22373D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结构现状</w:t>
            </w:r>
          </w:p>
        </w:tc>
        <w:tc>
          <w:tcPr>
            <w:tcW w:w="1838" w:type="pct"/>
            <w:gridSpan w:val="2"/>
            <w:vAlign w:val="center"/>
          </w:tcPr>
          <w:p w14:paraId="5B7E5F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规范要求</w:t>
            </w:r>
          </w:p>
        </w:tc>
        <w:tc>
          <w:tcPr>
            <w:tcW w:w="955" w:type="pct"/>
            <w:vAlign w:val="center"/>
          </w:tcPr>
          <w:p w14:paraId="62456B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评定结果</w:t>
            </w:r>
          </w:p>
        </w:tc>
      </w:tr>
      <w:tr w14:paraId="3C2F9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417" w:type="pct"/>
            <w:vMerge w:val="restart"/>
            <w:vAlign w:val="center"/>
          </w:tcPr>
          <w:p w14:paraId="40A2B3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418" w:type="pct"/>
            <w:vMerge w:val="restart"/>
            <w:vAlign w:val="center"/>
          </w:tcPr>
          <w:p w14:paraId="5300F7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结构体系</w:t>
            </w:r>
          </w:p>
        </w:tc>
        <w:tc>
          <w:tcPr>
            <w:tcW w:w="656" w:type="pct"/>
            <w:gridSpan w:val="2"/>
            <w:vAlign w:val="center"/>
          </w:tcPr>
          <w:p w14:paraId="151CA9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构件形式</w:t>
            </w:r>
          </w:p>
          <w:p w14:paraId="671FEB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结构布置</w:t>
            </w:r>
          </w:p>
        </w:tc>
        <w:tc>
          <w:tcPr>
            <w:tcW w:w="712" w:type="pct"/>
            <w:vAlign w:val="center"/>
          </w:tcPr>
          <w:p w14:paraId="3B0FD374">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rPr>
            </w:pPr>
          </w:p>
        </w:tc>
        <w:tc>
          <w:tcPr>
            <w:tcW w:w="1838" w:type="pct"/>
            <w:gridSpan w:val="2"/>
            <w:vAlign w:val="center"/>
          </w:tcPr>
          <w:p w14:paraId="71AAA408">
            <w:pPr>
              <w:keepNext w:val="0"/>
              <w:keepLines w:val="0"/>
              <w:pageBreakBefore w:val="0"/>
              <w:widowControl w:val="0"/>
              <w:numPr>
                <w:ilvl w:val="0"/>
                <w:numId w:val="10"/>
              </w:numPr>
              <w:kinsoku/>
              <w:wordWrap/>
              <w:overflowPunct/>
              <w:topLinePunct w:val="0"/>
              <w:autoSpaceDE/>
              <w:autoSpaceDN/>
              <w:bidi w:val="0"/>
              <w:adjustRightInd/>
              <w:snapToGrid/>
              <w:spacing w:line="240" w:lineRule="auto"/>
              <w:jc w:val="left"/>
              <w:textAlignment w:val="auto"/>
              <w:rPr>
                <w:rStyle w:val="25"/>
                <w:rFonts w:hint="default" w:ascii="Times New Roman" w:hAnsi="Times New Roman" w:eastAsia="宋体" w:cs="Times New Roman"/>
                <w:b w:val="0"/>
                <w:color w:val="auto"/>
                <w:sz w:val="21"/>
                <w:szCs w:val="21"/>
              </w:rPr>
            </w:pPr>
            <w:r>
              <w:rPr>
                <w:rStyle w:val="25"/>
                <w:rFonts w:hint="default" w:ascii="Times New Roman" w:hAnsi="Times New Roman" w:eastAsia="宋体" w:cs="Times New Roman"/>
                <w:b w:val="0"/>
                <w:color w:val="auto"/>
                <w:sz w:val="21"/>
                <w:szCs w:val="21"/>
              </w:rPr>
              <w:t>轻型屋盖厂房，可没有防震缝</w:t>
            </w:r>
            <w:r>
              <w:rPr>
                <w:rFonts w:hint="default" w:ascii="Times New Roman" w:hAnsi="Times New Roman" w:eastAsia="宋体" w:cs="Times New Roman"/>
                <w:color w:val="auto"/>
                <w:sz w:val="21"/>
                <w:szCs w:val="21"/>
              </w:rPr>
              <w:t>；</w:t>
            </w:r>
          </w:p>
          <w:p w14:paraId="6D0B13BD">
            <w:pPr>
              <w:pStyle w:val="6"/>
              <w:keepNext w:val="0"/>
              <w:keepLines w:val="0"/>
              <w:pageBreakBefore w:val="0"/>
              <w:widowControl w:val="0"/>
              <w:numPr>
                <w:ilvl w:val="0"/>
                <w:numId w:val="10"/>
              </w:numPr>
              <w:kinsoku/>
              <w:wordWrap/>
              <w:overflowPunct/>
              <w:topLinePunct w:val="0"/>
              <w:autoSpaceDE/>
              <w:autoSpaceDN/>
              <w:bidi w:val="0"/>
              <w:adjustRightInd/>
              <w:snapToGrid/>
              <w:spacing w:before="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钢筋混凝土屋盖厂房与贴建的建（构）筑间宜有防震缝，缝宽取50-70mm；</w:t>
            </w:r>
          </w:p>
          <w:p w14:paraId="29E2105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3、防震缝处宜设双柱或双墙</w:t>
            </w:r>
            <w:r>
              <w:rPr>
                <w:rFonts w:hint="eastAsia" w:ascii="Times New Roman" w:hAnsi="Times New Roman" w:eastAsia="宋体" w:cs="Times New Roman"/>
                <w:color w:val="auto"/>
                <w:sz w:val="21"/>
                <w:szCs w:val="21"/>
                <w:lang w:eastAsia="zh-CN"/>
              </w:rPr>
              <w:t>。；</w:t>
            </w:r>
          </w:p>
        </w:tc>
        <w:tc>
          <w:tcPr>
            <w:tcW w:w="955" w:type="pct"/>
            <w:vAlign w:val="center"/>
          </w:tcPr>
          <w:p w14:paraId="44F51F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□满足；□不满足</w:t>
            </w:r>
          </w:p>
        </w:tc>
      </w:tr>
      <w:tr w14:paraId="1815F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0" w:hRule="atLeast"/>
          <w:jc w:val="center"/>
        </w:trPr>
        <w:tc>
          <w:tcPr>
            <w:tcW w:w="417" w:type="pct"/>
            <w:vMerge w:val="continue"/>
            <w:vAlign w:val="center"/>
          </w:tcPr>
          <w:p w14:paraId="79B013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418" w:type="pct"/>
            <w:vMerge w:val="continue"/>
            <w:vAlign w:val="center"/>
          </w:tcPr>
          <w:p w14:paraId="22ADD8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656" w:type="pct"/>
            <w:gridSpan w:val="2"/>
            <w:vAlign w:val="center"/>
          </w:tcPr>
          <w:p w14:paraId="1128E9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结构体系</w:t>
            </w:r>
          </w:p>
        </w:tc>
        <w:tc>
          <w:tcPr>
            <w:tcW w:w="712" w:type="pct"/>
            <w:vAlign w:val="center"/>
          </w:tcPr>
          <w:p w14:paraId="40F47F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838" w:type="pct"/>
            <w:gridSpan w:val="2"/>
            <w:vAlign w:val="center"/>
          </w:tcPr>
          <w:p w14:paraId="23D14559">
            <w:pPr>
              <w:pStyle w:val="6"/>
              <w:keepNext w:val="0"/>
              <w:keepLines w:val="0"/>
              <w:pageBreakBefore w:val="0"/>
              <w:widowControl w:val="0"/>
              <w:numPr>
                <w:ilvl w:val="0"/>
                <w:numId w:val="11"/>
              </w:numPr>
              <w:kinsoku/>
              <w:wordWrap/>
              <w:overflowPunct/>
              <w:topLinePunct w:val="0"/>
              <w:autoSpaceDE/>
              <w:autoSpaceDN/>
              <w:bidi w:val="0"/>
              <w:adjustRightInd/>
              <w:snapToGrid/>
              <w:spacing w:before="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6-8度时，宜为轻钢屋盖；</w:t>
            </w:r>
          </w:p>
          <w:p w14:paraId="6E23D3C2">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2、6-7度时，可为十字性截面的无筋砖柱；</w:t>
            </w:r>
          </w:p>
          <w:p w14:paraId="4C2D3456">
            <w:pPr>
              <w:pStyle w:val="6"/>
              <w:keepNext w:val="0"/>
              <w:keepLines w:val="0"/>
              <w:pageBreakBefore w:val="0"/>
              <w:widowControl w:val="0"/>
              <w:numPr>
                <w:ilvl w:val="0"/>
                <w:numId w:val="10"/>
              </w:numPr>
              <w:kinsoku/>
              <w:wordWrap/>
              <w:overflowPunct/>
              <w:topLinePunct w:val="0"/>
              <w:autoSpaceDE/>
              <w:autoSpaceDN/>
              <w:bidi w:val="0"/>
              <w:adjustRightInd/>
              <w:snapToGrid/>
              <w:spacing w:before="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厂房两端均应有承重山墙</w:t>
            </w:r>
            <w:r>
              <w:rPr>
                <w:rFonts w:hint="eastAsia" w:ascii="Times New Roman" w:hAnsi="Times New Roman" w:eastAsia="宋体" w:cs="Times New Roman"/>
                <w:color w:val="auto"/>
                <w:sz w:val="21"/>
                <w:szCs w:val="21"/>
                <w:lang w:eastAsia="zh-CN"/>
              </w:rPr>
              <w:t>。</w:t>
            </w:r>
          </w:p>
        </w:tc>
        <w:tc>
          <w:tcPr>
            <w:tcW w:w="955" w:type="pct"/>
            <w:vAlign w:val="center"/>
          </w:tcPr>
          <w:p w14:paraId="6E7AD4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□满足；□不满足</w:t>
            </w:r>
          </w:p>
        </w:tc>
      </w:tr>
      <w:tr w14:paraId="54FFC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417" w:type="pct"/>
            <w:vMerge w:val="restart"/>
            <w:vAlign w:val="center"/>
          </w:tcPr>
          <w:p w14:paraId="3864AF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418" w:type="pct"/>
            <w:vMerge w:val="restart"/>
            <w:vAlign w:val="center"/>
          </w:tcPr>
          <w:p w14:paraId="129E19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抗震构造措施</w:t>
            </w:r>
          </w:p>
        </w:tc>
        <w:tc>
          <w:tcPr>
            <w:tcW w:w="656" w:type="pct"/>
            <w:gridSpan w:val="2"/>
            <w:vAlign w:val="center"/>
          </w:tcPr>
          <w:p w14:paraId="226211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材料强度</w:t>
            </w:r>
          </w:p>
        </w:tc>
        <w:tc>
          <w:tcPr>
            <w:tcW w:w="712" w:type="pct"/>
            <w:vAlign w:val="center"/>
          </w:tcPr>
          <w:p w14:paraId="1C76C8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838" w:type="pct"/>
            <w:gridSpan w:val="2"/>
            <w:vAlign w:val="center"/>
          </w:tcPr>
          <w:p w14:paraId="405BDB22">
            <w:pPr>
              <w:pStyle w:val="44"/>
              <w:keepNext w:val="0"/>
              <w:keepLines w:val="0"/>
              <w:pageBreakBefore w:val="0"/>
              <w:widowControl w:val="0"/>
              <w:numPr>
                <w:ilvl w:val="0"/>
                <w:numId w:val="0"/>
              </w:numPr>
              <w:kinsoku/>
              <w:wordWrap/>
              <w:overflowPunct/>
              <w:topLinePunct w:val="0"/>
              <w:autoSpaceDE/>
              <w:autoSpaceDN/>
              <w:bidi w:val="0"/>
              <w:adjustRightInd/>
              <w:snapToGrid/>
              <w:spacing w:line="240" w:lineRule="auto"/>
              <w:ind w:left="360" w:leftChars="0" w:hanging="36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SA"/>
              </w:rPr>
              <w:t>1、</w:t>
            </w:r>
            <w:r>
              <w:rPr>
                <w:rFonts w:hint="default" w:ascii="Times New Roman" w:hAnsi="Times New Roman" w:eastAsia="宋体" w:cs="Times New Roman"/>
                <w:color w:val="auto"/>
                <w:sz w:val="21"/>
                <w:szCs w:val="21"/>
              </w:rPr>
              <w:t>砖强度等级不宜低于MU7.5</w:t>
            </w:r>
            <w:r>
              <w:rPr>
                <w:rFonts w:hint="eastAsia" w:ascii="Times New Roman" w:hAnsi="Times New Roman" w:eastAsia="宋体" w:cs="Times New Roman"/>
                <w:color w:val="auto"/>
                <w:sz w:val="21"/>
                <w:szCs w:val="21"/>
                <w:lang w:eastAsia="zh-CN"/>
              </w:rPr>
              <w:t>；</w:t>
            </w:r>
          </w:p>
          <w:p w14:paraId="634815A9">
            <w:pPr>
              <w:pStyle w:val="6"/>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left="360" w:leftChars="0" w:hanging="360" w:firstLineChars="0"/>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2"/>
                <w:sz w:val="21"/>
                <w:szCs w:val="21"/>
                <w:lang w:val="en-US" w:eastAsia="zh-CN" w:bidi="ar-SA"/>
              </w:rPr>
              <w:t>2、</w:t>
            </w:r>
            <w:r>
              <w:rPr>
                <w:rFonts w:hint="default" w:ascii="Times New Roman" w:hAnsi="Times New Roman" w:eastAsia="宋体" w:cs="Times New Roman"/>
                <w:color w:val="auto"/>
                <w:sz w:val="21"/>
                <w:szCs w:val="21"/>
              </w:rPr>
              <w:t>砂浆强度级不宜低于M2.5</w:t>
            </w:r>
            <w:r>
              <w:rPr>
                <w:rFonts w:hint="eastAsia" w:ascii="Times New Roman" w:hAnsi="Times New Roman" w:eastAsia="宋体" w:cs="Times New Roman"/>
                <w:color w:val="auto"/>
                <w:sz w:val="21"/>
                <w:szCs w:val="21"/>
                <w:lang w:eastAsia="zh-CN"/>
              </w:rPr>
              <w:t>。</w:t>
            </w:r>
          </w:p>
        </w:tc>
        <w:tc>
          <w:tcPr>
            <w:tcW w:w="955" w:type="pct"/>
            <w:vAlign w:val="center"/>
          </w:tcPr>
          <w:p w14:paraId="0BBFAA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□满足；□不满足</w:t>
            </w:r>
          </w:p>
        </w:tc>
      </w:tr>
      <w:tr w14:paraId="38174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417" w:type="pct"/>
            <w:vMerge w:val="continue"/>
            <w:vAlign w:val="center"/>
          </w:tcPr>
          <w:p w14:paraId="7DF300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418" w:type="pct"/>
            <w:vMerge w:val="continue"/>
            <w:vAlign w:val="center"/>
          </w:tcPr>
          <w:p w14:paraId="2F49E5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656" w:type="pct"/>
            <w:gridSpan w:val="2"/>
            <w:vAlign w:val="center"/>
          </w:tcPr>
          <w:p w14:paraId="69B9F131">
            <w:pPr>
              <w:pStyle w:val="6"/>
              <w:keepNext w:val="0"/>
              <w:keepLines w:val="0"/>
              <w:pageBreakBefore w:val="0"/>
              <w:widowControl w:val="0"/>
              <w:kinsoku/>
              <w:wordWrap/>
              <w:overflowPunct/>
              <w:topLinePunct w:val="0"/>
              <w:autoSpaceDE/>
              <w:autoSpaceDN/>
              <w:bidi w:val="0"/>
              <w:adjustRightInd/>
              <w:snapToGrid/>
              <w:spacing w:before="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连接构造</w:t>
            </w:r>
          </w:p>
        </w:tc>
        <w:tc>
          <w:tcPr>
            <w:tcW w:w="712" w:type="pct"/>
            <w:vAlign w:val="center"/>
          </w:tcPr>
          <w:p w14:paraId="025E19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838" w:type="pct"/>
            <w:gridSpan w:val="2"/>
            <w:vAlign w:val="center"/>
          </w:tcPr>
          <w:p w14:paraId="1F1E149B">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山墻沿屋面应有现浇钢筋混凝土卧梁，并与屋盖构件锚拉；山墙壁柱的截面和配筋，不宜小于排架柱，壁柱应通到墙顶并与卧梁或屋盖构件连接。</w:t>
            </w:r>
          </w:p>
        </w:tc>
        <w:tc>
          <w:tcPr>
            <w:tcW w:w="955" w:type="pct"/>
            <w:vAlign w:val="center"/>
          </w:tcPr>
          <w:p w14:paraId="349F96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□满足；□不满足</w:t>
            </w:r>
          </w:p>
        </w:tc>
      </w:tr>
      <w:tr w14:paraId="2EF3C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417" w:type="pct"/>
            <w:vMerge w:val="continue"/>
            <w:vAlign w:val="center"/>
          </w:tcPr>
          <w:p w14:paraId="1F495F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418" w:type="pct"/>
            <w:vMerge w:val="continue"/>
            <w:vAlign w:val="center"/>
          </w:tcPr>
          <w:p w14:paraId="4343DE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656" w:type="pct"/>
            <w:gridSpan w:val="2"/>
            <w:vAlign w:val="center"/>
          </w:tcPr>
          <w:p w14:paraId="368C1C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圈梁布置</w:t>
            </w:r>
          </w:p>
        </w:tc>
        <w:tc>
          <w:tcPr>
            <w:tcW w:w="712" w:type="pct"/>
            <w:vAlign w:val="center"/>
          </w:tcPr>
          <w:p w14:paraId="6694FD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838" w:type="pct"/>
            <w:gridSpan w:val="2"/>
            <w:vAlign w:val="center"/>
          </w:tcPr>
          <w:p w14:paraId="304ED1B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1、柱顶标高处沿房屋外墙及承重内墙应有闭合圈梁；</w:t>
            </w:r>
          </w:p>
          <w:p w14:paraId="3B91A14D">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2、屋架（屋面梁）与墙顶圈梁或柱顶垫块，应为螺栓连接或焊接；柱顶垫块的厚度不应小于240mm，并应有直径不小于φ8，间距不大于100mm的钢筋网两层；墙顶圈梁应与柱顶垫块整浇。</w:t>
            </w:r>
          </w:p>
        </w:tc>
        <w:tc>
          <w:tcPr>
            <w:tcW w:w="955" w:type="pct"/>
            <w:vAlign w:val="center"/>
          </w:tcPr>
          <w:p w14:paraId="780BBE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□满足；□不满足</w:t>
            </w:r>
          </w:p>
        </w:tc>
      </w:tr>
    </w:tbl>
    <w:p w14:paraId="13EA32D8">
      <w:pP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br w:type="page"/>
      </w:r>
    </w:p>
    <w:p w14:paraId="2AF58745">
      <w:pPr>
        <w:keepNext w:val="0"/>
        <w:keepLines w:val="0"/>
        <w:pageBreakBefore w:val="0"/>
        <w:widowControl w:val="0"/>
        <w:kinsoku/>
        <w:wordWrap/>
        <w:overflowPunct/>
        <w:topLinePunct w:val="0"/>
        <w:autoSpaceDE/>
        <w:autoSpaceDN/>
        <w:bidi w:val="0"/>
        <w:adjustRightInd/>
        <w:snapToGrid/>
        <w:spacing w:line="240" w:lineRule="auto"/>
        <w:ind w:firstLine="482"/>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门钢</w:t>
      </w:r>
      <w:r>
        <w:rPr>
          <w:rFonts w:hint="default" w:ascii="Times New Roman" w:hAnsi="Times New Roman" w:eastAsia="宋体" w:cs="Times New Roman"/>
          <w:b/>
          <w:bCs/>
          <w:color w:val="auto"/>
          <w:sz w:val="21"/>
          <w:szCs w:val="21"/>
          <w:lang w:val="en-US" w:eastAsia="zh-CN"/>
        </w:rPr>
        <w:t>厂房抗震鉴定构造措施（表</w:t>
      </w:r>
      <w:r>
        <w:rPr>
          <w:rFonts w:hint="eastAsia" w:ascii="Times New Roman" w:hAnsi="Times New Roman" w:eastAsia="宋体" w:cs="Times New Roman"/>
          <w:b/>
          <w:bCs/>
          <w:color w:val="auto"/>
          <w:sz w:val="21"/>
          <w:szCs w:val="21"/>
          <w:lang w:val="en-US" w:eastAsia="zh-CN"/>
        </w:rPr>
        <w:t>E.</w:t>
      </w:r>
      <w:r>
        <w:rPr>
          <w:rFonts w:hint="default" w:ascii="Times New Roman" w:hAnsi="Times New Roman" w:eastAsia="宋体" w:cs="Times New Roman"/>
          <w:b/>
          <w:bCs/>
          <w:color w:val="auto"/>
          <w:sz w:val="21"/>
          <w:szCs w:val="21"/>
          <w:lang w:val="en-US" w:eastAsia="zh-CN"/>
        </w:rPr>
        <w:t>5）</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4"/>
        <w:gridCol w:w="701"/>
        <w:gridCol w:w="65"/>
        <w:gridCol w:w="654"/>
        <w:gridCol w:w="833"/>
        <w:gridCol w:w="506"/>
        <w:gridCol w:w="169"/>
        <w:gridCol w:w="409"/>
        <w:gridCol w:w="888"/>
        <w:gridCol w:w="2071"/>
        <w:gridCol w:w="375"/>
        <w:gridCol w:w="1157"/>
      </w:tblGrid>
      <w:tr w14:paraId="6B9D6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5000" w:type="pct"/>
            <w:gridSpan w:val="12"/>
            <w:vAlign w:val="center"/>
          </w:tcPr>
          <w:p w14:paraId="1CB876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建筑结构总体信息</w:t>
            </w:r>
          </w:p>
        </w:tc>
      </w:tr>
      <w:tr w14:paraId="310BA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856" w:type="pct"/>
            <w:gridSpan w:val="3"/>
            <w:vAlign w:val="center"/>
          </w:tcPr>
          <w:p w14:paraId="0FB5F7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结构信息</w:t>
            </w:r>
          </w:p>
        </w:tc>
        <w:tc>
          <w:tcPr>
            <w:tcW w:w="1169" w:type="pct"/>
            <w:gridSpan w:val="3"/>
            <w:vAlign w:val="center"/>
          </w:tcPr>
          <w:p w14:paraId="52D4CC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层数</w:t>
            </w:r>
          </w:p>
        </w:tc>
        <w:tc>
          <w:tcPr>
            <w:tcW w:w="860" w:type="pct"/>
            <w:gridSpan w:val="3"/>
            <w:vAlign w:val="center"/>
          </w:tcPr>
          <w:p w14:paraId="48A301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跨数</w:t>
            </w:r>
          </w:p>
        </w:tc>
        <w:tc>
          <w:tcPr>
            <w:tcW w:w="1215" w:type="pct"/>
            <w:vAlign w:val="center"/>
          </w:tcPr>
          <w:p w14:paraId="306A57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层高</w:t>
            </w:r>
          </w:p>
        </w:tc>
        <w:tc>
          <w:tcPr>
            <w:tcW w:w="898" w:type="pct"/>
            <w:gridSpan w:val="2"/>
            <w:vAlign w:val="center"/>
          </w:tcPr>
          <w:p w14:paraId="7AABEF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总高H</w:t>
            </w:r>
          </w:p>
        </w:tc>
      </w:tr>
      <w:tr w14:paraId="5F794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856" w:type="pct"/>
            <w:gridSpan w:val="3"/>
            <w:vAlign w:val="center"/>
          </w:tcPr>
          <w:p w14:paraId="2845DE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门刚结构</w:t>
            </w:r>
          </w:p>
        </w:tc>
        <w:tc>
          <w:tcPr>
            <w:tcW w:w="1169" w:type="pct"/>
            <w:gridSpan w:val="3"/>
            <w:vAlign w:val="center"/>
          </w:tcPr>
          <w:p w14:paraId="1B6D41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860" w:type="pct"/>
            <w:gridSpan w:val="3"/>
            <w:vAlign w:val="center"/>
          </w:tcPr>
          <w:p w14:paraId="4988FB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215" w:type="pct"/>
            <w:vAlign w:val="center"/>
          </w:tcPr>
          <w:p w14:paraId="2717A6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898" w:type="pct"/>
            <w:gridSpan w:val="2"/>
            <w:vAlign w:val="center"/>
          </w:tcPr>
          <w:p w14:paraId="51665F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r>
      <w:tr w14:paraId="4AAFA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856" w:type="pct"/>
            <w:gridSpan w:val="3"/>
            <w:vAlign w:val="center"/>
          </w:tcPr>
          <w:p w14:paraId="4B74C3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楼(屋)面结构</w:t>
            </w:r>
          </w:p>
        </w:tc>
        <w:tc>
          <w:tcPr>
            <w:tcW w:w="4143" w:type="pct"/>
            <w:gridSpan w:val="9"/>
            <w:vAlign w:val="center"/>
          </w:tcPr>
          <w:p w14:paraId="596D21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r>
      <w:tr w14:paraId="7AD6C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856" w:type="pct"/>
            <w:gridSpan w:val="3"/>
            <w:vAlign w:val="center"/>
          </w:tcPr>
          <w:p w14:paraId="500869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设计及</w:t>
            </w:r>
          </w:p>
          <w:p w14:paraId="6DC167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建成时间</w:t>
            </w:r>
          </w:p>
        </w:tc>
        <w:tc>
          <w:tcPr>
            <w:tcW w:w="4143" w:type="pct"/>
            <w:gridSpan w:val="9"/>
            <w:vAlign w:val="center"/>
          </w:tcPr>
          <w:p w14:paraId="2FA57D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r>
      <w:tr w14:paraId="12C19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856" w:type="pct"/>
            <w:gridSpan w:val="3"/>
            <w:vAlign w:val="center"/>
          </w:tcPr>
          <w:p w14:paraId="1C6014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设防分类</w:t>
            </w:r>
          </w:p>
        </w:tc>
        <w:tc>
          <w:tcPr>
            <w:tcW w:w="4143" w:type="pct"/>
            <w:gridSpan w:val="9"/>
            <w:vAlign w:val="center"/>
          </w:tcPr>
          <w:p w14:paraId="2D0423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r>
      <w:tr w14:paraId="7DACC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856" w:type="pct"/>
            <w:gridSpan w:val="3"/>
            <w:vAlign w:val="center"/>
          </w:tcPr>
          <w:p w14:paraId="28BAF0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地基与基础</w:t>
            </w:r>
          </w:p>
        </w:tc>
        <w:tc>
          <w:tcPr>
            <w:tcW w:w="4143" w:type="pct"/>
            <w:gridSpan w:val="9"/>
            <w:vAlign w:val="center"/>
          </w:tcPr>
          <w:p w14:paraId="26AE09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r>
      <w:tr w14:paraId="54042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5000" w:type="pct"/>
            <w:gridSpan w:val="12"/>
            <w:vAlign w:val="center"/>
          </w:tcPr>
          <w:p w14:paraId="67C036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地基基础</w:t>
            </w:r>
          </w:p>
        </w:tc>
      </w:tr>
      <w:tr w14:paraId="38A9B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856" w:type="pct"/>
            <w:gridSpan w:val="3"/>
            <w:vAlign w:val="center"/>
          </w:tcPr>
          <w:p w14:paraId="61F6EC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场地对建筑的影响鉴定</w:t>
            </w:r>
          </w:p>
        </w:tc>
        <w:tc>
          <w:tcPr>
            <w:tcW w:w="4143" w:type="pct"/>
            <w:gridSpan w:val="9"/>
            <w:vAlign w:val="center"/>
          </w:tcPr>
          <w:p w14:paraId="58E087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抗震设防烈度为6、7度时，不需鉴定(依据GB50023-2009中第4.1.1条)。</w:t>
            </w:r>
          </w:p>
        </w:tc>
      </w:tr>
      <w:tr w14:paraId="78538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856" w:type="pct"/>
            <w:gridSpan w:val="3"/>
            <w:vAlign w:val="center"/>
          </w:tcPr>
          <w:p w14:paraId="61FCB7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地基基础</w:t>
            </w:r>
          </w:p>
          <w:p w14:paraId="3724BB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抗震鉴定</w:t>
            </w:r>
          </w:p>
        </w:tc>
        <w:tc>
          <w:tcPr>
            <w:tcW w:w="4143" w:type="pct"/>
            <w:gridSpan w:val="9"/>
            <w:vAlign w:val="center"/>
          </w:tcPr>
          <w:p w14:paraId="17321B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6度时的各类建筑，不需鉴定(依据GB50023-2009中4.2.2条)。</w:t>
            </w:r>
          </w:p>
        </w:tc>
      </w:tr>
      <w:tr w14:paraId="427D0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2" w:hRule="atLeast"/>
          <w:jc w:val="center"/>
        </w:trPr>
        <w:tc>
          <w:tcPr>
            <w:tcW w:w="5000" w:type="pct"/>
            <w:gridSpan w:val="12"/>
            <w:vAlign w:val="center"/>
          </w:tcPr>
          <w:p w14:paraId="6F73A4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抗震构造措施鉴定</w:t>
            </w:r>
          </w:p>
        </w:tc>
      </w:tr>
      <w:tr w14:paraId="4ADEC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407" w:type="pct"/>
            <w:vAlign w:val="center"/>
          </w:tcPr>
          <w:p w14:paraId="52C80C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833" w:type="pct"/>
            <w:gridSpan w:val="3"/>
            <w:vAlign w:val="center"/>
          </w:tcPr>
          <w:p w14:paraId="5FA388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总体信息</w:t>
            </w:r>
          </w:p>
        </w:tc>
        <w:tc>
          <w:tcPr>
            <w:tcW w:w="884" w:type="pct"/>
            <w:gridSpan w:val="3"/>
            <w:vAlign w:val="center"/>
          </w:tcPr>
          <w:p w14:paraId="1FC7EC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设防烈度：6度</w:t>
            </w:r>
          </w:p>
        </w:tc>
        <w:tc>
          <w:tcPr>
            <w:tcW w:w="2196" w:type="pct"/>
            <w:gridSpan w:val="4"/>
            <w:vAlign w:val="center"/>
          </w:tcPr>
          <w:p w14:paraId="53C2D16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□现浇楼盖；□轻屋盖</w:t>
            </w:r>
          </w:p>
        </w:tc>
        <w:tc>
          <w:tcPr>
            <w:tcW w:w="678" w:type="pct"/>
            <w:vAlign w:val="center"/>
          </w:tcPr>
          <w:p w14:paraId="73E8F3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建筑物层数：1层</w:t>
            </w:r>
          </w:p>
        </w:tc>
      </w:tr>
      <w:tr w14:paraId="58ABE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407" w:type="pct"/>
            <w:vMerge w:val="restart"/>
            <w:vAlign w:val="center"/>
          </w:tcPr>
          <w:p w14:paraId="605660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833" w:type="pct"/>
            <w:gridSpan w:val="3"/>
            <w:vMerge w:val="restart"/>
            <w:vAlign w:val="center"/>
          </w:tcPr>
          <w:p w14:paraId="6CB07B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外观和内在质量</w:t>
            </w:r>
          </w:p>
        </w:tc>
        <w:tc>
          <w:tcPr>
            <w:tcW w:w="3759" w:type="pct"/>
            <w:gridSpan w:val="8"/>
            <w:vAlign w:val="center"/>
          </w:tcPr>
          <w:p w14:paraId="498D9C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□无不均匀沉降</w:t>
            </w:r>
          </w:p>
        </w:tc>
      </w:tr>
      <w:tr w14:paraId="47E9A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8" w:hRule="atLeast"/>
          <w:jc w:val="center"/>
        </w:trPr>
        <w:tc>
          <w:tcPr>
            <w:tcW w:w="407" w:type="pct"/>
            <w:vMerge w:val="continue"/>
            <w:vAlign w:val="center"/>
          </w:tcPr>
          <w:p w14:paraId="54F5DB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833" w:type="pct"/>
            <w:gridSpan w:val="3"/>
            <w:vMerge w:val="continue"/>
            <w:vAlign w:val="center"/>
          </w:tcPr>
          <w:p w14:paraId="76EC60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3759" w:type="pct"/>
            <w:gridSpan w:val="8"/>
            <w:vAlign w:val="center"/>
          </w:tcPr>
          <w:p w14:paraId="6531F0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□钢柱与钢梁连接节点，构件焊接节点完好</w:t>
            </w:r>
          </w:p>
        </w:tc>
      </w:tr>
      <w:tr w14:paraId="709B5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407" w:type="pct"/>
            <w:vMerge w:val="continue"/>
            <w:vAlign w:val="center"/>
          </w:tcPr>
          <w:p w14:paraId="6973D6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833" w:type="pct"/>
            <w:gridSpan w:val="3"/>
            <w:vMerge w:val="continue"/>
            <w:vAlign w:val="center"/>
          </w:tcPr>
          <w:p w14:paraId="1BE929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3759" w:type="pct"/>
            <w:gridSpan w:val="8"/>
            <w:vAlign w:val="center"/>
          </w:tcPr>
          <w:p w14:paraId="5AEA7B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□屋盖构件无严重变形和歪斜</w:t>
            </w:r>
          </w:p>
        </w:tc>
      </w:tr>
      <w:tr w14:paraId="0E8F6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5000" w:type="pct"/>
            <w:gridSpan w:val="12"/>
            <w:vAlign w:val="center"/>
          </w:tcPr>
          <w:p w14:paraId="138273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抗震构造措施鉴定</w:t>
            </w:r>
          </w:p>
        </w:tc>
      </w:tr>
      <w:tr w14:paraId="024C6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1729" w:type="pct"/>
            <w:gridSpan w:val="5"/>
            <w:vAlign w:val="center"/>
          </w:tcPr>
          <w:p w14:paraId="2E921B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评定项目</w:t>
            </w:r>
          </w:p>
        </w:tc>
        <w:tc>
          <w:tcPr>
            <w:tcW w:w="636" w:type="pct"/>
            <w:gridSpan w:val="3"/>
            <w:vAlign w:val="center"/>
          </w:tcPr>
          <w:p w14:paraId="36463B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结构现状</w:t>
            </w:r>
          </w:p>
        </w:tc>
        <w:tc>
          <w:tcPr>
            <w:tcW w:w="1956" w:type="pct"/>
            <w:gridSpan w:val="3"/>
            <w:vAlign w:val="center"/>
          </w:tcPr>
          <w:p w14:paraId="3F646B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规范要求</w:t>
            </w:r>
          </w:p>
        </w:tc>
        <w:tc>
          <w:tcPr>
            <w:tcW w:w="678" w:type="pct"/>
            <w:vAlign w:val="center"/>
          </w:tcPr>
          <w:p w14:paraId="0A8744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评定结果</w:t>
            </w:r>
          </w:p>
        </w:tc>
      </w:tr>
      <w:tr w14:paraId="28F7E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9" w:hRule="atLeast"/>
          <w:jc w:val="center"/>
        </w:trPr>
        <w:tc>
          <w:tcPr>
            <w:tcW w:w="407" w:type="pct"/>
            <w:vMerge w:val="restart"/>
            <w:vAlign w:val="center"/>
          </w:tcPr>
          <w:p w14:paraId="4796C4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411" w:type="pct"/>
            <w:vMerge w:val="restart"/>
            <w:vAlign w:val="center"/>
          </w:tcPr>
          <w:p w14:paraId="7DF283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结构体系</w:t>
            </w:r>
          </w:p>
        </w:tc>
        <w:tc>
          <w:tcPr>
            <w:tcW w:w="910" w:type="pct"/>
            <w:gridSpan w:val="3"/>
            <w:vAlign w:val="center"/>
          </w:tcPr>
          <w:p w14:paraId="5B9A20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结构平面布置</w:t>
            </w:r>
          </w:p>
        </w:tc>
        <w:tc>
          <w:tcPr>
            <w:tcW w:w="636" w:type="pct"/>
            <w:gridSpan w:val="3"/>
            <w:vAlign w:val="center"/>
          </w:tcPr>
          <w:p w14:paraId="42E370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956" w:type="pct"/>
            <w:gridSpan w:val="3"/>
            <w:vAlign w:val="center"/>
          </w:tcPr>
          <w:p w14:paraId="2A646851">
            <w:pPr>
              <w:keepNext w:val="0"/>
              <w:keepLines w:val="0"/>
              <w:pageBreakBefore w:val="0"/>
              <w:widowControl w:val="0"/>
              <w:kinsoku/>
              <w:wordWrap/>
              <w:overflowPunct/>
              <w:topLinePunct w:val="0"/>
              <w:autoSpaceDE/>
              <w:autoSpaceDN/>
              <w:bidi w:val="0"/>
              <w:adjustRightInd/>
              <w:snapToGrid/>
              <w:spacing w:line="240" w:lineRule="auto"/>
              <w:textAlignment w:val="auto"/>
              <w:rPr>
                <w:rStyle w:val="25"/>
                <w:rFonts w:hint="eastAsia" w:ascii="Times New Roman" w:hAnsi="Times New Roman" w:eastAsia="宋体" w:cs="Times New Roman"/>
                <w:b w:val="0"/>
                <w:color w:val="auto"/>
                <w:sz w:val="21"/>
                <w:szCs w:val="21"/>
                <w:lang w:eastAsia="zh-CN"/>
              </w:rPr>
            </w:pPr>
            <w:r>
              <w:rPr>
                <w:rStyle w:val="25"/>
                <w:rFonts w:hint="default" w:ascii="Times New Roman" w:hAnsi="Times New Roman" w:eastAsia="宋体" w:cs="Times New Roman"/>
                <w:b w:val="0"/>
                <w:color w:val="auto"/>
                <w:sz w:val="21"/>
                <w:szCs w:val="21"/>
              </w:rPr>
              <w:t>纵向温度区段不大于300m,横向温度区段不大于1</w:t>
            </w:r>
            <w:r>
              <w:rPr>
                <w:rStyle w:val="25"/>
                <w:rFonts w:hint="default" w:ascii="Times New Roman" w:hAnsi="Times New Roman" w:eastAsia="宋体" w:cs="Times New Roman"/>
                <w:color w:val="auto"/>
                <w:sz w:val="21"/>
                <w:szCs w:val="21"/>
              </w:rPr>
              <w:t>50m</w:t>
            </w:r>
            <w:r>
              <w:rPr>
                <w:rStyle w:val="25"/>
                <w:rFonts w:hint="eastAsia" w:ascii="Times New Roman" w:hAnsi="Times New Roman" w:eastAsia="宋体" w:cs="Times New Roman"/>
                <w:color w:val="auto"/>
                <w:sz w:val="21"/>
                <w:szCs w:val="21"/>
                <w:lang w:eastAsia="zh-CN"/>
              </w:rPr>
              <w:t>。</w:t>
            </w:r>
          </w:p>
        </w:tc>
        <w:tc>
          <w:tcPr>
            <w:tcW w:w="678" w:type="pct"/>
            <w:vAlign w:val="center"/>
          </w:tcPr>
          <w:p w14:paraId="4069CD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□满足；</w:t>
            </w:r>
          </w:p>
          <w:p w14:paraId="6902BC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□不满足</w:t>
            </w:r>
          </w:p>
        </w:tc>
      </w:tr>
      <w:tr w14:paraId="039B9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78" w:hRule="atLeast"/>
          <w:jc w:val="center"/>
        </w:trPr>
        <w:tc>
          <w:tcPr>
            <w:tcW w:w="407" w:type="pct"/>
            <w:vMerge w:val="continue"/>
            <w:vAlign w:val="center"/>
          </w:tcPr>
          <w:p w14:paraId="48D22C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411" w:type="pct"/>
            <w:vMerge w:val="continue"/>
            <w:vAlign w:val="center"/>
          </w:tcPr>
          <w:p w14:paraId="4205FD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910" w:type="pct"/>
            <w:gridSpan w:val="3"/>
            <w:vAlign w:val="center"/>
          </w:tcPr>
          <w:p w14:paraId="7ACF14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墙架布置</w:t>
            </w:r>
          </w:p>
        </w:tc>
        <w:tc>
          <w:tcPr>
            <w:tcW w:w="636" w:type="pct"/>
            <w:gridSpan w:val="3"/>
            <w:vAlign w:val="center"/>
          </w:tcPr>
          <w:p w14:paraId="7546A2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956" w:type="pct"/>
            <w:gridSpan w:val="3"/>
            <w:vAlign w:val="center"/>
          </w:tcPr>
          <w:p w14:paraId="31CFF90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门式刚架轻型房屋的外墙，当抗震烈度不高于6度时，可采用轻型钢墙板或砌体；当抗震设防烈度为7度可采用可采用轻型钢墙板或非嵌砌体</w:t>
            </w:r>
            <w:r>
              <w:rPr>
                <w:rFonts w:hint="eastAsia" w:ascii="Times New Roman" w:hAnsi="Times New Roman" w:eastAsia="宋体" w:cs="Times New Roman"/>
                <w:color w:val="auto"/>
                <w:sz w:val="21"/>
                <w:szCs w:val="21"/>
                <w:lang w:eastAsia="zh-CN"/>
              </w:rPr>
              <w:t>。</w:t>
            </w:r>
          </w:p>
        </w:tc>
        <w:tc>
          <w:tcPr>
            <w:tcW w:w="678" w:type="pct"/>
            <w:vAlign w:val="center"/>
          </w:tcPr>
          <w:p w14:paraId="115B4D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□满足；</w:t>
            </w:r>
          </w:p>
          <w:p w14:paraId="1291EF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□不满足</w:t>
            </w:r>
          </w:p>
        </w:tc>
      </w:tr>
      <w:tr w14:paraId="5D5CF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2" w:hRule="atLeast"/>
          <w:jc w:val="center"/>
        </w:trPr>
        <w:tc>
          <w:tcPr>
            <w:tcW w:w="407" w:type="pct"/>
            <w:vMerge w:val="restart"/>
            <w:vAlign w:val="center"/>
          </w:tcPr>
          <w:p w14:paraId="1184B5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411" w:type="pct"/>
            <w:vMerge w:val="restart"/>
            <w:vAlign w:val="center"/>
          </w:tcPr>
          <w:p w14:paraId="2B290C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抗震构造措施</w:t>
            </w:r>
          </w:p>
        </w:tc>
        <w:tc>
          <w:tcPr>
            <w:tcW w:w="910" w:type="pct"/>
            <w:gridSpan w:val="3"/>
            <w:vAlign w:val="center"/>
          </w:tcPr>
          <w:p w14:paraId="60CF48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柱间</w:t>
            </w:r>
            <w:r>
              <w:rPr>
                <w:rFonts w:hint="default" w:ascii="Times New Roman" w:hAnsi="Times New Roman" w:eastAsia="宋体" w:cs="Times New Roman"/>
                <w:color w:val="auto"/>
                <w:sz w:val="21"/>
                <w:szCs w:val="21"/>
              </w:rPr>
              <w:t>支撑布置</w:t>
            </w:r>
          </w:p>
        </w:tc>
        <w:tc>
          <w:tcPr>
            <w:tcW w:w="636" w:type="pct"/>
            <w:gridSpan w:val="3"/>
            <w:vAlign w:val="center"/>
          </w:tcPr>
          <w:p w14:paraId="0B2AD2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956" w:type="pct"/>
            <w:gridSpan w:val="3"/>
            <w:vAlign w:val="center"/>
          </w:tcPr>
          <w:p w14:paraId="785C99A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柱间支撑应设在侧墙柱列，当房屋宽度大于60m时，在内柱列宜设置柱间支撑。当有吊车时，每个吊车跨两侧柱列均应设置吊车柱间支撑。</w:t>
            </w:r>
          </w:p>
          <w:p w14:paraId="77365CB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同一柱列不宜混用刚度差异大的支撑形式。在同一柱列设置的柱间支撑共同承担该柱列的水平荷载，水平荷载应按各支撑的刚度进行分配。</w:t>
            </w:r>
          </w:p>
          <w:p w14:paraId="04812BC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柱间支撑采用的形式宜为:门式框架、圆钢或钢索交叉支撑、型钢交叉支撑、方管或圆管人字支撑等。当有吊车时，吊车牛腿以下交叉支撑应选用型钢交叉支撑。</w:t>
            </w:r>
          </w:p>
          <w:p w14:paraId="6E40E9C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当房屋高度大于柱间距2倍时，柱间支撑宜分层设置，当沿柱高有质量集中点、吊车牛腿或低屋面连接点处应设置相应支撑点。</w:t>
            </w:r>
          </w:p>
          <w:p w14:paraId="4DC1370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eastAsia="宋体"/>
                <w:color w:val="auto"/>
                <w:lang w:val="en-US" w:eastAsia="zh-CN"/>
              </w:rPr>
            </w:pPr>
            <w:r>
              <w:rPr>
                <w:rFonts w:hint="default" w:ascii="Times New Roman" w:hAnsi="Times New Roman" w:eastAsia="宋体" w:cs="Times New Roman"/>
                <w:color w:val="auto"/>
                <w:sz w:val="21"/>
                <w:szCs w:val="21"/>
              </w:rPr>
              <w:t>5</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柱间支撑的设置应根据房屋纵向柱距、受力情况和温度区段等条件确定。当无吊车时，柱间支撑间距宜取30m~45m，端部柱间支撑宜设置在房屋端部第一或第二开间。当有吊车时吊车牛腿下部支撑宜设置在温度区段中部，当温度区段较长时，宜设置在三分点内，且支撑间距不应大于50m。牛腿上部支撑设置原则与无吊车时的柱间支撑设置相同。</w:t>
            </w:r>
          </w:p>
        </w:tc>
        <w:tc>
          <w:tcPr>
            <w:tcW w:w="678" w:type="pct"/>
            <w:vAlign w:val="center"/>
          </w:tcPr>
          <w:p w14:paraId="5B533C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□满足；</w:t>
            </w:r>
          </w:p>
          <w:p w14:paraId="560D75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□不满足</w:t>
            </w:r>
          </w:p>
        </w:tc>
      </w:tr>
      <w:tr w14:paraId="1B9B5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2" w:hRule="atLeast"/>
          <w:jc w:val="center"/>
        </w:trPr>
        <w:tc>
          <w:tcPr>
            <w:tcW w:w="407" w:type="pct"/>
            <w:vMerge w:val="continue"/>
            <w:vAlign w:val="center"/>
          </w:tcPr>
          <w:p w14:paraId="675096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411" w:type="pct"/>
            <w:vMerge w:val="continue"/>
            <w:vAlign w:val="center"/>
          </w:tcPr>
          <w:p w14:paraId="4B96F1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910" w:type="pct"/>
            <w:gridSpan w:val="3"/>
            <w:vMerge w:val="restart"/>
            <w:vAlign w:val="center"/>
          </w:tcPr>
          <w:p w14:paraId="1ED580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屋盖</w:t>
            </w:r>
            <w:r>
              <w:rPr>
                <w:rFonts w:hint="default" w:ascii="Times New Roman" w:hAnsi="Times New Roman" w:eastAsia="宋体" w:cs="Times New Roman"/>
                <w:color w:val="auto"/>
                <w:sz w:val="21"/>
                <w:szCs w:val="21"/>
              </w:rPr>
              <w:t>支撑布置</w:t>
            </w:r>
          </w:p>
        </w:tc>
        <w:tc>
          <w:tcPr>
            <w:tcW w:w="636" w:type="pct"/>
            <w:gridSpan w:val="3"/>
            <w:vMerge w:val="restart"/>
            <w:vAlign w:val="center"/>
          </w:tcPr>
          <w:p w14:paraId="69D36E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956" w:type="pct"/>
            <w:gridSpan w:val="3"/>
            <w:vAlign w:val="center"/>
          </w:tcPr>
          <w:p w14:paraId="0426BA4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SA"/>
              </w:rPr>
              <w:t>1</w:t>
            </w:r>
            <w:r>
              <w:rPr>
                <w:rFonts w:hint="eastAsia" w:ascii="Times New Roman" w:hAnsi="Times New Roman" w:eastAsia="宋体" w:cs="Times New Roman"/>
                <w:color w:val="auto"/>
                <w:kern w:val="2"/>
                <w:sz w:val="21"/>
                <w:szCs w:val="21"/>
                <w:lang w:val="en-US" w:eastAsia="zh-CN" w:bidi="ar-SA"/>
              </w:rPr>
              <w:t>、</w:t>
            </w:r>
            <w:r>
              <w:rPr>
                <w:rFonts w:hint="default" w:ascii="Times New Roman" w:hAnsi="Times New Roman" w:eastAsia="宋体" w:cs="Times New Roman"/>
                <w:color w:val="auto"/>
                <w:sz w:val="21"/>
                <w:szCs w:val="21"/>
              </w:rPr>
              <w:t>屋盖横向支撑宜设在温度区间端部的第一个或第二个开间，当端部支撑设置在第二个开间时，在第一个开间的相应位置应设置刚性系杠；</w:t>
            </w:r>
          </w:p>
          <w:p w14:paraId="400420F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屋盖支撑形式可选用圆钢或钢索交叉支撑;当屋面斜梁</w:t>
            </w:r>
            <w:r>
              <w:rPr>
                <w:rFonts w:hint="eastAsia" w:ascii="Times New Roman" w:hAnsi="Times New Roman" w:eastAsia="宋体" w:cs="Times New Roman"/>
                <w:color w:val="auto"/>
                <w:sz w:val="21"/>
                <w:szCs w:val="21"/>
                <w:lang w:eastAsia="zh-CN"/>
              </w:rPr>
              <w:t>；</w:t>
            </w:r>
          </w:p>
          <w:p w14:paraId="1789AC7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承受悬挂吊车荷载时，屋面横向支撑应选用型钢交叉支撑。屋面横向交叉支撑节点布置应与抗风柱相对应，并应在屋</w:t>
            </w:r>
            <w:r>
              <w:rPr>
                <w:rFonts w:hint="default" w:ascii="Times New Roman" w:hAnsi="Times New Roman" w:eastAsia="宋体" w:cs="Times New Roman"/>
                <w:color w:val="auto"/>
                <w:sz w:val="20"/>
                <w:szCs w:val="20"/>
              </w:rPr>
              <w:t>面</w:t>
            </w:r>
            <w:r>
              <w:rPr>
                <w:rFonts w:hint="default" w:ascii="Times New Roman" w:hAnsi="Times New Roman" w:eastAsia="宋体" w:cs="Times New Roman"/>
                <w:color w:val="auto"/>
                <w:sz w:val="21"/>
                <w:szCs w:val="21"/>
              </w:rPr>
              <w:t>梁转折处布置节点</w:t>
            </w:r>
            <w:r>
              <w:rPr>
                <w:rFonts w:hint="eastAsia" w:ascii="Times New Roman" w:hAnsi="Times New Roman" w:eastAsia="宋体" w:cs="Times New Roman"/>
                <w:color w:val="auto"/>
                <w:sz w:val="21"/>
                <w:szCs w:val="21"/>
                <w:lang w:eastAsia="zh-CN"/>
              </w:rPr>
              <w:t>；</w:t>
            </w:r>
          </w:p>
        </w:tc>
        <w:tc>
          <w:tcPr>
            <w:tcW w:w="678" w:type="pct"/>
            <w:vMerge w:val="restart"/>
            <w:vAlign w:val="center"/>
          </w:tcPr>
          <w:p w14:paraId="31789F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□满足；</w:t>
            </w:r>
          </w:p>
          <w:p w14:paraId="64A0EF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□不满足</w:t>
            </w:r>
          </w:p>
        </w:tc>
      </w:tr>
      <w:tr w14:paraId="5CAA1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78" w:hRule="atLeast"/>
          <w:jc w:val="center"/>
        </w:trPr>
        <w:tc>
          <w:tcPr>
            <w:tcW w:w="407" w:type="pct"/>
            <w:vMerge w:val="continue"/>
            <w:vAlign w:val="center"/>
          </w:tcPr>
          <w:p w14:paraId="2F093A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411" w:type="pct"/>
            <w:vMerge w:val="continue"/>
            <w:vAlign w:val="center"/>
          </w:tcPr>
          <w:p w14:paraId="2276CD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910" w:type="pct"/>
            <w:gridSpan w:val="3"/>
            <w:vMerge w:val="continue"/>
            <w:vAlign w:val="center"/>
          </w:tcPr>
          <w:p w14:paraId="42AD58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636" w:type="pct"/>
            <w:gridSpan w:val="3"/>
            <w:vMerge w:val="continue"/>
            <w:vAlign w:val="center"/>
          </w:tcPr>
          <w:p w14:paraId="0F35C6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956" w:type="pct"/>
            <w:gridSpan w:val="3"/>
            <w:shd w:val="clear" w:color="auto" w:fill="auto"/>
            <w:vAlign w:val="center"/>
          </w:tcPr>
          <w:p w14:paraId="1CA9F3C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3、屋面横向支撑应按支承于柱间支撑柱顶水平桁架验算；</w:t>
            </w:r>
          </w:p>
          <w:p w14:paraId="39A65C9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圆钢或钢索应按拉杆验算，型钢可按拉杆验算，刚性系杆应按压杆验算。</w:t>
            </w:r>
          </w:p>
          <w:p w14:paraId="26D1F4D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4、对设有带驾驶室且起重量大于15t桥式吊车的跨间，应在屋盖边缘设置纵向支撑；在有抽柱的柱列，沿托架长度应设置纵向支撑；</w:t>
            </w:r>
          </w:p>
          <w:p w14:paraId="0D63824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color w:val="auto"/>
                <w:sz w:val="28"/>
                <w:szCs w:val="28"/>
                <w:lang w:val="en-US" w:eastAsia="zh-CN"/>
              </w:rPr>
            </w:pPr>
            <w:r>
              <w:rPr>
                <w:rFonts w:hint="eastAsia" w:ascii="Times New Roman" w:hAnsi="Times New Roman" w:eastAsia="宋体" w:cs="Times New Roman"/>
                <w:color w:val="auto"/>
                <w:sz w:val="21"/>
                <w:szCs w:val="21"/>
                <w:lang w:val="en-US" w:eastAsia="zh-CN"/>
              </w:rPr>
              <w:t>5、屋盖支撑与柱间支撑宜设置在同一开间。</w:t>
            </w:r>
          </w:p>
        </w:tc>
        <w:tc>
          <w:tcPr>
            <w:tcW w:w="678" w:type="pct"/>
            <w:vMerge w:val="continue"/>
            <w:vAlign w:val="center"/>
          </w:tcPr>
          <w:p w14:paraId="49FBD1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r>
      <w:tr w14:paraId="1AAE2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407" w:type="pct"/>
            <w:vMerge w:val="continue"/>
            <w:vAlign w:val="center"/>
          </w:tcPr>
          <w:p w14:paraId="000D0E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411" w:type="pct"/>
            <w:vMerge w:val="continue"/>
            <w:vAlign w:val="center"/>
          </w:tcPr>
          <w:p w14:paraId="0FED35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910" w:type="pct"/>
            <w:gridSpan w:val="3"/>
            <w:vAlign w:val="center"/>
          </w:tcPr>
          <w:p w14:paraId="1A329A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构造措施</w:t>
            </w:r>
          </w:p>
        </w:tc>
        <w:tc>
          <w:tcPr>
            <w:tcW w:w="636" w:type="pct"/>
            <w:gridSpan w:val="3"/>
            <w:vAlign w:val="center"/>
          </w:tcPr>
          <w:p w14:paraId="225293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956" w:type="pct"/>
            <w:gridSpan w:val="3"/>
            <w:vAlign w:val="center"/>
          </w:tcPr>
          <w:p w14:paraId="52F13FE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当地震作用组合的效应控制结构内力时，门式刚架轻型房屋钢结构的抗震构造措施应符合下列规定</w:t>
            </w:r>
            <w:r>
              <w:rPr>
                <w:rFonts w:hint="eastAsia" w:ascii="Times New Roman" w:hAnsi="Times New Roman" w:eastAsia="宋体" w:cs="Times New Roman"/>
                <w:color w:val="auto"/>
                <w:sz w:val="21"/>
                <w:szCs w:val="21"/>
                <w:lang w:eastAsia="zh-CN"/>
              </w:rPr>
              <w:t>：</w:t>
            </w:r>
          </w:p>
          <w:p w14:paraId="4B5DA8D4">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工字形截面构件受压翼缘板自由外伸宽度6与其厚度的比值，不应大于13;工字形截面梁、柱构件腹板的计算高度h</w:t>
            </w:r>
            <w:r>
              <w:rPr>
                <w:rFonts w:hint="eastAsia" w:ascii="Times New Roman" w:hAnsi="Times New Roman" w:eastAsia="宋体" w:cs="Times New Roman"/>
                <w:color w:val="auto"/>
                <w:sz w:val="21"/>
                <w:szCs w:val="21"/>
                <w:lang w:val="en-US" w:eastAsia="zh-CN"/>
              </w:rPr>
              <w:t>w</w:t>
            </w:r>
            <w:r>
              <w:rPr>
                <w:rFonts w:hint="default" w:ascii="Times New Roman" w:hAnsi="Times New Roman" w:eastAsia="宋体" w:cs="Times New Roman"/>
                <w:color w:val="auto"/>
                <w:sz w:val="21"/>
                <w:szCs w:val="21"/>
              </w:rPr>
              <w:t>与其厚度</w:t>
            </w:r>
            <w:r>
              <w:rPr>
                <w:rFonts w:hint="eastAsia" w:ascii="Times New Roman" w:hAnsi="Times New Roman" w:eastAsia="宋体" w:cs="Times New Roman"/>
                <w:color w:val="auto"/>
                <w:sz w:val="21"/>
                <w:szCs w:val="21"/>
                <w:lang w:val="en-US" w:eastAsia="zh-CN"/>
              </w:rPr>
              <w:t>tw</w:t>
            </w:r>
            <w:r>
              <w:rPr>
                <w:rFonts w:hint="default" w:ascii="Times New Roman" w:hAnsi="Times New Roman" w:eastAsia="宋体" w:cs="Times New Roman"/>
                <w:color w:val="auto"/>
                <w:sz w:val="21"/>
                <w:szCs w:val="21"/>
              </w:rPr>
              <w:t>的比值，不应大于160。</w:t>
            </w:r>
          </w:p>
          <w:p w14:paraId="3BC8CC8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2</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在檐口或中柱的两侧三个距范围内，每道条处屋面梁均应布置双侧隅撑</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边柱的檐口墙檩处均应双侧设置隅撑</w:t>
            </w:r>
            <w:r>
              <w:rPr>
                <w:rFonts w:hint="eastAsia" w:ascii="Times New Roman" w:hAnsi="Times New Roman" w:eastAsia="宋体" w:cs="Times New Roman"/>
                <w:color w:val="auto"/>
                <w:sz w:val="21"/>
                <w:szCs w:val="21"/>
                <w:lang w:eastAsia="zh-CN"/>
              </w:rPr>
              <w:t>；</w:t>
            </w:r>
          </w:p>
          <w:p w14:paraId="696D060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3</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当柱脚刚接时，锚栓的面积不应小于柱子截面面积的0.15倍</w:t>
            </w:r>
            <w:r>
              <w:rPr>
                <w:rFonts w:hint="eastAsia" w:ascii="Times New Roman" w:hAnsi="Times New Roman" w:eastAsia="宋体" w:cs="Times New Roman"/>
                <w:color w:val="auto"/>
                <w:sz w:val="21"/>
                <w:szCs w:val="21"/>
                <w:lang w:eastAsia="zh-CN"/>
              </w:rPr>
              <w:t>；</w:t>
            </w:r>
          </w:p>
          <w:p w14:paraId="2DB529CF">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纵向支撑采用圆钢或钢索时，支撑与柱子腹板的连接应采用不能相对滑动的连接</w:t>
            </w:r>
            <w:r>
              <w:rPr>
                <w:rFonts w:hint="eastAsia" w:ascii="Times New Roman" w:hAnsi="Times New Roman" w:eastAsia="宋体" w:cs="Times New Roman"/>
                <w:color w:val="auto"/>
                <w:sz w:val="21"/>
                <w:szCs w:val="21"/>
                <w:lang w:eastAsia="zh-CN"/>
              </w:rPr>
              <w:t>；</w:t>
            </w:r>
          </w:p>
          <w:p w14:paraId="54F27322">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柱的长细比不应大于150。</w:t>
            </w:r>
          </w:p>
        </w:tc>
        <w:tc>
          <w:tcPr>
            <w:tcW w:w="678" w:type="pct"/>
            <w:vAlign w:val="center"/>
          </w:tcPr>
          <w:p w14:paraId="5B0D84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□满足；</w:t>
            </w:r>
          </w:p>
          <w:p w14:paraId="7437C5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□不满足</w:t>
            </w:r>
          </w:p>
        </w:tc>
      </w:tr>
    </w:tbl>
    <w:p w14:paraId="0817D58E">
      <w:pP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br w:type="page"/>
      </w:r>
    </w:p>
    <w:p w14:paraId="68F0699D">
      <w:pPr>
        <w:keepNext w:val="0"/>
        <w:keepLines w:val="0"/>
        <w:pageBreakBefore w:val="0"/>
        <w:widowControl w:val="0"/>
        <w:kinsoku/>
        <w:wordWrap/>
        <w:overflowPunct/>
        <w:topLinePunct w:val="0"/>
        <w:autoSpaceDE/>
        <w:autoSpaceDN/>
        <w:bidi w:val="0"/>
        <w:adjustRightInd/>
        <w:snapToGrid/>
        <w:spacing w:line="240" w:lineRule="auto"/>
        <w:ind w:firstLine="482"/>
        <w:jc w:val="center"/>
        <w:textAlignment w:val="auto"/>
        <w:rPr>
          <w:rFonts w:hint="default"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lang w:val="en-US" w:eastAsia="zh-CN"/>
        </w:rPr>
        <w:t>A类单层单层钢结构厂房抗震措施鉴定</w:t>
      </w:r>
      <w:r>
        <w:rPr>
          <w:rFonts w:hint="default" w:ascii="Times New Roman" w:hAnsi="Times New Roman" w:eastAsia="宋体" w:cs="Times New Roman"/>
          <w:b/>
          <w:bCs/>
          <w:color w:val="auto"/>
          <w:sz w:val="21"/>
          <w:szCs w:val="21"/>
        </w:rPr>
        <w:t>（表</w:t>
      </w:r>
      <w:r>
        <w:rPr>
          <w:rFonts w:hint="eastAsia" w:ascii="Times New Roman" w:hAnsi="Times New Roman" w:eastAsia="宋体" w:cs="Times New Roman"/>
          <w:b/>
          <w:bCs/>
          <w:color w:val="auto"/>
          <w:sz w:val="21"/>
          <w:szCs w:val="21"/>
          <w:lang w:val="en-US" w:eastAsia="zh-CN"/>
        </w:rPr>
        <w:t>E.6</w:t>
      </w:r>
      <w:r>
        <w:rPr>
          <w:rFonts w:hint="default" w:ascii="Times New Roman" w:hAnsi="Times New Roman" w:eastAsia="宋体" w:cs="Times New Roman"/>
          <w:b/>
          <w:bCs/>
          <w:color w:val="auto"/>
          <w:sz w:val="21"/>
          <w:szCs w:val="21"/>
        </w:rPr>
        <w:t>）</w:t>
      </w:r>
    </w:p>
    <w:tbl>
      <w:tblPr>
        <w:tblStyle w:val="2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713"/>
        <w:gridCol w:w="1119"/>
        <w:gridCol w:w="1215"/>
        <w:gridCol w:w="3550"/>
        <w:gridCol w:w="1212"/>
      </w:tblGrid>
      <w:tr w14:paraId="125E8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5000" w:type="pct"/>
            <w:gridSpan w:val="6"/>
            <w:vAlign w:val="center"/>
          </w:tcPr>
          <w:p w14:paraId="435652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抗震构造措施鉴定</w:t>
            </w:r>
          </w:p>
        </w:tc>
      </w:tr>
      <w:tr w14:paraId="1F27F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1492" w:type="pct"/>
            <w:gridSpan w:val="3"/>
            <w:vAlign w:val="center"/>
          </w:tcPr>
          <w:p w14:paraId="661C1B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评定项目</w:t>
            </w:r>
          </w:p>
        </w:tc>
        <w:tc>
          <w:tcPr>
            <w:tcW w:w="712" w:type="pct"/>
            <w:vAlign w:val="center"/>
          </w:tcPr>
          <w:p w14:paraId="2BFA84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结构现状</w:t>
            </w:r>
          </w:p>
        </w:tc>
        <w:tc>
          <w:tcPr>
            <w:tcW w:w="2083" w:type="pct"/>
            <w:vAlign w:val="center"/>
          </w:tcPr>
          <w:p w14:paraId="028A03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规范要求</w:t>
            </w:r>
          </w:p>
        </w:tc>
        <w:tc>
          <w:tcPr>
            <w:tcW w:w="711" w:type="pct"/>
            <w:vAlign w:val="center"/>
          </w:tcPr>
          <w:p w14:paraId="4206AE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评定结果</w:t>
            </w:r>
          </w:p>
        </w:tc>
      </w:tr>
      <w:tr w14:paraId="666FD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0" w:hRule="atLeast"/>
          <w:jc w:val="center"/>
        </w:trPr>
        <w:tc>
          <w:tcPr>
            <w:tcW w:w="417" w:type="pct"/>
            <w:vAlign w:val="center"/>
          </w:tcPr>
          <w:p w14:paraId="0C8568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418" w:type="pct"/>
            <w:vAlign w:val="center"/>
          </w:tcPr>
          <w:p w14:paraId="49C60A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结构体系</w:t>
            </w:r>
          </w:p>
        </w:tc>
        <w:tc>
          <w:tcPr>
            <w:tcW w:w="656" w:type="pct"/>
            <w:vAlign w:val="center"/>
          </w:tcPr>
          <w:p w14:paraId="1BAA5B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结构体系</w:t>
            </w:r>
          </w:p>
        </w:tc>
        <w:tc>
          <w:tcPr>
            <w:tcW w:w="712" w:type="pct"/>
            <w:vAlign w:val="center"/>
          </w:tcPr>
          <w:p w14:paraId="2305E2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083" w:type="pct"/>
            <w:vAlign w:val="center"/>
          </w:tcPr>
          <w:p w14:paraId="4F6D3D99">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 xml:space="preserve"> </w:t>
            </w:r>
            <w:r>
              <w:rPr>
                <w:rFonts w:hint="eastAsia"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主体结构、屋盖支撑和柱间支撑布置形成完整的结构体系。</w:t>
            </w:r>
          </w:p>
          <w:p w14:paraId="376A644E">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 xml:space="preserve"> </w:t>
            </w:r>
            <w:r>
              <w:rPr>
                <w:rFonts w:hint="eastAsia"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厂房</w:t>
            </w:r>
            <w:r>
              <w:rPr>
                <w:rFonts w:hint="eastAsia" w:ascii="Times New Roman" w:hAnsi="Times New Roman" w:eastAsia="宋体" w:cs="Times New Roman"/>
                <w:color w:val="auto"/>
                <w:sz w:val="21"/>
                <w:szCs w:val="21"/>
                <w:lang w:val="en-US" w:eastAsia="zh-CN"/>
              </w:rPr>
              <w:t>无</w:t>
            </w:r>
            <w:r>
              <w:rPr>
                <w:rFonts w:hint="default" w:ascii="Times New Roman" w:hAnsi="Times New Roman" w:eastAsia="宋体" w:cs="Times New Roman"/>
                <w:color w:val="auto"/>
                <w:sz w:val="21"/>
                <w:szCs w:val="21"/>
              </w:rPr>
              <w:t>严重的不均匀沉降</w:t>
            </w:r>
          </w:p>
        </w:tc>
        <w:tc>
          <w:tcPr>
            <w:tcW w:w="711" w:type="pct"/>
            <w:vAlign w:val="center"/>
          </w:tcPr>
          <w:p w14:paraId="30635E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□满足；</w:t>
            </w:r>
          </w:p>
          <w:p w14:paraId="3DB815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不满足</w:t>
            </w:r>
          </w:p>
        </w:tc>
      </w:tr>
      <w:tr w14:paraId="3643C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417" w:type="pct"/>
            <w:vMerge w:val="restart"/>
            <w:vAlign w:val="center"/>
          </w:tcPr>
          <w:p w14:paraId="20D7AC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2</w:t>
            </w:r>
          </w:p>
        </w:tc>
        <w:tc>
          <w:tcPr>
            <w:tcW w:w="418" w:type="pct"/>
            <w:vMerge w:val="restart"/>
            <w:vAlign w:val="center"/>
          </w:tcPr>
          <w:p w14:paraId="39FB31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抗震构造措施</w:t>
            </w:r>
          </w:p>
        </w:tc>
        <w:tc>
          <w:tcPr>
            <w:tcW w:w="656" w:type="pct"/>
            <w:vAlign w:val="center"/>
          </w:tcPr>
          <w:p w14:paraId="5170B7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屋盖支撑</w:t>
            </w:r>
          </w:p>
        </w:tc>
        <w:tc>
          <w:tcPr>
            <w:tcW w:w="712" w:type="pct"/>
            <w:vAlign w:val="center"/>
          </w:tcPr>
          <w:p w14:paraId="5060B1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083" w:type="pct"/>
            <w:vAlign w:val="center"/>
          </w:tcPr>
          <w:p w14:paraId="661B2802">
            <w:pPr>
              <w:pStyle w:val="6"/>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left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r>
              <w:rPr>
                <w:rFonts w:hint="eastAsia"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天窗开洞范围内，在屋脊点处应有上弦通长水平系杆。</w:t>
            </w:r>
          </w:p>
          <w:p w14:paraId="3CB1291E">
            <w:pPr>
              <w:pStyle w:val="6"/>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left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r>
              <w:rPr>
                <w:rFonts w:hint="eastAsia"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屋架跨中竖向支撑沿跨度方向的间距，6度~8度时不</w:t>
            </w:r>
          </w:p>
          <w:p w14:paraId="5A6DF6F6">
            <w:pPr>
              <w:pStyle w:val="6"/>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left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宜大于15m，9度时不宜大于12m;当跨中仅有一道竖向支撑时，宜位于屋架跨中屋脊处;当有两道时，宜沿跨度方向均匀布置。</w:t>
            </w:r>
          </w:p>
          <w:p w14:paraId="50F428A6">
            <w:pPr>
              <w:pStyle w:val="6"/>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leftChars="0"/>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 xml:space="preserve">3  </w:t>
            </w:r>
            <w:r>
              <w:rPr>
                <w:rFonts w:hint="default" w:ascii="Times New Roman" w:hAnsi="Times New Roman" w:eastAsia="宋体" w:cs="Times New Roman"/>
                <w:color w:val="auto"/>
                <w:sz w:val="21"/>
                <w:szCs w:val="21"/>
              </w:rPr>
              <w:t>当采用托架支承屋盖的桁架或横梁结构时，应沿厂房全长设置纵向水平支撑</w:t>
            </w:r>
          </w:p>
          <w:p w14:paraId="5C47ABDD">
            <w:pPr>
              <w:pStyle w:val="6"/>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left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r>
              <w:rPr>
                <w:rFonts w:hint="eastAsia"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对于高低跨厂房，在低跨屋盖横梁端部处，应沿屋盖全长设置纵向水平支撑，纵向柱列局部柱间采用托架支承屋盖桁架或横梁时</w:t>
            </w:r>
            <w:r>
              <w:rPr>
                <w:rFonts w:hint="eastAsia" w:ascii="Times New Roman" w:hAnsi="Times New Roman" w:eastAsia="宋体" w:cs="Times New Roman"/>
                <w:color w:val="auto"/>
                <w:sz w:val="21"/>
                <w:szCs w:val="21"/>
                <w:lang w:val="en-US" w:eastAsia="zh-CN"/>
              </w:rPr>
              <w:t>应</w:t>
            </w:r>
            <w:r>
              <w:rPr>
                <w:rFonts w:hint="default" w:ascii="Times New Roman" w:hAnsi="Times New Roman" w:eastAsia="宋体" w:cs="Times New Roman"/>
                <w:color w:val="auto"/>
                <w:sz w:val="21"/>
                <w:szCs w:val="21"/>
              </w:rPr>
              <w:t>沿托架的柱间及向其两侧至少各延伸一个柱间设置</w:t>
            </w:r>
          </w:p>
          <w:p w14:paraId="59DF5B3D">
            <w:pPr>
              <w:pStyle w:val="6"/>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left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屋盖纵向水平支撑。</w:t>
            </w:r>
          </w:p>
        </w:tc>
        <w:tc>
          <w:tcPr>
            <w:tcW w:w="711" w:type="pct"/>
            <w:vAlign w:val="center"/>
          </w:tcPr>
          <w:p w14:paraId="034713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满足；</w:t>
            </w:r>
          </w:p>
          <w:p w14:paraId="2D2D19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□不满足</w:t>
            </w:r>
          </w:p>
        </w:tc>
      </w:tr>
      <w:tr w14:paraId="18AA6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417" w:type="pct"/>
            <w:vMerge w:val="continue"/>
            <w:vAlign w:val="center"/>
          </w:tcPr>
          <w:p w14:paraId="3D2499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p>
        </w:tc>
        <w:tc>
          <w:tcPr>
            <w:tcW w:w="418" w:type="pct"/>
            <w:vMerge w:val="continue"/>
            <w:vAlign w:val="center"/>
          </w:tcPr>
          <w:p w14:paraId="259F4E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656" w:type="pct"/>
            <w:vMerge w:val="restart"/>
            <w:vAlign w:val="center"/>
          </w:tcPr>
          <w:p w14:paraId="5B22AEFA">
            <w:pPr>
              <w:pStyle w:val="6"/>
              <w:keepNext w:val="0"/>
              <w:keepLines w:val="0"/>
              <w:pageBreakBefore w:val="0"/>
              <w:widowControl w:val="0"/>
              <w:kinsoku/>
              <w:wordWrap/>
              <w:overflowPunct/>
              <w:topLinePunct w:val="0"/>
              <w:autoSpaceDE/>
              <w:autoSpaceDN/>
              <w:bidi w:val="0"/>
              <w:adjustRightInd/>
              <w:snapToGrid/>
              <w:spacing w:before="0" w:line="240" w:lineRule="auto"/>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连接构造</w:t>
            </w:r>
          </w:p>
        </w:tc>
        <w:tc>
          <w:tcPr>
            <w:tcW w:w="712" w:type="pct"/>
            <w:vMerge w:val="restart"/>
            <w:vAlign w:val="center"/>
          </w:tcPr>
          <w:p w14:paraId="6F9543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083" w:type="pct"/>
            <w:vAlign w:val="center"/>
          </w:tcPr>
          <w:p w14:paraId="3E57F1FA">
            <w:pPr>
              <w:pStyle w:val="6"/>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1、厂房柱的长细比不宜超过下表要求：</w:t>
            </w:r>
          </w:p>
          <w:p w14:paraId="2657762F">
            <w:pPr>
              <w:pStyle w:val="6"/>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drawing>
                <wp:inline distT="0" distB="0" distL="114300" distR="114300">
                  <wp:extent cx="1842770" cy="343535"/>
                  <wp:effectExtent l="0" t="0" r="5080" b="18415"/>
                  <wp:docPr id="2"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6"/>
                          <pic:cNvPicPr>
                            <a:picLocks noChangeAspect="1"/>
                          </pic:cNvPicPr>
                        </pic:nvPicPr>
                        <pic:blipFill>
                          <a:blip r:embed="rId19"/>
                          <a:stretch>
                            <a:fillRect/>
                          </a:stretch>
                        </pic:blipFill>
                        <pic:spPr>
                          <a:xfrm>
                            <a:off x="0" y="0"/>
                            <a:ext cx="1842770" cy="343535"/>
                          </a:xfrm>
                          <a:prstGeom prst="rect">
                            <a:avLst/>
                          </a:prstGeom>
                          <a:noFill/>
                          <a:ln w="9525">
                            <a:noFill/>
                          </a:ln>
                        </pic:spPr>
                      </pic:pic>
                    </a:graphicData>
                  </a:graphic>
                </wp:inline>
              </w:drawing>
            </w:r>
          </w:p>
          <w:p w14:paraId="295DFE05">
            <w:pPr>
              <w:pStyle w:val="6"/>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2、厂房梁、柱截面板件的宽厚比不应超过按现行国家标准《钢结构设计标准》GB50017的规定。且不应小于下表8.2.9-2的要求。</w:t>
            </w:r>
          </w:p>
          <w:p w14:paraId="57EB326C">
            <w:pPr>
              <w:rPr>
                <w:rFonts w:hint="default"/>
                <w:color w:val="auto"/>
                <w:lang w:val="en-US" w:eastAsia="zh-CN"/>
              </w:rPr>
            </w:pPr>
            <w:r>
              <w:rPr>
                <w:rFonts w:hint="default"/>
                <w:color w:val="auto"/>
                <w:lang w:val="en-US" w:eastAsia="zh-CN"/>
              </w:rPr>
              <w:drawing>
                <wp:inline distT="0" distB="0" distL="114300" distR="114300">
                  <wp:extent cx="1847850" cy="561340"/>
                  <wp:effectExtent l="0" t="0" r="0" b="10160"/>
                  <wp:docPr id="7" name="图片 7" descr="172708097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27080972397"/>
                          <pic:cNvPicPr>
                            <a:picLocks noChangeAspect="1"/>
                          </pic:cNvPicPr>
                        </pic:nvPicPr>
                        <pic:blipFill>
                          <a:blip r:embed="rId20"/>
                          <a:stretch>
                            <a:fillRect/>
                          </a:stretch>
                        </pic:blipFill>
                        <pic:spPr>
                          <a:xfrm>
                            <a:off x="0" y="0"/>
                            <a:ext cx="1847850" cy="561340"/>
                          </a:xfrm>
                          <a:prstGeom prst="rect">
                            <a:avLst/>
                          </a:prstGeom>
                        </pic:spPr>
                      </pic:pic>
                    </a:graphicData>
                  </a:graphic>
                </wp:inline>
              </w:drawing>
            </w:r>
          </w:p>
          <w:p w14:paraId="1E6111A2">
            <w:pPr>
              <w:pStyle w:val="6"/>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3、天窗架与屋架、屋架及托架与柱子、屋盖支撑与屋架柱间支撑与柱之间，应有可靠连接；</w:t>
            </w:r>
          </w:p>
          <w:p w14:paraId="00766174">
            <w:pPr>
              <w:pStyle w:val="6"/>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4、山墙抗风柱与屋架上弦或屋面梁应有可靠连接，当抗风柱与屋架下弦连接时，连接点应设在下弦横向支撑节点处；</w:t>
            </w:r>
          </w:p>
        </w:tc>
        <w:tc>
          <w:tcPr>
            <w:tcW w:w="711" w:type="pct"/>
            <w:vMerge w:val="restart"/>
            <w:vAlign w:val="center"/>
          </w:tcPr>
          <w:p w14:paraId="733A0B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□满足；</w:t>
            </w:r>
          </w:p>
          <w:p w14:paraId="06C883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□不满足</w:t>
            </w:r>
          </w:p>
        </w:tc>
      </w:tr>
      <w:tr w14:paraId="402C4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90" w:hRule="atLeast"/>
          <w:jc w:val="center"/>
        </w:trPr>
        <w:tc>
          <w:tcPr>
            <w:tcW w:w="417" w:type="pct"/>
            <w:vMerge w:val="continue"/>
            <w:vAlign w:val="center"/>
          </w:tcPr>
          <w:p w14:paraId="3A86C2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418" w:type="pct"/>
            <w:vMerge w:val="continue"/>
            <w:vAlign w:val="center"/>
          </w:tcPr>
          <w:p w14:paraId="20CFFD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656" w:type="pct"/>
            <w:vMerge w:val="continue"/>
            <w:vAlign w:val="center"/>
          </w:tcPr>
          <w:p w14:paraId="68C5F4D4">
            <w:pPr>
              <w:pStyle w:val="6"/>
              <w:keepNext w:val="0"/>
              <w:keepLines w:val="0"/>
              <w:pageBreakBefore w:val="0"/>
              <w:widowControl w:val="0"/>
              <w:kinsoku/>
              <w:wordWrap/>
              <w:overflowPunct/>
              <w:topLinePunct w:val="0"/>
              <w:autoSpaceDE/>
              <w:autoSpaceDN/>
              <w:bidi w:val="0"/>
              <w:adjustRightInd/>
              <w:snapToGrid/>
              <w:spacing w:before="0" w:line="240" w:lineRule="auto"/>
              <w:jc w:val="center"/>
              <w:textAlignment w:val="auto"/>
              <w:rPr>
                <w:rFonts w:hint="default" w:ascii="Times New Roman" w:hAnsi="Times New Roman" w:eastAsia="宋体" w:cs="Times New Roman"/>
                <w:color w:val="auto"/>
                <w:sz w:val="21"/>
                <w:szCs w:val="21"/>
              </w:rPr>
            </w:pPr>
          </w:p>
        </w:tc>
        <w:tc>
          <w:tcPr>
            <w:tcW w:w="712" w:type="pct"/>
            <w:vMerge w:val="continue"/>
            <w:vAlign w:val="center"/>
          </w:tcPr>
          <w:p w14:paraId="2CA456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083" w:type="pct"/>
            <w:vAlign w:val="center"/>
          </w:tcPr>
          <w:p w14:paraId="0B2ABB98">
            <w:pPr>
              <w:pStyle w:val="6"/>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5、柱脚宜为埋入式、插入式或外包式柱脚，6度、7度时也可为外露式柱脚；</w:t>
            </w:r>
          </w:p>
          <w:p w14:paraId="7B64D312">
            <w:pPr>
              <w:pStyle w:val="6"/>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6、实腹式钢柱采用埋入式、插人式柱脚的埋人深度，不应小于钢柱截面高度的2.5倍；</w:t>
            </w:r>
          </w:p>
          <w:p w14:paraId="3AB79F20">
            <w:pPr>
              <w:pStyle w:val="6"/>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7、格构式柱采用插入式柱脚的埋入深度，不应小于单肢截面高度或外径的2.5倍，且不应小于柱总宽度的0.5倍；</w:t>
            </w:r>
          </w:p>
          <w:p w14:paraId="5979BEBE">
            <w:pPr>
              <w:pStyle w:val="6"/>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8、采用外包式柱脚时，实腹形截面柱的钢筋混凝土外包高度不宜小于钢结构截面高度的2.5倍，箱形截面柱或圆管截面；</w:t>
            </w:r>
          </w:p>
          <w:p w14:paraId="479071B1">
            <w:pPr>
              <w:pStyle w:val="6"/>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柱的钢筋混凝土外包高度不宜小于钢结构截面高度或圆管截面直径的 3.0倍；</w:t>
            </w:r>
          </w:p>
          <w:p w14:paraId="27446347">
            <w:pPr>
              <w:rPr>
                <w:rFonts w:hint="default"/>
                <w:color w:val="auto"/>
                <w:lang w:val="en-US" w:eastAsia="zh-CN"/>
              </w:rPr>
            </w:pPr>
            <w:r>
              <w:rPr>
                <w:rFonts w:hint="eastAsia" w:ascii="Times New Roman" w:hAnsi="Times New Roman" w:eastAsia="宋体" w:cs="Times New Roman"/>
                <w:color w:val="auto"/>
                <w:sz w:val="21"/>
                <w:szCs w:val="21"/>
                <w:lang w:val="en-US" w:eastAsia="zh-CN"/>
              </w:rPr>
              <w:t>9、采用外露式柱脚时，柱脚承载力不宜小于柱截面塑性屈服承载力的1.2倍，柱脚锚栓不宜承受柱底水平剪力，柱底剪力应由钢底板与基础间的摩擦力或设置抗剪键及其他措施承担，柱脚锚栓应可靠锚固。</w:t>
            </w:r>
          </w:p>
        </w:tc>
        <w:tc>
          <w:tcPr>
            <w:tcW w:w="711" w:type="pct"/>
            <w:vMerge w:val="continue"/>
            <w:vAlign w:val="center"/>
          </w:tcPr>
          <w:p w14:paraId="606D05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r>
      <w:tr w14:paraId="7572F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417" w:type="pct"/>
            <w:vMerge w:val="continue"/>
            <w:vAlign w:val="center"/>
          </w:tcPr>
          <w:p w14:paraId="709E8C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418" w:type="pct"/>
            <w:vMerge w:val="continue"/>
            <w:vAlign w:val="center"/>
          </w:tcPr>
          <w:p w14:paraId="028103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656" w:type="pct"/>
            <w:vAlign w:val="center"/>
          </w:tcPr>
          <w:p w14:paraId="09006F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柱间支撑</w:t>
            </w:r>
          </w:p>
        </w:tc>
        <w:tc>
          <w:tcPr>
            <w:tcW w:w="712" w:type="pct"/>
            <w:vAlign w:val="center"/>
          </w:tcPr>
          <w:p w14:paraId="42ED9C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083" w:type="pct"/>
            <w:vAlign w:val="center"/>
          </w:tcPr>
          <w:p w14:paraId="189E37A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在厂房单元各纵向柱列的中部应设有一道下柱柱间支撑；在7度区厂房单元长度大于120m(采用轻型围护材料则为150m)时，应在厂房单元的1/3区段内各设一道下柱支撑；当柱数不超过5个且厂房长度小于60m时，可在厂房两端设下柱支撑；上柱柱间支撑应设在厂房单元两端和具有下柱支撑的柱间；柱间支撑宜为X形，也可为V形、A形及其他形式；X形支撑斜杆交点的节点板厚度不应小于10mm，斜杆与节点板应焊接，与端节点板宜焊接；</w:t>
            </w:r>
          </w:p>
          <w:p w14:paraId="70079D21">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2、柱间支撑宜为整根型钢，当热轧型钢超过材料最大长度规格时，可为拼接等强接长；</w:t>
            </w:r>
          </w:p>
          <w:p w14:paraId="68C5625D">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ascii="Times New Roman" w:hAnsi="Times New Roman" w:eastAsia="宋体" w:cs="Times New Roman"/>
                <w:color w:val="auto"/>
                <w:sz w:val="21"/>
                <w:szCs w:val="21"/>
                <w:lang w:val="en-US" w:eastAsia="zh-CN"/>
              </w:rPr>
              <w:t>3、柱间支撑的长细比上柱支撑不应大于250，下柱支撑不应大于200。</w:t>
            </w:r>
          </w:p>
        </w:tc>
        <w:tc>
          <w:tcPr>
            <w:tcW w:w="711" w:type="pct"/>
            <w:vAlign w:val="center"/>
          </w:tcPr>
          <w:p w14:paraId="6B81F8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□满足；</w:t>
            </w:r>
          </w:p>
          <w:p w14:paraId="513DAE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□不满足</w:t>
            </w:r>
          </w:p>
        </w:tc>
      </w:tr>
    </w:tbl>
    <w:p w14:paraId="262D9217">
      <w:pP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br w:type="page"/>
      </w:r>
    </w:p>
    <w:p w14:paraId="1D4FCC4C">
      <w:pPr>
        <w:keepNext w:val="0"/>
        <w:keepLines w:val="0"/>
        <w:pageBreakBefore w:val="0"/>
        <w:widowControl w:val="0"/>
        <w:kinsoku/>
        <w:wordWrap/>
        <w:overflowPunct/>
        <w:topLinePunct w:val="0"/>
        <w:autoSpaceDE/>
        <w:autoSpaceDN/>
        <w:bidi w:val="0"/>
        <w:adjustRightInd/>
        <w:snapToGrid/>
        <w:spacing w:line="240" w:lineRule="auto"/>
        <w:ind w:firstLine="482"/>
        <w:jc w:val="center"/>
        <w:textAlignment w:val="auto"/>
        <w:rPr>
          <w:rFonts w:hint="default"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lang w:val="en-US" w:eastAsia="zh-CN"/>
        </w:rPr>
        <w:t>B类单层单层钢结构厂房抗震措施鉴定</w:t>
      </w:r>
      <w:r>
        <w:rPr>
          <w:rFonts w:hint="default" w:ascii="Times New Roman" w:hAnsi="Times New Roman" w:eastAsia="宋体" w:cs="Times New Roman"/>
          <w:b/>
          <w:bCs/>
          <w:color w:val="auto"/>
          <w:sz w:val="21"/>
          <w:szCs w:val="21"/>
        </w:rPr>
        <w:t>（表</w:t>
      </w:r>
      <w:r>
        <w:rPr>
          <w:rFonts w:hint="eastAsia" w:ascii="Times New Roman" w:hAnsi="Times New Roman" w:eastAsia="宋体" w:cs="Times New Roman"/>
          <w:b/>
          <w:bCs/>
          <w:color w:val="auto"/>
          <w:sz w:val="21"/>
          <w:szCs w:val="21"/>
          <w:lang w:val="en-US" w:eastAsia="zh-CN"/>
        </w:rPr>
        <w:t>E.7</w:t>
      </w:r>
      <w:r>
        <w:rPr>
          <w:rFonts w:hint="default" w:ascii="Times New Roman" w:hAnsi="Times New Roman" w:eastAsia="宋体" w:cs="Times New Roman"/>
          <w:b/>
          <w:bCs/>
          <w:color w:val="auto"/>
          <w:sz w:val="21"/>
          <w:szCs w:val="21"/>
        </w:rPr>
        <w:t>）</w:t>
      </w:r>
    </w:p>
    <w:tbl>
      <w:tblPr>
        <w:tblStyle w:val="2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713"/>
        <w:gridCol w:w="1119"/>
        <w:gridCol w:w="1215"/>
        <w:gridCol w:w="3398"/>
        <w:gridCol w:w="1364"/>
      </w:tblGrid>
      <w:tr w14:paraId="3E977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5000" w:type="pct"/>
            <w:gridSpan w:val="6"/>
            <w:vAlign w:val="center"/>
          </w:tcPr>
          <w:p w14:paraId="6FBCFC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抗震构造措施鉴定</w:t>
            </w:r>
          </w:p>
        </w:tc>
      </w:tr>
      <w:tr w14:paraId="432A2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1492" w:type="pct"/>
            <w:gridSpan w:val="3"/>
            <w:vAlign w:val="center"/>
          </w:tcPr>
          <w:p w14:paraId="1D14A4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评定项目</w:t>
            </w:r>
          </w:p>
        </w:tc>
        <w:tc>
          <w:tcPr>
            <w:tcW w:w="712" w:type="pct"/>
            <w:vAlign w:val="center"/>
          </w:tcPr>
          <w:p w14:paraId="229A24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结构现状</w:t>
            </w:r>
          </w:p>
        </w:tc>
        <w:tc>
          <w:tcPr>
            <w:tcW w:w="1993" w:type="pct"/>
            <w:vAlign w:val="center"/>
          </w:tcPr>
          <w:p w14:paraId="27AE8A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规范要求</w:t>
            </w:r>
          </w:p>
        </w:tc>
        <w:tc>
          <w:tcPr>
            <w:tcW w:w="800" w:type="pct"/>
            <w:vAlign w:val="center"/>
          </w:tcPr>
          <w:p w14:paraId="54FF54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评定结果</w:t>
            </w:r>
          </w:p>
        </w:tc>
      </w:tr>
      <w:tr w14:paraId="5D409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0" w:hRule="atLeast"/>
          <w:jc w:val="center"/>
        </w:trPr>
        <w:tc>
          <w:tcPr>
            <w:tcW w:w="417" w:type="pct"/>
            <w:vAlign w:val="center"/>
          </w:tcPr>
          <w:p w14:paraId="12D36A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418" w:type="pct"/>
            <w:vAlign w:val="center"/>
          </w:tcPr>
          <w:p w14:paraId="5F0163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结构体系</w:t>
            </w:r>
          </w:p>
        </w:tc>
        <w:tc>
          <w:tcPr>
            <w:tcW w:w="656" w:type="pct"/>
            <w:vAlign w:val="center"/>
          </w:tcPr>
          <w:p w14:paraId="5D8470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结构体系</w:t>
            </w:r>
          </w:p>
        </w:tc>
        <w:tc>
          <w:tcPr>
            <w:tcW w:w="712" w:type="pct"/>
            <w:vAlign w:val="center"/>
          </w:tcPr>
          <w:p w14:paraId="4A4E52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993" w:type="pct"/>
            <w:vAlign w:val="center"/>
          </w:tcPr>
          <w:p w14:paraId="7127C816">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主体结构、屋盖支撑和柱间支撑布置形成完整的结构体系</w:t>
            </w:r>
            <w:r>
              <w:rPr>
                <w:rFonts w:hint="eastAsia" w:ascii="Times New Roman" w:hAnsi="Times New Roman" w:eastAsia="宋体" w:cs="Times New Roman"/>
                <w:color w:val="auto"/>
                <w:sz w:val="21"/>
                <w:szCs w:val="21"/>
                <w:lang w:eastAsia="zh-CN"/>
              </w:rPr>
              <w:t>；</w:t>
            </w:r>
          </w:p>
          <w:p w14:paraId="0D8B37C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厂房</w:t>
            </w:r>
            <w:r>
              <w:rPr>
                <w:rFonts w:hint="eastAsia" w:ascii="Times New Roman" w:hAnsi="Times New Roman" w:eastAsia="宋体" w:cs="Times New Roman"/>
                <w:color w:val="auto"/>
                <w:sz w:val="21"/>
                <w:szCs w:val="21"/>
                <w:lang w:val="en-US" w:eastAsia="zh-CN"/>
              </w:rPr>
              <w:t>无</w:t>
            </w:r>
            <w:r>
              <w:rPr>
                <w:rFonts w:hint="default" w:ascii="Times New Roman" w:hAnsi="Times New Roman" w:eastAsia="宋体" w:cs="Times New Roman"/>
                <w:color w:val="auto"/>
                <w:sz w:val="21"/>
                <w:szCs w:val="21"/>
              </w:rPr>
              <w:t>严重的不均匀沉降</w:t>
            </w:r>
            <w:r>
              <w:rPr>
                <w:rFonts w:hint="eastAsia" w:ascii="Times New Roman" w:hAnsi="Times New Roman" w:eastAsia="宋体" w:cs="Times New Roman"/>
                <w:color w:val="auto"/>
                <w:sz w:val="21"/>
                <w:szCs w:val="21"/>
                <w:lang w:eastAsia="zh-CN"/>
              </w:rPr>
              <w:t>。</w:t>
            </w:r>
          </w:p>
        </w:tc>
        <w:tc>
          <w:tcPr>
            <w:tcW w:w="800" w:type="pct"/>
            <w:vAlign w:val="center"/>
          </w:tcPr>
          <w:p w14:paraId="1995A7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□满足；</w:t>
            </w:r>
          </w:p>
          <w:p w14:paraId="4747ED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□不满足</w:t>
            </w:r>
          </w:p>
        </w:tc>
      </w:tr>
      <w:tr w14:paraId="61F6F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2" w:hRule="atLeast"/>
          <w:jc w:val="center"/>
        </w:trPr>
        <w:tc>
          <w:tcPr>
            <w:tcW w:w="417" w:type="pct"/>
            <w:vMerge w:val="restart"/>
            <w:vAlign w:val="center"/>
          </w:tcPr>
          <w:p w14:paraId="426CDE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2</w:t>
            </w:r>
          </w:p>
        </w:tc>
        <w:tc>
          <w:tcPr>
            <w:tcW w:w="418" w:type="pct"/>
            <w:vMerge w:val="restart"/>
            <w:vAlign w:val="center"/>
          </w:tcPr>
          <w:p w14:paraId="32A422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抗震构造措施</w:t>
            </w:r>
          </w:p>
        </w:tc>
        <w:tc>
          <w:tcPr>
            <w:tcW w:w="656" w:type="pct"/>
            <w:vAlign w:val="center"/>
          </w:tcPr>
          <w:p w14:paraId="059EE7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屋盖支撑</w:t>
            </w:r>
          </w:p>
        </w:tc>
        <w:tc>
          <w:tcPr>
            <w:tcW w:w="712" w:type="pct"/>
            <w:vAlign w:val="center"/>
          </w:tcPr>
          <w:p w14:paraId="4DBEEB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993" w:type="pct"/>
            <w:vAlign w:val="center"/>
          </w:tcPr>
          <w:p w14:paraId="1882DC53">
            <w:pPr>
              <w:pStyle w:val="6"/>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leftChars="0"/>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1</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天窗开洞范围内，在屋脊点处应有上弦通长水平系杆</w:t>
            </w:r>
            <w:r>
              <w:rPr>
                <w:rFonts w:hint="eastAsia" w:ascii="Times New Roman" w:hAnsi="Times New Roman" w:eastAsia="宋体" w:cs="Times New Roman"/>
                <w:color w:val="auto"/>
                <w:sz w:val="21"/>
                <w:szCs w:val="21"/>
                <w:lang w:eastAsia="zh-CN"/>
              </w:rPr>
              <w:t>；</w:t>
            </w:r>
          </w:p>
          <w:p w14:paraId="0707C5FD">
            <w:pPr>
              <w:pStyle w:val="6"/>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leftChars="0"/>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2</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屋架跨中竖向支撑沿跨度方向的间距，6度~8度时不宜大于15m，9度时不宜大于12m</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当跨中仅有一道竖向支撑时，宜位于屋架跨中屋脊处</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当有两道时，宜沿跨度方向均匀布置</w:t>
            </w:r>
            <w:r>
              <w:rPr>
                <w:rFonts w:hint="eastAsia" w:ascii="Times New Roman" w:hAnsi="Times New Roman" w:eastAsia="宋体" w:cs="Times New Roman"/>
                <w:color w:val="auto"/>
                <w:sz w:val="21"/>
                <w:szCs w:val="21"/>
                <w:lang w:eastAsia="zh-CN"/>
              </w:rPr>
              <w:t>；</w:t>
            </w:r>
          </w:p>
          <w:p w14:paraId="544E4B67">
            <w:pPr>
              <w:pStyle w:val="6"/>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leftChars="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当采用托架支承屋盖的桁架或横梁结构时，应沿厂房全长设置纵向水平支撑</w:t>
            </w:r>
            <w:r>
              <w:rPr>
                <w:rFonts w:hint="eastAsia" w:ascii="Times New Roman" w:hAnsi="Times New Roman" w:eastAsia="宋体" w:cs="Times New Roman"/>
                <w:color w:val="auto"/>
                <w:sz w:val="21"/>
                <w:szCs w:val="21"/>
                <w:lang w:eastAsia="zh-CN"/>
              </w:rPr>
              <w:t>；</w:t>
            </w:r>
          </w:p>
          <w:p w14:paraId="67C601E1">
            <w:pPr>
              <w:pStyle w:val="6"/>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left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对于高低跨厂房，在低跨屋盖横梁端部处，应沿屋盖全长设置纵向水平支撑，纵向柱列局部柱间采用托架支承屋盖桁架或横梁时</w:t>
            </w:r>
            <w:r>
              <w:rPr>
                <w:rFonts w:hint="eastAsia" w:ascii="Times New Roman" w:hAnsi="Times New Roman" w:eastAsia="宋体" w:cs="Times New Roman"/>
                <w:color w:val="auto"/>
                <w:sz w:val="21"/>
                <w:szCs w:val="21"/>
                <w:lang w:val="en-US" w:eastAsia="zh-CN"/>
              </w:rPr>
              <w:t>应</w:t>
            </w:r>
            <w:r>
              <w:rPr>
                <w:rFonts w:hint="default" w:ascii="Times New Roman" w:hAnsi="Times New Roman" w:eastAsia="宋体" w:cs="Times New Roman"/>
                <w:color w:val="auto"/>
                <w:sz w:val="21"/>
                <w:szCs w:val="21"/>
              </w:rPr>
              <w:t>沿托架的柱间及向其两侧至少各延伸一个柱间设置屋盖纵向水平支撑。</w:t>
            </w:r>
          </w:p>
        </w:tc>
        <w:tc>
          <w:tcPr>
            <w:tcW w:w="800" w:type="pct"/>
            <w:vAlign w:val="center"/>
          </w:tcPr>
          <w:p w14:paraId="3F9CDF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□满足；</w:t>
            </w:r>
          </w:p>
          <w:p w14:paraId="1E3ED4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□不满足</w:t>
            </w:r>
          </w:p>
        </w:tc>
      </w:tr>
      <w:tr w14:paraId="690B2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2" w:hRule="atLeast"/>
          <w:jc w:val="center"/>
        </w:trPr>
        <w:tc>
          <w:tcPr>
            <w:tcW w:w="417" w:type="pct"/>
            <w:vMerge w:val="continue"/>
            <w:vAlign w:val="center"/>
          </w:tcPr>
          <w:p w14:paraId="297D65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p>
        </w:tc>
        <w:tc>
          <w:tcPr>
            <w:tcW w:w="418" w:type="pct"/>
            <w:vMerge w:val="continue"/>
            <w:vAlign w:val="center"/>
          </w:tcPr>
          <w:p w14:paraId="051C3C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656" w:type="pct"/>
            <w:vMerge w:val="restart"/>
            <w:vAlign w:val="center"/>
          </w:tcPr>
          <w:p w14:paraId="269376B6">
            <w:pPr>
              <w:pStyle w:val="6"/>
              <w:keepNext w:val="0"/>
              <w:keepLines w:val="0"/>
              <w:pageBreakBefore w:val="0"/>
              <w:widowControl w:val="0"/>
              <w:kinsoku/>
              <w:wordWrap/>
              <w:overflowPunct/>
              <w:topLinePunct w:val="0"/>
              <w:autoSpaceDE/>
              <w:autoSpaceDN/>
              <w:bidi w:val="0"/>
              <w:adjustRightInd/>
              <w:snapToGrid/>
              <w:spacing w:before="0" w:line="240" w:lineRule="auto"/>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连接构造</w:t>
            </w:r>
          </w:p>
        </w:tc>
        <w:tc>
          <w:tcPr>
            <w:tcW w:w="712" w:type="pct"/>
            <w:vMerge w:val="restart"/>
            <w:vAlign w:val="center"/>
          </w:tcPr>
          <w:p w14:paraId="453F69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993" w:type="pct"/>
            <w:vAlign w:val="center"/>
          </w:tcPr>
          <w:p w14:paraId="0E7161B0">
            <w:pPr>
              <w:pStyle w:val="6"/>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1、厂房柱的长细比不宜超过下表要求：</w:t>
            </w:r>
          </w:p>
          <w:p w14:paraId="2C4D62AF">
            <w:pPr>
              <w:pStyle w:val="6"/>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drawing>
                <wp:inline distT="0" distB="0" distL="114300" distR="114300">
                  <wp:extent cx="1842770" cy="343535"/>
                  <wp:effectExtent l="0" t="0" r="5080" b="18415"/>
                  <wp:docPr id="9"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IMG_256"/>
                          <pic:cNvPicPr>
                            <a:picLocks noChangeAspect="1"/>
                          </pic:cNvPicPr>
                        </pic:nvPicPr>
                        <pic:blipFill>
                          <a:blip r:embed="rId19"/>
                          <a:stretch>
                            <a:fillRect/>
                          </a:stretch>
                        </pic:blipFill>
                        <pic:spPr>
                          <a:xfrm>
                            <a:off x="0" y="0"/>
                            <a:ext cx="1842770" cy="343535"/>
                          </a:xfrm>
                          <a:prstGeom prst="rect">
                            <a:avLst/>
                          </a:prstGeom>
                          <a:noFill/>
                          <a:ln w="9525">
                            <a:noFill/>
                          </a:ln>
                        </pic:spPr>
                      </pic:pic>
                    </a:graphicData>
                  </a:graphic>
                </wp:inline>
              </w:drawing>
            </w:r>
          </w:p>
          <w:p w14:paraId="7DF31804">
            <w:pPr>
              <w:pStyle w:val="6"/>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2、厂房梁、柱截面板件的宽厚比不应超过按现行国家标准《钢结构设计标准》GB50017的规定。且不应小于下表8.2.9-3的要求。</w:t>
            </w:r>
          </w:p>
          <w:p w14:paraId="6A08238E">
            <w:pPr>
              <w:rPr>
                <w:rFonts w:hint="default"/>
                <w:color w:val="auto"/>
                <w:lang w:val="en-US" w:eastAsia="zh-CN"/>
              </w:rPr>
            </w:pPr>
            <w:r>
              <w:rPr>
                <w:rFonts w:hint="default"/>
                <w:color w:val="auto"/>
                <w:lang w:val="en-US" w:eastAsia="zh-CN"/>
              </w:rPr>
              <w:drawing>
                <wp:inline distT="0" distB="0" distL="114300" distR="114300">
                  <wp:extent cx="1848485" cy="652780"/>
                  <wp:effectExtent l="0" t="0" r="18415" b="13970"/>
                  <wp:docPr id="10" name="图片 10" descr="1727081614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727081614755"/>
                          <pic:cNvPicPr>
                            <a:picLocks noChangeAspect="1"/>
                          </pic:cNvPicPr>
                        </pic:nvPicPr>
                        <pic:blipFill>
                          <a:blip r:embed="rId21"/>
                          <a:stretch>
                            <a:fillRect/>
                          </a:stretch>
                        </pic:blipFill>
                        <pic:spPr>
                          <a:xfrm>
                            <a:off x="0" y="0"/>
                            <a:ext cx="1848485" cy="652780"/>
                          </a:xfrm>
                          <a:prstGeom prst="rect">
                            <a:avLst/>
                          </a:prstGeom>
                        </pic:spPr>
                      </pic:pic>
                    </a:graphicData>
                  </a:graphic>
                </wp:inline>
              </w:drawing>
            </w:r>
          </w:p>
          <w:p w14:paraId="02DCBB8A">
            <w:pPr>
              <w:pStyle w:val="6"/>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3、天窗架与屋架、屋架及托架与柱子、屋盖支撑与屋架柱间支撑与柱之间，应有可靠连接。</w:t>
            </w:r>
          </w:p>
          <w:p w14:paraId="0976F930">
            <w:pPr>
              <w:pStyle w:val="6"/>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4、山墙抗风柱与屋架上弦或屋面梁应有可靠连接，当抗风柱与屋架下弦连接时，连接点应设在下弦横向支撑节点处；</w:t>
            </w:r>
          </w:p>
        </w:tc>
        <w:tc>
          <w:tcPr>
            <w:tcW w:w="800" w:type="pct"/>
            <w:vMerge w:val="restart"/>
            <w:vAlign w:val="center"/>
          </w:tcPr>
          <w:p w14:paraId="203D3C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□满足；</w:t>
            </w:r>
          </w:p>
          <w:p w14:paraId="1AFC0E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不满足</w:t>
            </w:r>
          </w:p>
        </w:tc>
      </w:tr>
      <w:tr w14:paraId="1B821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41" w:hRule="atLeast"/>
          <w:jc w:val="center"/>
        </w:trPr>
        <w:tc>
          <w:tcPr>
            <w:tcW w:w="417" w:type="pct"/>
            <w:vMerge w:val="continue"/>
            <w:vAlign w:val="center"/>
          </w:tcPr>
          <w:p w14:paraId="43CA63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418" w:type="pct"/>
            <w:vMerge w:val="continue"/>
            <w:vAlign w:val="center"/>
          </w:tcPr>
          <w:p w14:paraId="3873C8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656" w:type="pct"/>
            <w:vMerge w:val="continue"/>
            <w:vAlign w:val="center"/>
          </w:tcPr>
          <w:p w14:paraId="10E352E9">
            <w:pPr>
              <w:pStyle w:val="6"/>
              <w:keepNext w:val="0"/>
              <w:keepLines w:val="0"/>
              <w:pageBreakBefore w:val="0"/>
              <w:widowControl w:val="0"/>
              <w:kinsoku/>
              <w:wordWrap/>
              <w:overflowPunct/>
              <w:topLinePunct w:val="0"/>
              <w:autoSpaceDE/>
              <w:autoSpaceDN/>
              <w:bidi w:val="0"/>
              <w:adjustRightInd/>
              <w:snapToGrid/>
              <w:spacing w:before="0" w:line="240" w:lineRule="auto"/>
              <w:jc w:val="center"/>
              <w:textAlignment w:val="auto"/>
              <w:rPr>
                <w:rFonts w:hint="default" w:ascii="Times New Roman" w:hAnsi="Times New Roman" w:eastAsia="宋体" w:cs="Times New Roman"/>
                <w:color w:val="auto"/>
                <w:sz w:val="21"/>
                <w:szCs w:val="21"/>
              </w:rPr>
            </w:pPr>
          </w:p>
        </w:tc>
        <w:tc>
          <w:tcPr>
            <w:tcW w:w="712" w:type="pct"/>
            <w:vMerge w:val="continue"/>
            <w:vAlign w:val="center"/>
          </w:tcPr>
          <w:p w14:paraId="703F05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993" w:type="pct"/>
            <w:vAlign w:val="center"/>
          </w:tcPr>
          <w:p w14:paraId="04BB3EF5">
            <w:pPr>
              <w:pStyle w:val="6"/>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5、柱脚宜为埋入式、插入式或外包式柱脚，6度、7度时也可为外露式柱脚；</w:t>
            </w:r>
          </w:p>
          <w:p w14:paraId="0375D69D">
            <w:pPr>
              <w:pStyle w:val="6"/>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6、实腹式钢柱采用埋入式、插人式柱脚的埋人深度，不应小于钢柱截面高度的2.5倍；</w:t>
            </w:r>
          </w:p>
          <w:p w14:paraId="068F1F3E">
            <w:pPr>
              <w:pStyle w:val="6"/>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7、格构式柱采用插入式柱脚的埋入深度，不应小于单肢截面高度或外径的2.5倍，且不应小于柱总宽度的0.5倍；</w:t>
            </w:r>
          </w:p>
          <w:p w14:paraId="138D3C19">
            <w:pPr>
              <w:pStyle w:val="6"/>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8、采用外包式柱脚时，实腹形截面柱的钢筋混凝土外包高度不宜小于钢结构截面高度的2.5倍，箱形截面柱或圆管截面柱的钢筋混凝土外包高度不宜小于钢结构截面高度或圆管截面直径的3.0倍；</w:t>
            </w:r>
          </w:p>
          <w:p w14:paraId="751BF2BC">
            <w:pPr>
              <w:rPr>
                <w:rFonts w:hint="default"/>
                <w:color w:val="auto"/>
                <w:lang w:val="en-US" w:eastAsia="zh-CN"/>
              </w:rPr>
            </w:pPr>
            <w:r>
              <w:rPr>
                <w:rFonts w:hint="eastAsia" w:ascii="Times New Roman" w:hAnsi="Times New Roman" w:eastAsia="宋体" w:cs="Times New Roman"/>
                <w:color w:val="auto"/>
                <w:sz w:val="21"/>
                <w:szCs w:val="21"/>
                <w:lang w:val="en-US" w:eastAsia="zh-CN"/>
              </w:rPr>
              <w:t>9、采用外露式柱脚时，柱脚承载力不宜小于柱截面塑性屈服承载力的1.2倍，柱脚锚栓不宜承受柱底水平剪力，柱底剪力应由钢底板与基础间的摩擦力或设置抗剪键及其他措施承担，柱脚锚栓应可靠锚固。</w:t>
            </w:r>
          </w:p>
        </w:tc>
        <w:tc>
          <w:tcPr>
            <w:tcW w:w="800" w:type="pct"/>
            <w:vMerge w:val="continue"/>
            <w:vAlign w:val="center"/>
          </w:tcPr>
          <w:p w14:paraId="7C09E9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r>
      <w:tr w14:paraId="66DA8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417" w:type="pct"/>
            <w:vMerge w:val="continue"/>
            <w:vAlign w:val="center"/>
          </w:tcPr>
          <w:p w14:paraId="625B2C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418" w:type="pct"/>
            <w:vMerge w:val="continue"/>
            <w:vAlign w:val="center"/>
          </w:tcPr>
          <w:p w14:paraId="6DE532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656" w:type="pct"/>
            <w:vAlign w:val="center"/>
          </w:tcPr>
          <w:p w14:paraId="2B703C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柱间支撑</w:t>
            </w:r>
          </w:p>
        </w:tc>
        <w:tc>
          <w:tcPr>
            <w:tcW w:w="712" w:type="pct"/>
            <w:vAlign w:val="center"/>
          </w:tcPr>
          <w:p w14:paraId="09BA2F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993" w:type="pct"/>
            <w:vAlign w:val="center"/>
          </w:tcPr>
          <w:p w14:paraId="182AF84F">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在厂房单元各纵向柱列的中部应设有一道下柱柱间支撑；在7度区厂房单元长度大于120m(采用轻型围护材料则为150m)时，应在厂房单元的1/3区段内各设一道下柱支撑;当柱数不超过5个且厂房长度小于60m时，可在厂房两端设下柱支撑；上柱柱间支撑应设在厂房单元两端和具有下柱支撑的柱间；柱间支撑宜为X形，也可为V形、A形及其他形式；X形支撑斜杆交点的节点板厚度不应小于10mm，斜杆与节点板应焊接，与端节点板宜焊接；</w:t>
            </w:r>
          </w:p>
          <w:p w14:paraId="0AAD702F">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2、柱间支撑宜为整根型钢，当热轧型钢超过材料最大长度规格时，可为拼接等强接长；</w:t>
            </w:r>
          </w:p>
          <w:p w14:paraId="0F6F042A">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ascii="Times New Roman" w:hAnsi="Times New Roman" w:eastAsia="宋体" w:cs="Times New Roman"/>
                <w:color w:val="auto"/>
                <w:sz w:val="21"/>
                <w:szCs w:val="21"/>
                <w:lang w:val="en-US" w:eastAsia="zh-CN"/>
              </w:rPr>
              <w:t>3、柱间支撑的长细比上柱支撑不应大于250，下柱支撑不应大于200。</w:t>
            </w:r>
          </w:p>
        </w:tc>
        <w:tc>
          <w:tcPr>
            <w:tcW w:w="800" w:type="pct"/>
            <w:vAlign w:val="center"/>
          </w:tcPr>
          <w:p w14:paraId="47D4AE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□满足；</w:t>
            </w:r>
          </w:p>
          <w:p w14:paraId="5528AB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□不满足</w:t>
            </w:r>
          </w:p>
        </w:tc>
      </w:tr>
    </w:tbl>
    <w:p w14:paraId="4F0EB4D8">
      <w:pP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br w:type="page"/>
      </w:r>
    </w:p>
    <w:p w14:paraId="1D0FB631">
      <w:pPr>
        <w:keepNext w:val="0"/>
        <w:keepLines w:val="0"/>
        <w:pageBreakBefore w:val="0"/>
        <w:widowControl w:val="0"/>
        <w:kinsoku/>
        <w:wordWrap/>
        <w:overflowPunct/>
        <w:topLinePunct w:val="0"/>
        <w:autoSpaceDE/>
        <w:autoSpaceDN/>
        <w:bidi w:val="0"/>
        <w:adjustRightInd/>
        <w:snapToGrid/>
        <w:spacing w:line="240" w:lineRule="auto"/>
        <w:ind w:firstLine="482"/>
        <w:jc w:val="center"/>
        <w:textAlignment w:val="auto"/>
        <w:rPr>
          <w:rFonts w:hint="default"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lang w:val="en-US" w:eastAsia="zh-CN"/>
        </w:rPr>
        <w:t>A类钢框架钢排架厂房抗震措施鉴定</w:t>
      </w:r>
      <w:r>
        <w:rPr>
          <w:rFonts w:hint="default" w:ascii="Times New Roman" w:hAnsi="Times New Roman" w:eastAsia="宋体" w:cs="Times New Roman"/>
          <w:b/>
          <w:bCs/>
          <w:color w:val="auto"/>
          <w:sz w:val="21"/>
          <w:szCs w:val="21"/>
        </w:rPr>
        <w:t>（表</w:t>
      </w:r>
      <w:r>
        <w:rPr>
          <w:rFonts w:hint="eastAsia" w:ascii="Times New Roman" w:hAnsi="Times New Roman" w:eastAsia="宋体" w:cs="Times New Roman"/>
          <w:b/>
          <w:bCs/>
          <w:color w:val="auto"/>
          <w:sz w:val="21"/>
          <w:szCs w:val="21"/>
          <w:lang w:val="en-US" w:eastAsia="zh-CN"/>
        </w:rPr>
        <w:t>E.8</w:t>
      </w:r>
      <w:r>
        <w:rPr>
          <w:rFonts w:hint="default" w:ascii="Times New Roman" w:hAnsi="Times New Roman" w:eastAsia="宋体" w:cs="Times New Roman"/>
          <w:b/>
          <w:bCs/>
          <w:color w:val="auto"/>
          <w:sz w:val="21"/>
          <w:szCs w:val="21"/>
        </w:rPr>
        <w:t>）</w:t>
      </w:r>
    </w:p>
    <w:tbl>
      <w:tblPr>
        <w:tblStyle w:val="2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4"/>
        <w:gridCol w:w="600"/>
        <w:gridCol w:w="423"/>
        <w:gridCol w:w="907"/>
        <w:gridCol w:w="1215"/>
        <w:gridCol w:w="3134"/>
        <w:gridCol w:w="1628"/>
      </w:tblGrid>
      <w:tr w14:paraId="1AFD5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5000" w:type="pct"/>
            <w:gridSpan w:val="7"/>
            <w:vAlign w:val="center"/>
          </w:tcPr>
          <w:p w14:paraId="3FAC8E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抗震构造措施鉴定</w:t>
            </w:r>
          </w:p>
        </w:tc>
      </w:tr>
      <w:tr w14:paraId="2A71B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1492" w:type="pct"/>
            <w:gridSpan w:val="4"/>
            <w:vAlign w:val="center"/>
          </w:tcPr>
          <w:p w14:paraId="5C7957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评定项目</w:t>
            </w:r>
          </w:p>
        </w:tc>
        <w:tc>
          <w:tcPr>
            <w:tcW w:w="712" w:type="pct"/>
            <w:vAlign w:val="center"/>
          </w:tcPr>
          <w:p w14:paraId="5D0547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结构现状</w:t>
            </w:r>
          </w:p>
        </w:tc>
        <w:tc>
          <w:tcPr>
            <w:tcW w:w="1838" w:type="pct"/>
            <w:vAlign w:val="center"/>
          </w:tcPr>
          <w:p w14:paraId="6C3D28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规范要求</w:t>
            </w:r>
          </w:p>
        </w:tc>
        <w:tc>
          <w:tcPr>
            <w:tcW w:w="955" w:type="pct"/>
            <w:vAlign w:val="center"/>
          </w:tcPr>
          <w:p w14:paraId="276E1C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评定结果</w:t>
            </w:r>
          </w:p>
        </w:tc>
      </w:tr>
      <w:tr w14:paraId="79635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6" w:hRule="atLeast"/>
          <w:jc w:val="center"/>
        </w:trPr>
        <w:tc>
          <w:tcPr>
            <w:tcW w:w="360" w:type="pct"/>
            <w:vMerge w:val="restart"/>
            <w:vAlign w:val="center"/>
          </w:tcPr>
          <w:p w14:paraId="77DDB2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352" w:type="pct"/>
            <w:vMerge w:val="restart"/>
            <w:vAlign w:val="center"/>
          </w:tcPr>
          <w:p w14:paraId="6B8125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排架结构无檩条屋盖支撑</w:t>
            </w:r>
          </w:p>
        </w:tc>
        <w:tc>
          <w:tcPr>
            <w:tcW w:w="248" w:type="pct"/>
            <w:vMerge w:val="restart"/>
            <w:vAlign w:val="center"/>
          </w:tcPr>
          <w:p w14:paraId="4460F1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屋盖支撑</w:t>
            </w:r>
          </w:p>
        </w:tc>
        <w:tc>
          <w:tcPr>
            <w:tcW w:w="532" w:type="pct"/>
            <w:vAlign w:val="center"/>
          </w:tcPr>
          <w:p w14:paraId="476F90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上弦横向支撑</w:t>
            </w:r>
          </w:p>
        </w:tc>
        <w:tc>
          <w:tcPr>
            <w:tcW w:w="712" w:type="pct"/>
            <w:vAlign w:val="center"/>
          </w:tcPr>
          <w:p w14:paraId="7A0456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838" w:type="pct"/>
            <w:vAlign w:val="center"/>
          </w:tcPr>
          <w:p w14:paraId="75C050D2">
            <w:pPr>
              <w:pStyle w:val="6"/>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leftChars="0"/>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按非抗震要求，即可不设置，振动较大或重级吊车时，在单元端开间各设一道</w:t>
            </w:r>
            <w:r>
              <w:rPr>
                <w:rFonts w:hint="eastAsia" w:ascii="Times New Roman" w:hAnsi="Times New Roman" w:eastAsia="宋体" w:cs="Times New Roman"/>
                <w:color w:val="auto"/>
                <w:sz w:val="21"/>
                <w:szCs w:val="21"/>
                <w:lang w:eastAsia="zh-CN"/>
              </w:rPr>
              <w:t>。</w:t>
            </w:r>
          </w:p>
        </w:tc>
        <w:tc>
          <w:tcPr>
            <w:tcW w:w="955" w:type="pct"/>
            <w:vAlign w:val="center"/>
          </w:tcPr>
          <w:p w14:paraId="6632E4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□满足；□不满足</w:t>
            </w:r>
          </w:p>
        </w:tc>
      </w:tr>
      <w:tr w14:paraId="5FAF4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360" w:type="pct"/>
            <w:vMerge w:val="continue"/>
            <w:vAlign w:val="center"/>
          </w:tcPr>
          <w:p w14:paraId="7FAAF0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p>
        </w:tc>
        <w:tc>
          <w:tcPr>
            <w:tcW w:w="352" w:type="pct"/>
            <w:vMerge w:val="continue"/>
            <w:vAlign w:val="center"/>
          </w:tcPr>
          <w:p w14:paraId="78A9DF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p>
        </w:tc>
        <w:tc>
          <w:tcPr>
            <w:tcW w:w="248" w:type="pct"/>
            <w:vMerge w:val="continue"/>
            <w:vAlign w:val="center"/>
          </w:tcPr>
          <w:p w14:paraId="3353ED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p>
        </w:tc>
        <w:tc>
          <w:tcPr>
            <w:tcW w:w="532" w:type="pct"/>
            <w:vAlign w:val="center"/>
          </w:tcPr>
          <w:p w14:paraId="5C20CC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下弦横向支撑</w:t>
            </w:r>
          </w:p>
        </w:tc>
        <w:tc>
          <w:tcPr>
            <w:tcW w:w="712" w:type="pct"/>
            <w:vAlign w:val="center"/>
          </w:tcPr>
          <w:p w14:paraId="5C9298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838" w:type="pct"/>
            <w:vAlign w:val="center"/>
          </w:tcPr>
          <w:p w14:paraId="0B88EEC5">
            <w:pPr>
              <w:pStyle w:val="6"/>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leftChars="0"/>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按非抗震要求</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即在屋架下弦传递水平力时</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应在单元端开间或靠近水平力作用处设置一道</w:t>
            </w:r>
            <w:r>
              <w:rPr>
                <w:rFonts w:hint="eastAsia" w:ascii="Times New Roman" w:hAnsi="Times New Roman" w:eastAsia="宋体" w:cs="Times New Roman"/>
                <w:color w:val="auto"/>
                <w:sz w:val="21"/>
                <w:szCs w:val="21"/>
                <w:lang w:eastAsia="zh-CN"/>
              </w:rPr>
              <w:t>。</w:t>
            </w:r>
          </w:p>
        </w:tc>
        <w:tc>
          <w:tcPr>
            <w:tcW w:w="955" w:type="pct"/>
            <w:vAlign w:val="center"/>
          </w:tcPr>
          <w:p w14:paraId="428E4E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□满足；□不满足</w:t>
            </w:r>
          </w:p>
        </w:tc>
      </w:tr>
      <w:tr w14:paraId="094DD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360" w:type="pct"/>
            <w:vMerge w:val="continue"/>
            <w:vAlign w:val="center"/>
          </w:tcPr>
          <w:p w14:paraId="51BFE6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p>
        </w:tc>
        <w:tc>
          <w:tcPr>
            <w:tcW w:w="352" w:type="pct"/>
            <w:vMerge w:val="continue"/>
            <w:vAlign w:val="center"/>
          </w:tcPr>
          <w:p w14:paraId="645CC1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p>
        </w:tc>
        <w:tc>
          <w:tcPr>
            <w:tcW w:w="248" w:type="pct"/>
            <w:vMerge w:val="continue"/>
            <w:vAlign w:val="center"/>
          </w:tcPr>
          <w:p w14:paraId="234CC9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p>
        </w:tc>
        <w:tc>
          <w:tcPr>
            <w:tcW w:w="532" w:type="pct"/>
            <w:vAlign w:val="center"/>
          </w:tcPr>
          <w:p w14:paraId="2A06530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跨中竖向支撑</w:t>
            </w:r>
          </w:p>
        </w:tc>
        <w:tc>
          <w:tcPr>
            <w:tcW w:w="712" w:type="pct"/>
            <w:vAlign w:val="center"/>
          </w:tcPr>
          <w:p w14:paraId="0FD5A9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838" w:type="pct"/>
            <w:vAlign w:val="center"/>
          </w:tcPr>
          <w:p w14:paraId="30452AD0">
            <w:pPr>
              <w:pStyle w:val="6"/>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left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按非抗震要求</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即屋架跨度&gt;18m及30m时</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在单元两端第一或第二开间及单元长度大于66m时</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在柱间支撑开间的屋架跨度中点</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设置一道垂直支撑及下弦</w:t>
            </w:r>
          </w:p>
          <w:p w14:paraId="311F4E39">
            <w:pPr>
              <w:pStyle w:val="6"/>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leftChars="0"/>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通长系杆</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当有天窗时还应设置上弦系杆。屋架&gt;30m时</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在屋架跨度1/3左右设置两道垂直支撑及下弦通长系杆</w:t>
            </w:r>
            <w:r>
              <w:rPr>
                <w:rFonts w:hint="eastAsia" w:ascii="Times New Roman" w:hAnsi="Times New Roman" w:eastAsia="宋体" w:cs="Times New Roman"/>
                <w:color w:val="auto"/>
                <w:sz w:val="21"/>
                <w:szCs w:val="21"/>
                <w:lang w:eastAsia="zh-CN"/>
              </w:rPr>
              <w:t>。</w:t>
            </w:r>
          </w:p>
        </w:tc>
        <w:tc>
          <w:tcPr>
            <w:tcW w:w="955" w:type="pct"/>
            <w:vAlign w:val="center"/>
          </w:tcPr>
          <w:p w14:paraId="4B0B31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□满足；□不满足</w:t>
            </w:r>
          </w:p>
        </w:tc>
      </w:tr>
      <w:tr w14:paraId="75C3A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360" w:type="pct"/>
            <w:vMerge w:val="continue"/>
            <w:vAlign w:val="center"/>
          </w:tcPr>
          <w:p w14:paraId="29CB6F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p>
        </w:tc>
        <w:tc>
          <w:tcPr>
            <w:tcW w:w="352" w:type="pct"/>
            <w:vMerge w:val="continue"/>
            <w:vAlign w:val="center"/>
          </w:tcPr>
          <w:p w14:paraId="19E337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p>
        </w:tc>
        <w:tc>
          <w:tcPr>
            <w:tcW w:w="248" w:type="pct"/>
            <w:vMerge w:val="continue"/>
            <w:vAlign w:val="center"/>
          </w:tcPr>
          <w:p w14:paraId="3263EB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p>
        </w:tc>
        <w:tc>
          <w:tcPr>
            <w:tcW w:w="532" w:type="pct"/>
            <w:vAlign w:val="center"/>
          </w:tcPr>
          <w:p w14:paraId="404664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两端竖向支撑</w:t>
            </w:r>
          </w:p>
        </w:tc>
        <w:tc>
          <w:tcPr>
            <w:tcW w:w="712" w:type="pct"/>
            <w:vAlign w:val="center"/>
          </w:tcPr>
          <w:p w14:paraId="5C903C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838" w:type="pct"/>
            <w:vAlign w:val="center"/>
          </w:tcPr>
          <w:p w14:paraId="08C51098">
            <w:pPr>
              <w:pStyle w:val="6"/>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leftChars="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1、屋架端部高度</w:t>
            </w:r>
            <w:r>
              <w:rPr>
                <w:rFonts w:hint="default" w:ascii="Arial" w:hAnsi="Arial" w:eastAsia="宋体" w:cs="Arial"/>
                <w:color w:val="auto"/>
                <w:sz w:val="21"/>
                <w:szCs w:val="21"/>
                <w:lang w:val="en-US" w:eastAsia="zh-CN"/>
              </w:rPr>
              <w:t>≤</w:t>
            </w:r>
            <w:r>
              <w:rPr>
                <w:rFonts w:hint="eastAsia" w:ascii="Times New Roman" w:hAnsi="Times New Roman" w:eastAsia="宋体" w:cs="Times New Roman"/>
                <w:color w:val="auto"/>
                <w:sz w:val="21"/>
                <w:szCs w:val="21"/>
                <w:lang w:val="en-US" w:eastAsia="zh-CN"/>
              </w:rPr>
              <w:t>900mm：可不设置；</w:t>
            </w:r>
          </w:p>
          <w:p w14:paraId="658F241B">
            <w:pPr>
              <w:rPr>
                <w:rFonts w:hint="default"/>
                <w:color w:val="auto"/>
                <w:lang w:val="en-US" w:eastAsia="zh-CN"/>
              </w:rPr>
            </w:pPr>
            <w:r>
              <w:rPr>
                <w:rFonts w:hint="eastAsia" w:ascii="Times New Roman" w:hAnsi="Times New Roman" w:eastAsia="宋体" w:cs="Times New Roman"/>
                <w:color w:val="auto"/>
                <w:sz w:val="21"/>
                <w:szCs w:val="21"/>
                <w:lang w:val="en-US" w:eastAsia="zh-CN"/>
              </w:rPr>
              <w:t>2、屋架端部高度&gt;900mm：单元端开间各设一道。</w:t>
            </w:r>
          </w:p>
        </w:tc>
        <w:tc>
          <w:tcPr>
            <w:tcW w:w="955" w:type="pct"/>
            <w:vAlign w:val="center"/>
          </w:tcPr>
          <w:p w14:paraId="47FDF9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□满足；□不满足</w:t>
            </w:r>
          </w:p>
        </w:tc>
      </w:tr>
      <w:tr w14:paraId="0B3F5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360" w:type="pct"/>
            <w:vMerge w:val="continue"/>
            <w:vAlign w:val="center"/>
          </w:tcPr>
          <w:p w14:paraId="53CD77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p>
        </w:tc>
        <w:tc>
          <w:tcPr>
            <w:tcW w:w="352" w:type="pct"/>
            <w:vMerge w:val="continue"/>
            <w:vAlign w:val="center"/>
          </w:tcPr>
          <w:p w14:paraId="3A68FC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p>
        </w:tc>
        <w:tc>
          <w:tcPr>
            <w:tcW w:w="780" w:type="pct"/>
            <w:gridSpan w:val="2"/>
            <w:vAlign w:val="center"/>
          </w:tcPr>
          <w:p w14:paraId="78F900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天窗两侧竖向支撑</w:t>
            </w:r>
          </w:p>
        </w:tc>
        <w:tc>
          <w:tcPr>
            <w:tcW w:w="712" w:type="pct"/>
            <w:vAlign w:val="center"/>
          </w:tcPr>
          <w:p w14:paraId="175548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838" w:type="pct"/>
            <w:vAlign w:val="center"/>
          </w:tcPr>
          <w:p w14:paraId="1272C893">
            <w:pPr>
              <w:pStyle w:val="6"/>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leftChars="0"/>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厂房单元天窗端开间及每隔 42m各设一道</w:t>
            </w:r>
            <w:r>
              <w:rPr>
                <w:rFonts w:hint="eastAsia" w:ascii="Times New Roman" w:hAnsi="Times New Roman" w:eastAsia="宋体" w:cs="Times New Roman"/>
                <w:color w:val="auto"/>
                <w:sz w:val="21"/>
                <w:szCs w:val="21"/>
                <w:lang w:eastAsia="zh-CN"/>
              </w:rPr>
              <w:t>。</w:t>
            </w:r>
          </w:p>
        </w:tc>
        <w:tc>
          <w:tcPr>
            <w:tcW w:w="955" w:type="pct"/>
            <w:vAlign w:val="center"/>
          </w:tcPr>
          <w:p w14:paraId="6CFFA8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□满足；□不满足</w:t>
            </w:r>
          </w:p>
        </w:tc>
      </w:tr>
      <w:tr w14:paraId="6368C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8" w:hRule="atLeast"/>
          <w:jc w:val="center"/>
        </w:trPr>
        <w:tc>
          <w:tcPr>
            <w:tcW w:w="360" w:type="pct"/>
            <w:vMerge w:val="restart"/>
            <w:vAlign w:val="center"/>
          </w:tcPr>
          <w:p w14:paraId="6C366E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352" w:type="pct"/>
            <w:vMerge w:val="restart"/>
            <w:vAlign w:val="center"/>
          </w:tcPr>
          <w:p w14:paraId="78437C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中间井式天窗无檩条屋盖支撑</w:t>
            </w:r>
          </w:p>
        </w:tc>
        <w:tc>
          <w:tcPr>
            <w:tcW w:w="248" w:type="pct"/>
            <w:vMerge w:val="restart"/>
            <w:vAlign w:val="center"/>
          </w:tcPr>
          <w:p w14:paraId="00A3E7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屋盖支撑</w:t>
            </w:r>
          </w:p>
        </w:tc>
        <w:tc>
          <w:tcPr>
            <w:tcW w:w="532" w:type="pct"/>
            <w:vAlign w:val="center"/>
          </w:tcPr>
          <w:p w14:paraId="58340C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上、下弦横向支撑</w:t>
            </w:r>
          </w:p>
        </w:tc>
        <w:tc>
          <w:tcPr>
            <w:tcW w:w="712" w:type="pct"/>
            <w:vAlign w:val="center"/>
          </w:tcPr>
          <w:p w14:paraId="55D2C6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838" w:type="pct"/>
            <w:vAlign w:val="center"/>
          </w:tcPr>
          <w:p w14:paraId="3496E7A8">
            <w:pPr>
              <w:pStyle w:val="6"/>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left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厂房单元端开间各设一道</w:t>
            </w:r>
          </w:p>
        </w:tc>
        <w:tc>
          <w:tcPr>
            <w:tcW w:w="955" w:type="pct"/>
            <w:vAlign w:val="center"/>
          </w:tcPr>
          <w:p w14:paraId="48C8726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□满足；□不满足</w:t>
            </w:r>
          </w:p>
        </w:tc>
      </w:tr>
      <w:tr w14:paraId="55993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4" w:hRule="atLeast"/>
          <w:jc w:val="center"/>
        </w:trPr>
        <w:tc>
          <w:tcPr>
            <w:tcW w:w="360" w:type="pct"/>
            <w:vMerge w:val="continue"/>
            <w:vAlign w:val="center"/>
          </w:tcPr>
          <w:p w14:paraId="75D008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p>
        </w:tc>
        <w:tc>
          <w:tcPr>
            <w:tcW w:w="352" w:type="pct"/>
            <w:vMerge w:val="continue"/>
            <w:vAlign w:val="center"/>
          </w:tcPr>
          <w:p w14:paraId="7E4644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p>
        </w:tc>
        <w:tc>
          <w:tcPr>
            <w:tcW w:w="248" w:type="pct"/>
            <w:vMerge w:val="continue"/>
            <w:vAlign w:val="center"/>
          </w:tcPr>
          <w:p w14:paraId="6D605C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p>
        </w:tc>
        <w:tc>
          <w:tcPr>
            <w:tcW w:w="532" w:type="pct"/>
            <w:vAlign w:val="center"/>
          </w:tcPr>
          <w:p w14:paraId="72D3AD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上弦通长水平系杆</w:t>
            </w:r>
          </w:p>
        </w:tc>
        <w:tc>
          <w:tcPr>
            <w:tcW w:w="712" w:type="pct"/>
            <w:vAlign w:val="center"/>
          </w:tcPr>
          <w:p w14:paraId="5F8996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838" w:type="pct"/>
            <w:vAlign w:val="center"/>
          </w:tcPr>
          <w:p w14:paraId="4CF0B2DD">
            <w:pPr>
              <w:pStyle w:val="6"/>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leftChars="0"/>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在天窗范围内屋架跨中上弦节点处设置</w:t>
            </w:r>
            <w:r>
              <w:rPr>
                <w:rFonts w:hint="eastAsia" w:ascii="Times New Roman" w:hAnsi="Times New Roman" w:eastAsia="宋体" w:cs="Times New Roman"/>
                <w:color w:val="auto"/>
                <w:sz w:val="21"/>
                <w:szCs w:val="21"/>
                <w:lang w:eastAsia="zh-CN"/>
              </w:rPr>
              <w:t>。</w:t>
            </w:r>
          </w:p>
        </w:tc>
        <w:tc>
          <w:tcPr>
            <w:tcW w:w="955" w:type="pct"/>
            <w:vAlign w:val="center"/>
          </w:tcPr>
          <w:p w14:paraId="114545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□满足；□不满足</w:t>
            </w:r>
          </w:p>
        </w:tc>
      </w:tr>
      <w:tr w14:paraId="034BD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360" w:type="pct"/>
            <w:vMerge w:val="continue"/>
            <w:vAlign w:val="center"/>
          </w:tcPr>
          <w:p w14:paraId="57AA7D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p>
        </w:tc>
        <w:tc>
          <w:tcPr>
            <w:tcW w:w="352" w:type="pct"/>
            <w:vMerge w:val="continue"/>
            <w:vAlign w:val="center"/>
          </w:tcPr>
          <w:p w14:paraId="3AF550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p>
        </w:tc>
        <w:tc>
          <w:tcPr>
            <w:tcW w:w="248" w:type="pct"/>
            <w:vMerge w:val="continue"/>
            <w:vAlign w:val="center"/>
          </w:tcPr>
          <w:p w14:paraId="321927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p>
        </w:tc>
        <w:tc>
          <w:tcPr>
            <w:tcW w:w="532" w:type="pct"/>
            <w:vAlign w:val="center"/>
          </w:tcPr>
          <w:p w14:paraId="5BDE82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下弦通长水平系杆</w:t>
            </w:r>
          </w:p>
        </w:tc>
        <w:tc>
          <w:tcPr>
            <w:tcW w:w="712" w:type="pct"/>
            <w:vAlign w:val="center"/>
          </w:tcPr>
          <w:p w14:paraId="5AF395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838" w:type="pct"/>
            <w:vAlign w:val="center"/>
          </w:tcPr>
          <w:p w14:paraId="47F6D692">
            <w:pPr>
              <w:pStyle w:val="6"/>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leftChars="0"/>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在天窗两侧及天窗范围内屋架下弦节点处设置</w:t>
            </w:r>
            <w:r>
              <w:rPr>
                <w:rFonts w:hint="eastAsia" w:ascii="Times New Roman" w:hAnsi="Times New Roman" w:eastAsia="宋体" w:cs="Times New Roman"/>
                <w:color w:val="auto"/>
                <w:sz w:val="21"/>
                <w:szCs w:val="21"/>
                <w:lang w:eastAsia="zh-CN"/>
              </w:rPr>
              <w:t>。</w:t>
            </w:r>
          </w:p>
        </w:tc>
        <w:tc>
          <w:tcPr>
            <w:tcW w:w="955" w:type="pct"/>
            <w:vAlign w:val="center"/>
          </w:tcPr>
          <w:p w14:paraId="7D8CF0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□满足；□不满足</w:t>
            </w:r>
          </w:p>
        </w:tc>
      </w:tr>
      <w:tr w14:paraId="75DAB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360" w:type="pct"/>
            <w:vMerge w:val="continue"/>
            <w:vAlign w:val="center"/>
          </w:tcPr>
          <w:p w14:paraId="32036D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p>
        </w:tc>
        <w:tc>
          <w:tcPr>
            <w:tcW w:w="352" w:type="pct"/>
            <w:vMerge w:val="continue"/>
            <w:vAlign w:val="center"/>
          </w:tcPr>
          <w:p w14:paraId="1DA359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p>
        </w:tc>
        <w:tc>
          <w:tcPr>
            <w:tcW w:w="248" w:type="pct"/>
            <w:vMerge w:val="continue"/>
            <w:vAlign w:val="center"/>
          </w:tcPr>
          <w:p w14:paraId="106A0C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p>
        </w:tc>
        <w:tc>
          <w:tcPr>
            <w:tcW w:w="532" w:type="pct"/>
            <w:vAlign w:val="center"/>
          </w:tcPr>
          <w:p w14:paraId="0B8667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跨中竖向支撑</w:t>
            </w:r>
          </w:p>
        </w:tc>
        <w:tc>
          <w:tcPr>
            <w:tcW w:w="712" w:type="pct"/>
            <w:vAlign w:val="center"/>
          </w:tcPr>
          <w:p w14:paraId="17896C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838" w:type="pct"/>
            <w:vAlign w:val="center"/>
          </w:tcPr>
          <w:p w14:paraId="016529B7">
            <w:pPr>
              <w:pStyle w:val="6"/>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leftChars="0"/>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在上弦横向支撑开间处设置,位置与下弦通长系杆相对应</w:t>
            </w:r>
            <w:r>
              <w:rPr>
                <w:rFonts w:hint="eastAsia" w:ascii="Times New Roman" w:hAnsi="Times New Roman" w:eastAsia="宋体" w:cs="Times New Roman"/>
                <w:color w:val="auto"/>
                <w:sz w:val="21"/>
                <w:szCs w:val="21"/>
                <w:lang w:eastAsia="zh-CN"/>
              </w:rPr>
              <w:t>。</w:t>
            </w:r>
          </w:p>
        </w:tc>
        <w:tc>
          <w:tcPr>
            <w:tcW w:w="955" w:type="pct"/>
            <w:vAlign w:val="center"/>
          </w:tcPr>
          <w:p w14:paraId="0FB245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□满足；□不满足</w:t>
            </w:r>
          </w:p>
        </w:tc>
      </w:tr>
      <w:tr w14:paraId="4D452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360" w:type="pct"/>
            <w:vMerge w:val="continue"/>
            <w:vAlign w:val="center"/>
          </w:tcPr>
          <w:p w14:paraId="396E5C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p>
        </w:tc>
        <w:tc>
          <w:tcPr>
            <w:tcW w:w="352" w:type="pct"/>
            <w:vMerge w:val="continue"/>
            <w:vAlign w:val="center"/>
          </w:tcPr>
          <w:p w14:paraId="6FF3DC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p>
        </w:tc>
        <w:tc>
          <w:tcPr>
            <w:tcW w:w="780" w:type="pct"/>
            <w:gridSpan w:val="2"/>
            <w:vAlign w:val="center"/>
          </w:tcPr>
          <w:p w14:paraId="33BCD4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两端竖向支撑</w:t>
            </w:r>
          </w:p>
        </w:tc>
        <w:tc>
          <w:tcPr>
            <w:tcW w:w="712" w:type="pct"/>
            <w:vAlign w:val="center"/>
          </w:tcPr>
          <w:p w14:paraId="0E6193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838" w:type="pct"/>
            <w:vAlign w:val="center"/>
          </w:tcPr>
          <w:p w14:paraId="4C92ECAB">
            <w:pPr>
              <w:pStyle w:val="6"/>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leftChars="0"/>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单元端开间各设一道。</w:t>
            </w:r>
          </w:p>
        </w:tc>
        <w:tc>
          <w:tcPr>
            <w:tcW w:w="955" w:type="pct"/>
            <w:vAlign w:val="center"/>
          </w:tcPr>
          <w:p w14:paraId="0D0CEF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□满足；□不满足</w:t>
            </w:r>
          </w:p>
        </w:tc>
      </w:tr>
      <w:tr w14:paraId="08CF4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1" w:hRule="atLeast"/>
          <w:jc w:val="center"/>
        </w:trPr>
        <w:tc>
          <w:tcPr>
            <w:tcW w:w="360" w:type="pct"/>
            <w:vMerge w:val="restart"/>
            <w:vAlign w:val="center"/>
          </w:tcPr>
          <w:p w14:paraId="2CEC67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352" w:type="pct"/>
            <w:vMerge w:val="restart"/>
            <w:vAlign w:val="center"/>
          </w:tcPr>
          <w:p w14:paraId="358562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排架结构有檩条屋盖支撑</w:t>
            </w:r>
          </w:p>
        </w:tc>
        <w:tc>
          <w:tcPr>
            <w:tcW w:w="248" w:type="pct"/>
            <w:vMerge w:val="restart"/>
            <w:vAlign w:val="center"/>
          </w:tcPr>
          <w:p w14:paraId="52F035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屋盖支撑</w:t>
            </w:r>
          </w:p>
        </w:tc>
        <w:tc>
          <w:tcPr>
            <w:tcW w:w="532" w:type="pct"/>
            <w:vAlign w:val="center"/>
          </w:tcPr>
          <w:p w14:paraId="6502A0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上弦横向支撑</w:t>
            </w:r>
          </w:p>
        </w:tc>
        <w:tc>
          <w:tcPr>
            <w:tcW w:w="712" w:type="pct"/>
            <w:vAlign w:val="center"/>
          </w:tcPr>
          <w:p w14:paraId="124DBF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838" w:type="pct"/>
            <w:vAlign w:val="center"/>
          </w:tcPr>
          <w:p w14:paraId="6352D9EE">
            <w:pPr>
              <w:pStyle w:val="6"/>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leftChars="0"/>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厂房单元端开间各设一道</w:t>
            </w:r>
            <w:r>
              <w:rPr>
                <w:rFonts w:hint="eastAsia" w:ascii="Times New Roman" w:hAnsi="Times New Roman" w:eastAsia="宋体" w:cs="Times New Roman"/>
                <w:color w:val="auto"/>
                <w:sz w:val="21"/>
                <w:szCs w:val="21"/>
                <w:lang w:eastAsia="zh-CN"/>
              </w:rPr>
              <w:t>。</w:t>
            </w:r>
          </w:p>
        </w:tc>
        <w:tc>
          <w:tcPr>
            <w:tcW w:w="955" w:type="pct"/>
            <w:vAlign w:val="center"/>
          </w:tcPr>
          <w:p w14:paraId="495AA5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□满足；□不满足</w:t>
            </w:r>
          </w:p>
        </w:tc>
      </w:tr>
      <w:tr w14:paraId="691C2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360" w:type="pct"/>
            <w:vMerge w:val="continue"/>
            <w:vAlign w:val="center"/>
          </w:tcPr>
          <w:p w14:paraId="5B29B1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p>
        </w:tc>
        <w:tc>
          <w:tcPr>
            <w:tcW w:w="352" w:type="pct"/>
            <w:vMerge w:val="continue"/>
            <w:vAlign w:val="center"/>
          </w:tcPr>
          <w:p w14:paraId="34CDA5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p>
        </w:tc>
        <w:tc>
          <w:tcPr>
            <w:tcW w:w="248" w:type="pct"/>
            <w:vMerge w:val="continue"/>
            <w:vAlign w:val="center"/>
          </w:tcPr>
          <w:p w14:paraId="2DEB371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p>
        </w:tc>
        <w:tc>
          <w:tcPr>
            <w:tcW w:w="532" w:type="pct"/>
            <w:vAlign w:val="center"/>
          </w:tcPr>
          <w:p w14:paraId="5B91A2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下弦横向支撑</w:t>
            </w:r>
          </w:p>
        </w:tc>
        <w:tc>
          <w:tcPr>
            <w:tcW w:w="712" w:type="pct"/>
            <w:vAlign w:val="center"/>
          </w:tcPr>
          <w:p w14:paraId="745585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838" w:type="pct"/>
            <w:vAlign w:val="center"/>
          </w:tcPr>
          <w:p w14:paraId="68298CAE">
            <w:pPr>
              <w:pStyle w:val="6"/>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left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在屋架下弦传递水平力时,应在单元端开间或靠近水平力作用</w:t>
            </w:r>
          </w:p>
          <w:p w14:paraId="20991D0E">
            <w:pPr>
              <w:pStyle w:val="6"/>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leftChars="0"/>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处设置一道</w:t>
            </w:r>
            <w:r>
              <w:rPr>
                <w:rFonts w:hint="eastAsia" w:ascii="Times New Roman" w:hAnsi="Times New Roman" w:eastAsia="宋体" w:cs="Times New Roman"/>
                <w:color w:val="auto"/>
                <w:sz w:val="21"/>
                <w:szCs w:val="21"/>
                <w:lang w:eastAsia="zh-CN"/>
              </w:rPr>
              <w:t>。</w:t>
            </w:r>
          </w:p>
        </w:tc>
        <w:tc>
          <w:tcPr>
            <w:tcW w:w="955" w:type="pct"/>
            <w:vAlign w:val="center"/>
          </w:tcPr>
          <w:p w14:paraId="039FA6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□满足；□不满足</w:t>
            </w:r>
          </w:p>
        </w:tc>
      </w:tr>
      <w:tr w14:paraId="19E09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jc w:val="center"/>
        </w:trPr>
        <w:tc>
          <w:tcPr>
            <w:tcW w:w="360" w:type="pct"/>
            <w:vMerge w:val="continue"/>
            <w:vAlign w:val="center"/>
          </w:tcPr>
          <w:p w14:paraId="708419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p>
        </w:tc>
        <w:tc>
          <w:tcPr>
            <w:tcW w:w="352" w:type="pct"/>
            <w:vMerge w:val="continue"/>
            <w:vAlign w:val="center"/>
          </w:tcPr>
          <w:p w14:paraId="2B6ED2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p>
        </w:tc>
        <w:tc>
          <w:tcPr>
            <w:tcW w:w="248" w:type="pct"/>
            <w:vMerge w:val="continue"/>
            <w:vAlign w:val="center"/>
          </w:tcPr>
          <w:p w14:paraId="649168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p>
        </w:tc>
        <w:tc>
          <w:tcPr>
            <w:tcW w:w="532" w:type="pct"/>
            <w:vAlign w:val="center"/>
          </w:tcPr>
          <w:p w14:paraId="7C98CB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跨中竖向支撑</w:t>
            </w:r>
          </w:p>
        </w:tc>
        <w:tc>
          <w:tcPr>
            <w:tcW w:w="712" w:type="pct"/>
            <w:vAlign w:val="center"/>
          </w:tcPr>
          <w:p w14:paraId="657988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838" w:type="pct"/>
            <w:vAlign w:val="center"/>
          </w:tcPr>
          <w:p w14:paraId="2C9DB7D1">
            <w:pPr>
              <w:pStyle w:val="6"/>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left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在屋架下弦传递水平力时,应在单元端开间或靠近水平力作用</w:t>
            </w:r>
          </w:p>
          <w:p w14:paraId="18CA5FBF">
            <w:pPr>
              <w:pStyle w:val="6"/>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leftChars="0"/>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处设置一道</w:t>
            </w:r>
            <w:r>
              <w:rPr>
                <w:rFonts w:hint="eastAsia" w:ascii="Times New Roman" w:hAnsi="Times New Roman" w:eastAsia="宋体" w:cs="Times New Roman"/>
                <w:color w:val="auto"/>
                <w:sz w:val="21"/>
                <w:szCs w:val="21"/>
                <w:lang w:eastAsia="zh-CN"/>
              </w:rPr>
              <w:t>。</w:t>
            </w:r>
          </w:p>
        </w:tc>
        <w:tc>
          <w:tcPr>
            <w:tcW w:w="955" w:type="pct"/>
            <w:vAlign w:val="center"/>
          </w:tcPr>
          <w:p w14:paraId="33953F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□满足；□不满足</w:t>
            </w:r>
          </w:p>
        </w:tc>
      </w:tr>
      <w:tr w14:paraId="5B93B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360" w:type="pct"/>
            <w:vMerge w:val="continue"/>
            <w:vAlign w:val="center"/>
          </w:tcPr>
          <w:p w14:paraId="2BD7FE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p>
        </w:tc>
        <w:tc>
          <w:tcPr>
            <w:tcW w:w="352" w:type="pct"/>
            <w:vMerge w:val="continue"/>
            <w:vAlign w:val="center"/>
          </w:tcPr>
          <w:p w14:paraId="22755F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p>
        </w:tc>
        <w:tc>
          <w:tcPr>
            <w:tcW w:w="248" w:type="pct"/>
            <w:vMerge w:val="restart"/>
            <w:vAlign w:val="center"/>
          </w:tcPr>
          <w:p w14:paraId="373A0C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天窗架支撑</w:t>
            </w:r>
          </w:p>
        </w:tc>
        <w:tc>
          <w:tcPr>
            <w:tcW w:w="532" w:type="pct"/>
            <w:vAlign w:val="center"/>
          </w:tcPr>
          <w:p w14:paraId="59DD0E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上弦横向支撑</w:t>
            </w:r>
          </w:p>
        </w:tc>
        <w:tc>
          <w:tcPr>
            <w:tcW w:w="712" w:type="pct"/>
            <w:vAlign w:val="center"/>
          </w:tcPr>
          <w:p w14:paraId="78FE5E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838" w:type="pct"/>
            <w:vAlign w:val="center"/>
          </w:tcPr>
          <w:p w14:paraId="1FE6DF6E">
            <w:pPr>
              <w:pStyle w:val="6"/>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leftChars="0"/>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厂房单元的天窗端开间各设一道</w:t>
            </w:r>
            <w:r>
              <w:rPr>
                <w:rFonts w:hint="eastAsia" w:ascii="Times New Roman" w:hAnsi="Times New Roman" w:eastAsia="宋体" w:cs="Times New Roman"/>
                <w:color w:val="auto"/>
                <w:sz w:val="21"/>
                <w:szCs w:val="21"/>
                <w:lang w:eastAsia="zh-CN"/>
              </w:rPr>
              <w:t>。</w:t>
            </w:r>
          </w:p>
        </w:tc>
        <w:tc>
          <w:tcPr>
            <w:tcW w:w="955" w:type="pct"/>
            <w:vAlign w:val="center"/>
          </w:tcPr>
          <w:p w14:paraId="2049E4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□满足；□不满足</w:t>
            </w:r>
          </w:p>
        </w:tc>
      </w:tr>
      <w:tr w14:paraId="18AF1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360" w:type="pct"/>
            <w:vMerge w:val="continue"/>
            <w:vAlign w:val="center"/>
          </w:tcPr>
          <w:p w14:paraId="7F9584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p>
        </w:tc>
        <w:tc>
          <w:tcPr>
            <w:tcW w:w="352" w:type="pct"/>
            <w:vMerge w:val="continue"/>
            <w:vAlign w:val="center"/>
          </w:tcPr>
          <w:p w14:paraId="549534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p>
        </w:tc>
        <w:tc>
          <w:tcPr>
            <w:tcW w:w="248" w:type="pct"/>
            <w:vMerge w:val="continue"/>
            <w:vAlign w:val="center"/>
          </w:tcPr>
          <w:p w14:paraId="77C234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p>
        </w:tc>
        <w:tc>
          <w:tcPr>
            <w:tcW w:w="532" w:type="pct"/>
            <w:vAlign w:val="center"/>
          </w:tcPr>
          <w:p w14:paraId="57DE4A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两侧竖向支撑</w:t>
            </w:r>
          </w:p>
        </w:tc>
        <w:tc>
          <w:tcPr>
            <w:tcW w:w="712" w:type="pct"/>
            <w:vAlign w:val="center"/>
          </w:tcPr>
          <w:p w14:paraId="2A731C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838" w:type="pct"/>
            <w:vAlign w:val="center"/>
          </w:tcPr>
          <w:p w14:paraId="66870023">
            <w:pPr>
              <w:pStyle w:val="6"/>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leftChars="0"/>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厂房单元的天窗端开间及每隔4</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m各设一道</w:t>
            </w:r>
            <w:r>
              <w:rPr>
                <w:rFonts w:hint="eastAsia" w:ascii="Times New Roman" w:hAnsi="Times New Roman" w:eastAsia="宋体" w:cs="Times New Roman"/>
                <w:color w:val="auto"/>
                <w:sz w:val="21"/>
                <w:szCs w:val="21"/>
                <w:lang w:eastAsia="zh-CN"/>
              </w:rPr>
              <w:t>。</w:t>
            </w:r>
          </w:p>
        </w:tc>
        <w:tc>
          <w:tcPr>
            <w:tcW w:w="955" w:type="pct"/>
            <w:vAlign w:val="center"/>
          </w:tcPr>
          <w:p w14:paraId="15AC20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□满足；□不满足</w:t>
            </w:r>
          </w:p>
        </w:tc>
      </w:tr>
      <w:tr w14:paraId="2601E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360" w:type="pct"/>
            <w:vAlign w:val="center"/>
          </w:tcPr>
          <w:p w14:paraId="7902B1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1132" w:type="pct"/>
            <w:gridSpan w:val="3"/>
            <w:vAlign w:val="center"/>
          </w:tcPr>
          <w:p w14:paraId="70E718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梁柱板件构造要求</w:t>
            </w:r>
          </w:p>
        </w:tc>
        <w:tc>
          <w:tcPr>
            <w:tcW w:w="712" w:type="pct"/>
            <w:vAlign w:val="center"/>
          </w:tcPr>
          <w:p w14:paraId="5B0762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838" w:type="pct"/>
            <w:vAlign w:val="center"/>
          </w:tcPr>
          <w:p w14:paraId="0ABA3223">
            <w:pPr>
              <w:pStyle w:val="6"/>
              <w:keepNext w:val="0"/>
              <w:keepLines w:val="0"/>
              <w:pageBreakBefore w:val="0"/>
              <w:widowControl w:val="0"/>
              <w:numPr>
                <w:ilvl w:val="0"/>
                <w:numId w:val="0"/>
              </w:numPr>
              <w:kinsoku/>
              <w:wordWrap/>
              <w:overflowPunct/>
              <w:topLinePunct w:val="0"/>
              <w:autoSpaceDE/>
              <w:autoSpaceDN/>
              <w:bidi w:val="0"/>
              <w:adjustRightInd/>
              <w:snapToGrid/>
              <w:spacing w:before="0" w:line="240" w:lineRule="auto"/>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框架的梁柱为刚接时，梁翼缘与柱宜为全焊透焊接;梁腹板与柱可为高强度螺栓连接或双边角焊缝连接</w:t>
            </w:r>
            <w:r>
              <w:rPr>
                <w:rFonts w:hint="eastAsia" w:ascii="Times New Roman" w:hAnsi="Times New Roman" w:eastAsia="宋体" w:cs="Times New Roman"/>
                <w:color w:val="auto"/>
                <w:sz w:val="21"/>
                <w:szCs w:val="21"/>
                <w:lang w:eastAsia="zh-CN"/>
              </w:rPr>
              <w:t>。</w:t>
            </w:r>
          </w:p>
          <w:p w14:paraId="7276D9DB">
            <w:pPr>
              <w:numPr>
                <w:ilvl w:val="0"/>
                <w:numId w:val="0"/>
              </w:numPr>
              <w:rPr>
                <w:rFonts w:hint="eastAsia" w:ascii="Times New Roman" w:hAnsi="Times New Roman" w:eastAsia="宋体" w:cs="Times New Roman"/>
                <w:color w:val="auto"/>
                <w:sz w:val="21"/>
                <w:szCs w:val="21"/>
                <w:lang w:val="en-US" w:eastAsia="zh-CN"/>
              </w:rPr>
            </w:pPr>
            <w:r>
              <w:rPr>
                <w:rFonts w:hint="eastAsia"/>
                <w:color w:val="auto"/>
                <w:lang w:val="en-US" w:eastAsia="zh-CN"/>
              </w:rPr>
              <w:t>2、</w:t>
            </w:r>
            <w:r>
              <w:rPr>
                <w:rFonts w:hint="eastAsia" w:ascii="Times New Roman" w:hAnsi="Times New Roman" w:eastAsia="宋体" w:cs="Times New Roman"/>
                <w:color w:val="auto"/>
                <w:sz w:val="21"/>
                <w:szCs w:val="21"/>
                <w:lang w:val="en-US" w:eastAsia="zh-CN"/>
              </w:rPr>
              <w:t>梁柱板件宽厚比限值满足下表要求：</w:t>
            </w:r>
          </w:p>
          <w:p w14:paraId="35DDEC6C">
            <w:pPr>
              <w:pStyle w:val="2"/>
              <w:rPr>
                <w:rFonts w:hint="default"/>
                <w:color w:val="auto"/>
                <w:lang w:val="en-US" w:eastAsia="zh-CN"/>
              </w:rPr>
            </w:pPr>
            <w:r>
              <w:rPr>
                <w:rFonts w:ascii="宋体" w:hAnsi="宋体" w:eastAsia="宋体" w:cs="宋体"/>
                <w:color w:val="auto"/>
                <w:sz w:val="24"/>
                <w:szCs w:val="24"/>
              </w:rPr>
              <w:drawing>
                <wp:inline distT="0" distB="0" distL="114300" distR="114300">
                  <wp:extent cx="1693545" cy="431165"/>
                  <wp:effectExtent l="0" t="0" r="1905" b="6985"/>
                  <wp:docPr id="11"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IMG_256"/>
                          <pic:cNvPicPr>
                            <a:picLocks noChangeAspect="1"/>
                          </pic:cNvPicPr>
                        </pic:nvPicPr>
                        <pic:blipFill>
                          <a:blip r:embed="rId22"/>
                          <a:stretch>
                            <a:fillRect/>
                          </a:stretch>
                        </pic:blipFill>
                        <pic:spPr>
                          <a:xfrm>
                            <a:off x="0" y="0"/>
                            <a:ext cx="1693545" cy="431165"/>
                          </a:xfrm>
                          <a:prstGeom prst="rect">
                            <a:avLst/>
                          </a:prstGeom>
                          <a:noFill/>
                          <a:ln w="9525">
                            <a:noFill/>
                          </a:ln>
                        </pic:spPr>
                      </pic:pic>
                    </a:graphicData>
                  </a:graphic>
                </wp:inline>
              </w:drawing>
            </w:r>
          </w:p>
        </w:tc>
        <w:tc>
          <w:tcPr>
            <w:tcW w:w="955" w:type="pct"/>
            <w:vAlign w:val="center"/>
          </w:tcPr>
          <w:p w14:paraId="2E8C4D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□满足；□不满足</w:t>
            </w:r>
          </w:p>
        </w:tc>
      </w:tr>
    </w:tbl>
    <w:p w14:paraId="6050DFB5">
      <w:pP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br w:type="page"/>
      </w:r>
    </w:p>
    <w:p w14:paraId="34985CFF">
      <w:pPr>
        <w:keepNext w:val="0"/>
        <w:keepLines w:val="0"/>
        <w:pageBreakBefore w:val="0"/>
        <w:widowControl w:val="0"/>
        <w:kinsoku/>
        <w:wordWrap/>
        <w:overflowPunct/>
        <w:topLinePunct w:val="0"/>
        <w:autoSpaceDE/>
        <w:autoSpaceDN/>
        <w:bidi w:val="0"/>
        <w:adjustRightInd/>
        <w:snapToGrid/>
        <w:spacing w:line="240" w:lineRule="auto"/>
        <w:ind w:firstLine="482"/>
        <w:jc w:val="center"/>
        <w:textAlignment w:val="auto"/>
        <w:rPr>
          <w:rFonts w:hint="default"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lang w:val="en-US" w:eastAsia="zh-CN"/>
        </w:rPr>
        <w:t>B类钢框架钢排架厂房抗震措施鉴定</w:t>
      </w:r>
      <w:r>
        <w:rPr>
          <w:rFonts w:hint="default" w:ascii="Times New Roman" w:hAnsi="Times New Roman" w:eastAsia="宋体" w:cs="Times New Roman"/>
          <w:b/>
          <w:bCs/>
          <w:color w:val="auto"/>
          <w:sz w:val="21"/>
          <w:szCs w:val="21"/>
        </w:rPr>
        <w:t>（表</w:t>
      </w:r>
      <w:r>
        <w:rPr>
          <w:rFonts w:hint="eastAsia" w:ascii="Times New Roman" w:hAnsi="Times New Roman" w:eastAsia="宋体" w:cs="Times New Roman"/>
          <w:b/>
          <w:bCs/>
          <w:color w:val="auto"/>
          <w:sz w:val="21"/>
          <w:szCs w:val="21"/>
          <w:lang w:val="en-US" w:eastAsia="zh-CN"/>
        </w:rPr>
        <w:t>E.9</w:t>
      </w:r>
      <w:r>
        <w:rPr>
          <w:rFonts w:hint="default" w:ascii="Times New Roman" w:hAnsi="Times New Roman" w:eastAsia="宋体" w:cs="Times New Roman"/>
          <w:b/>
          <w:bCs/>
          <w:color w:val="auto"/>
          <w:sz w:val="21"/>
          <w:szCs w:val="21"/>
        </w:rPr>
        <w:t>）</w:t>
      </w:r>
    </w:p>
    <w:tbl>
      <w:tblPr>
        <w:tblStyle w:val="2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4"/>
        <w:gridCol w:w="600"/>
        <w:gridCol w:w="423"/>
        <w:gridCol w:w="907"/>
        <w:gridCol w:w="1215"/>
        <w:gridCol w:w="3134"/>
        <w:gridCol w:w="1628"/>
      </w:tblGrid>
      <w:tr w14:paraId="7841E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5000" w:type="pct"/>
            <w:gridSpan w:val="7"/>
            <w:vAlign w:val="center"/>
          </w:tcPr>
          <w:p w14:paraId="3CDCE2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抗震构造措施鉴定</w:t>
            </w:r>
          </w:p>
        </w:tc>
      </w:tr>
      <w:tr w14:paraId="73B12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1492" w:type="pct"/>
            <w:gridSpan w:val="4"/>
            <w:vAlign w:val="center"/>
          </w:tcPr>
          <w:p w14:paraId="56B785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评定项目</w:t>
            </w:r>
          </w:p>
        </w:tc>
        <w:tc>
          <w:tcPr>
            <w:tcW w:w="712" w:type="pct"/>
            <w:vAlign w:val="center"/>
          </w:tcPr>
          <w:p w14:paraId="5B8F38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结构现状</w:t>
            </w:r>
          </w:p>
        </w:tc>
        <w:tc>
          <w:tcPr>
            <w:tcW w:w="1838" w:type="pct"/>
            <w:vAlign w:val="center"/>
          </w:tcPr>
          <w:p w14:paraId="666AA9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规范要求</w:t>
            </w:r>
          </w:p>
        </w:tc>
        <w:tc>
          <w:tcPr>
            <w:tcW w:w="955" w:type="pct"/>
            <w:vAlign w:val="center"/>
          </w:tcPr>
          <w:p w14:paraId="32A84C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评定结果</w:t>
            </w:r>
          </w:p>
        </w:tc>
      </w:tr>
      <w:tr w14:paraId="43393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18" w:hRule="atLeast"/>
          <w:jc w:val="center"/>
        </w:trPr>
        <w:tc>
          <w:tcPr>
            <w:tcW w:w="360" w:type="pct"/>
            <w:vMerge w:val="restart"/>
            <w:vAlign w:val="center"/>
          </w:tcPr>
          <w:p w14:paraId="5EBFB3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352" w:type="pct"/>
            <w:vMerge w:val="restart"/>
            <w:vAlign w:val="center"/>
          </w:tcPr>
          <w:p w14:paraId="38013C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排架结构无檩条屋盖支撑</w:t>
            </w:r>
          </w:p>
        </w:tc>
        <w:tc>
          <w:tcPr>
            <w:tcW w:w="248" w:type="pct"/>
            <w:vMerge w:val="restart"/>
            <w:vAlign w:val="center"/>
          </w:tcPr>
          <w:p w14:paraId="6D3ED5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屋盖支撑</w:t>
            </w:r>
          </w:p>
        </w:tc>
        <w:tc>
          <w:tcPr>
            <w:tcW w:w="532" w:type="pct"/>
            <w:vAlign w:val="center"/>
          </w:tcPr>
          <w:p w14:paraId="254842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上弦横向支撑</w:t>
            </w:r>
          </w:p>
        </w:tc>
        <w:tc>
          <w:tcPr>
            <w:tcW w:w="712" w:type="pct"/>
            <w:vAlign w:val="center"/>
          </w:tcPr>
          <w:p w14:paraId="76EA75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838" w:type="pct"/>
            <w:vAlign w:val="center"/>
          </w:tcPr>
          <w:p w14:paraId="7DD0BF01">
            <w:pPr>
              <w:pStyle w:val="6"/>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leftChars="0"/>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屋架跨度小于18m时同非抗震设计</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即跨度不小于18m时在厂房单元端开间各设一道</w:t>
            </w:r>
            <w:r>
              <w:rPr>
                <w:rFonts w:hint="eastAsia" w:ascii="Times New Roman" w:hAnsi="Times New Roman" w:eastAsia="宋体" w:cs="Times New Roman"/>
                <w:color w:val="auto"/>
                <w:sz w:val="21"/>
                <w:szCs w:val="21"/>
                <w:lang w:eastAsia="zh-CN"/>
              </w:rPr>
              <w:t>。</w:t>
            </w:r>
          </w:p>
        </w:tc>
        <w:tc>
          <w:tcPr>
            <w:tcW w:w="955" w:type="pct"/>
            <w:vAlign w:val="center"/>
          </w:tcPr>
          <w:p w14:paraId="5146B3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□满足；□不满足</w:t>
            </w:r>
          </w:p>
        </w:tc>
      </w:tr>
      <w:tr w14:paraId="03A20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3" w:hRule="atLeast"/>
          <w:jc w:val="center"/>
        </w:trPr>
        <w:tc>
          <w:tcPr>
            <w:tcW w:w="360" w:type="pct"/>
            <w:vMerge w:val="continue"/>
            <w:vAlign w:val="center"/>
          </w:tcPr>
          <w:p w14:paraId="0EDB16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p>
        </w:tc>
        <w:tc>
          <w:tcPr>
            <w:tcW w:w="352" w:type="pct"/>
            <w:vMerge w:val="continue"/>
            <w:vAlign w:val="center"/>
          </w:tcPr>
          <w:p w14:paraId="2D1947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p>
        </w:tc>
        <w:tc>
          <w:tcPr>
            <w:tcW w:w="248" w:type="pct"/>
            <w:vMerge w:val="continue"/>
            <w:vAlign w:val="center"/>
          </w:tcPr>
          <w:p w14:paraId="31B300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p>
        </w:tc>
        <w:tc>
          <w:tcPr>
            <w:tcW w:w="532" w:type="pct"/>
            <w:vAlign w:val="center"/>
          </w:tcPr>
          <w:p w14:paraId="370B6F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上弦通长水平系杆</w:t>
            </w:r>
          </w:p>
        </w:tc>
        <w:tc>
          <w:tcPr>
            <w:tcW w:w="712" w:type="pct"/>
            <w:vAlign w:val="center"/>
          </w:tcPr>
          <w:p w14:paraId="1624FB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838" w:type="pct"/>
            <w:vAlign w:val="center"/>
          </w:tcPr>
          <w:p w14:paraId="4096549F">
            <w:pPr>
              <w:pStyle w:val="6"/>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leftChars="0"/>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按非抗震要求，即可不设置,振动较大或重级吊车时</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在单元端开间各设置一道</w:t>
            </w:r>
            <w:r>
              <w:rPr>
                <w:rFonts w:hint="eastAsia" w:ascii="Times New Roman" w:hAnsi="Times New Roman" w:eastAsia="宋体" w:cs="Times New Roman"/>
                <w:color w:val="auto"/>
                <w:sz w:val="21"/>
                <w:szCs w:val="21"/>
                <w:lang w:eastAsia="zh-CN"/>
              </w:rPr>
              <w:t>。</w:t>
            </w:r>
          </w:p>
        </w:tc>
        <w:tc>
          <w:tcPr>
            <w:tcW w:w="955" w:type="pct"/>
            <w:vAlign w:val="center"/>
          </w:tcPr>
          <w:p w14:paraId="289160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r>
      <w:tr w14:paraId="0FB22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360" w:type="pct"/>
            <w:vMerge w:val="continue"/>
            <w:vAlign w:val="center"/>
          </w:tcPr>
          <w:p w14:paraId="68B218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p>
        </w:tc>
        <w:tc>
          <w:tcPr>
            <w:tcW w:w="352" w:type="pct"/>
            <w:vMerge w:val="continue"/>
            <w:vAlign w:val="center"/>
          </w:tcPr>
          <w:p w14:paraId="41FDDB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p>
        </w:tc>
        <w:tc>
          <w:tcPr>
            <w:tcW w:w="248" w:type="pct"/>
            <w:vMerge w:val="continue"/>
            <w:vAlign w:val="center"/>
          </w:tcPr>
          <w:p w14:paraId="47F261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p>
        </w:tc>
        <w:tc>
          <w:tcPr>
            <w:tcW w:w="532" w:type="pct"/>
            <w:vAlign w:val="center"/>
          </w:tcPr>
          <w:p w14:paraId="10D6E9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下弦横向支撑</w:t>
            </w:r>
          </w:p>
        </w:tc>
        <w:tc>
          <w:tcPr>
            <w:tcW w:w="712" w:type="pct"/>
            <w:vAlign w:val="center"/>
          </w:tcPr>
          <w:p w14:paraId="3A370B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838" w:type="pct"/>
            <w:vAlign w:val="center"/>
          </w:tcPr>
          <w:p w14:paraId="67320B53">
            <w:pPr>
              <w:pStyle w:val="6"/>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leftChars="0"/>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按非抗震要求</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即在屋架下弦传递水平力时</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应在单元端开间或靠近水平力作用处设置一道</w:t>
            </w:r>
            <w:r>
              <w:rPr>
                <w:rFonts w:hint="eastAsia" w:ascii="Times New Roman" w:hAnsi="Times New Roman" w:eastAsia="宋体" w:cs="Times New Roman"/>
                <w:color w:val="auto"/>
                <w:sz w:val="21"/>
                <w:szCs w:val="21"/>
                <w:lang w:eastAsia="zh-CN"/>
              </w:rPr>
              <w:t>。</w:t>
            </w:r>
          </w:p>
        </w:tc>
        <w:tc>
          <w:tcPr>
            <w:tcW w:w="955" w:type="pct"/>
            <w:vAlign w:val="center"/>
          </w:tcPr>
          <w:p w14:paraId="49D57A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r>
      <w:tr w14:paraId="74D70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360" w:type="pct"/>
            <w:vMerge w:val="continue"/>
            <w:vAlign w:val="center"/>
          </w:tcPr>
          <w:p w14:paraId="142D5C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p>
        </w:tc>
        <w:tc>
          <w:tcPr>
            <w:tcW w:w="352" w:type="pct"/>
            <w:vMerge w:val="continue"/>
            <w:vAlign w:val="center"/>
          </w:tcPr>
          <w:p w14:paraId="10A6C6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p>
        </w:tc>
        <w:tc>
          <w:tcPr>
            <w:tcW w:w="248" w:type="pct"/>
            <w:vMerge w:val="continue"/>
            <w:vAlign w:val="center"/>
          </w:tcPr>
          <w:p w14:paraId="4E5A19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p>
        </w:tc>
        <w:tc>
          <w:tcPr>
            <w:tcW w:w="532" w:type="pct"/>
            <w:vAlign w:val="center"/>
          </w:tcPr>
          <w:p w14:paraId="6DCF816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跨中竖向支撑</w:t>
            </w:r>
          </w:p>
        </w:tc>
        <w:tc>
          <w:tcPr>
            <w:tcW w:w="712" w:type="pct"/>
            <w:vAlign w:val="center"/>
          </w:tcPr>
          <w:p w14:paraId="6CDF70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838" w:type="pct"/>
            <w:vAlign w:val="center"/>
          </w:tcPr>
          <w:p w14:paraId="2EBCD039">
            <w:pPr>
              <w:pStyle w:val="6"/>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left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按非抗震要求,即屋架跨度&gt;18m及30m时</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在单元两端第一或第二开间及单元长度大于66m时</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在柱间支撑开间的屋架跨度中点</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设置一道垂直支撑及下弦</w:t>
            </w:r>
          </w:p>
          <w:p w14:paraId="60C5E2F5">
            <w:pPr>
              <w:pStyle w:val="6"/>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leftChars="0"/>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通长系杆</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当有天窗时还应设置上弦系杆。屋架&gt;30m时</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在屋架跨度1/3左右设置两道垂直支撑及下弦通长系杆</w:t>
            </w:r>
            <w:r>
              <w:rPr>
                <w:rFonts w:hint="eastAsia" w:ascii="Times New Roman" w:hAnsi="Times New Roman" w:eastAsia="宋体" w:cs="Times New Roman"/>
                <w:color w:val="auto"/>
                <w:sz w:val="21"/>
                <w:szCs w:val="21"/>
                <w:lang w:eastAsia="zh-CN"/>
              </w:rPr>
              <w:t>。</w:t>
            </w:r>
          </w:p>
        </w:tc>
        <w:tc>
          <w:tcPr>
            <w:tcW w:w="955" w:type="pct"/>
            <w:vAlign w:val="center"/>
          </w:tcPr>
          <w:p w14:paraId="1B5336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r>
      <w:tr w14:paraId="1442E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360" w:type="pct"/>
            <w:vMerge w:val="continue"/>
            <w:vAlign w:val="center"/>
          </w:tcPr>
          <w:p w14:paraId="613EC7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p>
        </w:tc>
        <w:tc>
          <w:tcPr>
            <w:tcW w:w="352" w:type="pct"/>
            <w:vMerge w:val="continue"/>
            <w:vAlign w:val="center"/>
          </w:tcPr>
          <w:p w14:paraId="0A0797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p>
        </w:tc>
        <w:tc>
          <w:tcPr>
            <w:tcW w:w="248" w:type="pct"/>
            <w:vMerge w:val="continue"/>
            <w:vAlign w:val="center"/>
          </w:tcPr>
          <w:p w14:paraId="7CE259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p>
        </w:tc>
        <w:tc>
          <w:tcPr>
            <w:tcW w:w="532" w:type="pct"/>
            <w:vAlign w:val="center"/>
          </w:tcPr>
          <w:p w14:paraId="144AA0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两端竖向支撑</w:t>
            </w:r>
          </w:p>
        </w:tc>
        <w:tc>
          <w:tcPr>
            <w:tcW w:w="712" w:type="pct"/>
            <w:vAlign w:val="center"/>
          </w:tcPr>
          <w:p w14:paraId="59EB32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838" w:type="pct"/>
            <w:vAlign w:val="center"/>
          </w:tcPr>
          <w:p w14:paraId="396654A2">
            <w:pPr>
              <w:pStyle w:val="6"/>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leftChars="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1、屋架端部高度</w:t>
            </w:r>
            <w:r>
              <w:rPr>
                <w:rFonts w:hint="default" w:ascii="Arial" w:hAnsi="Arial" w:eastAsia="宋体" w:cs="Arial"/>
                <w:color w:val="auto"/>
                <w:sz w:val="21"/>
                <w:szCs w:val="21"/>
                <w:lang w:val="en-US" w:eastAsia="zh-CN"/>
              </w:rPr>
              <w:t>≤</w:t>
            </w:r>
            <w:r>
              <w:rPr>
                <w:rFonts w:hint="eastAsia" w:ascii="Times New Roman" w:hAnsi="Times New Roman" w:eastAsia="宋体" w:cs="Times New Roman"/>
                <w:color w:val="auto"/>
                <w:sz w:val="21"/>
                <w:szCs w:val="21"/>
                <w:lang w:val="en-US" w:eastAsia="zh-CN"/>
              </w:rPr>
              <w:t>900mm：可不设置；</w:t>
            </w:r>
          </w:p>
          <w:p w14:paraId="2621998C">
            <w:pPr>
              <w:rPr>
                <w:rFonts w:hint="default"/>
                <w:color w:val="auto"/>
                <w:lang w:val="en-US" w:eastAsia="zh-CN"/>
              </w:rPr>
            </w:pPr>
            <w:r>
              <w:rPr>
                <w:rFonts w:hint="eastAsia" w:ascii="Times New Roman" w:hAnsi="Times New Roman" w:eastAsia="宋体" w:cs="Times New Roman"/>
                <w:color w:val="auto"/>
                <w:sz w:val="21"/>
                <w:szCs w:val="21"/>
                <w:lang w:val="en-US" w:eastAsia="zh-CN"/>
              </w:rPr>
              <w:t>2、屋架端部高度&gt;900mm：单元端开间各设一道。</w:t>
            </w:r>
          </w:p>
        </w:tc>
        <w:tc>
          <w:tcPr>
            <w:tcW w:w="955" w:type="pct"/>
            <w:vAlign w:val="center"/>
          </w:tcPr>
          <w:p w14:paraId="702275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r>
      <w:tr w14:paraId="16EFB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360" w:type="pct"/>
            <w:vMerge w:val="continue"/>
            <w:vAlign w:val="center"/>
          </w:tcPr>
          <w:p w14:paraId="571213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p>
        </w:tc>
        <w:tc>
          <w:tcPr>
            <w:tcW w:w="352" w:type="pct"/>
            <w:vMerge w:val="continue"/>
            <w:vAlign w:val="center"/>
          </w:tcPr>
          <w:p w14:paraId="5B477E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p>
        </w:tc>
        <w:tc>
          <w:tcPr>
            <w:tcW w:w="780" w:type="pct"/>
            <w:gridSpan w:val="2"/>
            <w:vAlign w:val="center"/>
          </w:tcPr>
          <w:p w14:paraId="14BD38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天窗两侧竖向支撑</w:t>
            </w:r>
          </w:p>
        </w:tc>
        <w:tc>
          <w:tcPr>
            <w:tcW w:w="712" w:type="pct"/>
            <w:vAlign w:val="center"/>
          </w:tcPr>
          <w:p w14:paraId="36203A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838" w:type="pct"/>
            <w:vAlign w:val="center"/>
          </w:tcPr>
          <w:p w14:paraId="2211DEE0">
            <w:pPr>
              <w:pStyle w:val="6"/>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leftChars="0"/>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 xml:space="preserve">厂房单元天窗端开间及每隔 </w:t>
            </w:r>
            <w:r>
              <w:rPr>
                <w:rFonts w:hint="eastAsia" w:ascii="Times New Roman" w:hAnsi="Times New Roman" w:eastAsia="宋体" w:cs="Times New Roman"/>
                <w:color w:val="auto"/>
                <w:sz w:val="21"/>
                <w:szCs w:val="21"/>
                <w:lang w:val="en-US" w:eastAsia="zh-CN"/>
              </w:rPr>
              <w:t>30</w:t>
            </w:r>
            <w:r>
              <w:rPr>
                <w:rFonts w:hint="default" w:ascii="Times New Roman" w:hAnsi="Times New Roman" w:eastAsia="宋体" w:cs="Times New Roman"/>
                <w:color w:val="auto"/>
                <w:sz w:val="21"/>
                <w:szCs w:val="21"/>
              </w:rPr>
              <w:t>m各设一道</w:t>
            </w:r>
            <w:r>
              <w:rPr>
                <w:rFonts w:hint="eastAsia" w:ascii="Times New Roman" w:hAnsi="Times New Roman" w:eastAsia="宋体" w:cs="Times New Roman"/>
                <w:color w:val="auto"/>
                <w:sz w:val="21"/>
                <w:szCs w:val="21"/>
                <w:lang w:eastAsia="zh-CN"/>
              </w:rPr>
              <w:t>。</w:t>
            </w:r>
          </w:p>
        </w:tc>
        <w:tc>
          <w:tcPr>
            <w:tcW w:w="955" w:type="pct"/>
            <w:vAlign w:val="center"/>
          </w:tcPr>
          <w:p w14:paraId="127EE6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r>
      <w:tr w14:paraId="237BC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360" w:type="pct"/>
            <w:vMerge w:val="continue"/>
            <w:vAlign w:val="center"/>
          </w:tcPr>
          <w:p w14:paraId="7D5DB2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p>
        </w:tc>
        <w:tc>
          <w:tcPr>
            <w:tcW w:w="352" w:type="pct"/>
            <w:vMerge w:val="continue"/>
            <w:vAlign w:val="center"/>
          </w:tcPr>
          <w:p w14:paraId="717A1B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p>
        </w:tc>
        <w:tc>
          <w:tcPr>
            <w:tcW w:w="780" w:type="pct"/>
            <w:gridSpan w:val="2"/>
            <w:vAlign w:val="center"/>
          </w:tcPr>
          <w:p w14:paraId="75F85B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天窗上弦</w:t>
            </w:r>
          </w:p>
          <w:p w14:paraId="418347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横向支撑</w:t>
            </w:r>
          </w:p>
        </w:tc>
        <w:tc>
          <w:tcPr>
            <w:tcW w:w="712" w:type="pct"/>
            <w:vAlign w:val="center"/>
          </w:tcPr>
          <w:p w14:paraId="63C47B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838" w:type="pct"/>
            <w:vAlign w:val="center"/>
          </w:tcPr>
          <w:p w14:paraId="583CB900">
            <w:pPr>
              <w:pStyle w:val="6"/>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leftChars="0"/>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按非抗震要求，即天窗单元端开间各设一道</w:t>
            </w:r>
            <w:r>
              <w:rPr>
                <w:rFonts w:hint="eastAsia" w:ascii="Times New Roman" w:hAnsi="Times New Roman" w:eastAsia="宋体" w:cs="Times New Roman"/>
                <w:color w:val="auto"/>
                <w:sz w:val="21"/>
                <w:szCs w:val="21"/>
                <w:lang w:eastAsia="zh-CN"/>
              </w:rPr>
              <w:t>。</w:t>
            </w:r>
          </w:p>
        </w:tc>
        <w:tc>
          <w:tcPr>
            <w:tcW w:w="955" w:type="pct"/>
            <w:vAlign w:val="center"/>
          </w:tcPr>
          <w:p w14:paraId="78D80E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r>
      <w:tr w14:paraId="7425E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360" w:type="pct"/>
            <w:vMerge w:val="restart"/>
            <w:vAlign w:val="center"/>
          </w:tcPr>
          <w:p w14:paraId="2804DB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352" w:type="pct"/>
            <w:vMerge w:val="restart"/>
            <w:vAlign w:val="center"/>
          </w:tcPr>
          <w:p w14:paraId="7C25B8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中间井式天窗无檩条屋盖支撑</w:t>
            </w:r>
          </w:p>
        </w:tc>
        <w:tc>
          <w:tcPr>
            <w:tcW w:w="248" w:type="pct"/>
            <w:vMerge w:val="restart"/>
            <w:vAlign w:val="center"/>
          </w:tcPr>
          <w:p w14:paraId="06DFBB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屋盖支撑</w:t>
            </w:r>
          </w:p>
        </w:tc>
        <w:tc>
          <w:tcPr>
            <w:tcW w:w="532" w:type="pct"/>
            <w:vAlign w:val="center"/>
          </w:tcPr>
          <w:p w14:paraId="56B846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上、下弦横向支撑</w:t>
            </w:r>
          </w:p>
        </w:tc>
        <w:tc>
          <w:tcPr>
            <w:tcW w:w="712" w:type="pct"/>
            <w:vAlign w:val="center"/>
          </w:tcPr>
          <w:p w14:paraId="2E76A0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838" w:type="pct"/>
            <w:vAlign w:val="center"/>
          </w:tcPr>
          <w:p w14:paraId="4F1B67FA">
            <w:pPr>
              <w:pStyle w:val="6"/>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leftChars="0"/>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厂房单元端开间各设一道</w:t>
            </w:r>
            <w:r>
              <w:rPr>
                <w:rFonts w:hint="eastAsia" w:ascii="Times New Roman" w:hAnsi="Times New Roman" w:eastAsia="宋体" w:cs="Times New Roman"/>
                <w:color w:val="auto"/>
                <w:sz w:val="21"/>
                <w:szCs w:val="21"/>
                <w:lang w:eastAsia="zh-CN"/>
              </w:rPr>
              <w:t>。</w:t>
            </w:r>
          </w:p>
        </w:tc>
        <w:tc>
          <w:tcPr>
            <w:tcW w:w="955" w:type="pct"/>
            <w:vAlign w:val="center"/>
          </w:tcPr>
          <w:p w14:paraId="213559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r>
      <w:tr w14:paraId="7BD42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360" w:type="pct"/>
            <w:vMerge w:val="continue"/>
            <w:vAlign w:val="center"/>
          </w:tcPr>
          <w:p w14:paraId="2A528B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p>
        </w:tc>
        <w:tc>
          <w:tcPr>
            <w:tcW w:w="352" w:type="pct"/>
            <w:vMerge w:val="continue"/>
            <w:vAlign w:val="center"/>
          </w:tcPr>
          <w:p w14:paraId="44B6F2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p>
        </w:tc>
        <w:tc>
          <w:tcPr>
            <w:tcW w:w="248" w:type="pct"/>
            <w:vMerge w:val="continue"/>
            <w:vAlign w:val="center"/>
          </w:tcPr>
          <w:p w14:paraId="03D1F6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p>
        </w:tc>
        <w:tc>
          <w:tcPr>
            <w:tcW w:w="532" w:type="pct"/>
            <w:vAlign w:val="center"/>
          </w:tcPr>
          <w:p w14:paraId="0A4AEB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上弦通长水平系杆</w:t>
            </w:r>
          </w:p>
        </w:tc>
        <w:tc>
          <w:tcPr>
            <w:tcW w:w="712" w:type="pct"/>
            <w:vAlign w:val="center"/>
          </w:tcPr>
          <w:p w14:paraId="0E3357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838" w:type="pct"/>
            <w:vAlign w:val="center"/>
          </w:tcPr>
          <w:p w14:paraId="59DA5023">
            <w:pPr>
              <w:pStyle w:val="6"/>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leftChars="0"/>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在天窗范围内屋架跨中上弦节点处设置</w:t>
            </w:r>
            <w:r>
              <w:rPr>
                <w:rFonts w:hint="eastAsia" w:ascii="Times New Roman" w:hAnsi="Times New Roman" w:eastAsia="宋体" w:cs="Times New Roman"/>
                <w:color w:val="auto"/>
                <w:sz w:val="21"/>
                <w:szCs w:val="21"/>
                <w:lang w:eastAsia="zh-CN"/>
              </w:rPr>
              <w:t>。</w:t>
            </w:r>
          </w:p>
        </w:tc>
        <w:tc>
          <w:tcPr>
            <w:tcW w:w="955" w:type="pct"/>
            <w:vAlign w:val="center"/>
          </w:tcPr>
          <w:p w14:paraId="3AB054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r>
      <w:tr w14:paraId="2D282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360" w:type="pct"/>
            <w:vMerge w:val="continue"/>
            <w:vAlign w:val="center"/>
          </w:tcPr>
          <w:p w14:paraId="02BAD3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p>
        </w:tc>
        <w:tc>
          <w:tcPr>
            <w:tcW w:w="352" w:type="pct"/>
            <w:vMerge w:val="continue"/>
            <w:vAlign w:val="center"/>
          </w:tcPr>
          <w:p w14:paraId="6340AB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p>
        </w:tc>
        <w:tc>
          <w:tcPr>
            <w:tcW w:w="248" w:type="pct"/>
            <w:vMerge w:val="continue"/>
            <w:vAlign w:val="center"/>
          </w:tcPr>
          <w:p w14:paraId="72C776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p>
        </w:tc>
        <w:tc>
          <w:tcPr>
            <w:tcW w:w="532" w:type="pct"/>
            <w:vAlign w:val="center"/>
          </w:tcPr>
          <w:p w14:paraId="4A22A7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下弦通长水平系杆</w:t>
            </w:r>
          </w:p>
        </w:tc>
        <w:tc>
          <w:tcPr>
            <w:tcW w:w="712" w:type="pct"/>
            <w:vAlign w:val="center"/>
          </w:tcPr>
          <w:p w14:paraId="49CF1C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838" w:type="pct"/>
            <w:vAlign w:val="center"/>
          </w:tcPr>
          <w:p w14:paraId="3BF75B67">
            <w:pPr>
              <w:pStyle w:val="6"/>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leftChars="0"/>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在天窗两侧及天窗范围内屋架下弦节点处设置</w:t>
            </w:r>
            <w:r>
              <w:rPr>
                <w:rFonts w:hint="eastAsia" w:ascii="Times New Roman" w:hAnsi="Times New Roman" w:eastAsia="宋体" w:cs="Times New Roman"/>
                <w:color w:val="auto"/>
                <w:sz w:val="21"/>
                <w:szCs w:val="21"/>
                <w:lang w:eastAsia="zh-CN"/>
              </w:rPr>
              <w:t>。</w:t>
            </w:r>
          </w:p>
        </w:tc>
        <w:tc>
          <w:tcPr>
            <w:tcW w:w="955" w:type="pct"/>
            <w:vAlign w:val="center"/>
          </w:tcPr>
          <w:p w14:paraId="0E9742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r>
      <w:tr w14:paraId="56F75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360" w:type="pct"/>
            <w:vMerge w:val="continue"/>
            <w:vAlign w:val="center"/>
          </w:tcPr>
          <w:p w14:paraId="28A4AE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p>
        </w:tc>
        <w:tc>
          <w:tcPr>
            <w:tcW w:w="352" w:type="pct"/>
            <w:vMerge w:val="continue"/>
            <w:vAlign w:val="center"/>
          </w:tcPr>
          <w:p w14:paraId="042B21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p>
        </w:tc>
        <w:tc>
          <w:tcPr>
            <w:tcW w:w="248" w:type="pct"/>
            <w:vMerge w:val="continue"/>
            <w:vAlign w:val="center"/>
          </w:tcPr>
          <w:p w14:paraId="1155D7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p>
        </w:tc>
        <w:tc>
          <w:tcPr>
            <w:tcW w:w="532" w:type="pct"/>
            <w:vAlign w:val="center"/>
          </w:tcPr>
          <w:p w14:paraId="584844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跨中竖向支撑</w:t>
            </w:r>
          </w:p>
        </w:tc>
        <w:tc>
          <w:tcPr>
            <w:tcW w:w="712" w:type="pct"/>
            <w:vAlign w:val="center"/>
          </w:tcPr>
          <w:p w14:paraId="4AE6EB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838" w:type="pct"/>
            <w:vAlign w:val="center"/>
          </w:tcPr>
          <w:p w14:paraId="7A1C76D6">
            <w:pPr>
              <w:pStyle w:val="6"/>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leftChars="0"/>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在上弦横向支撑开间处设置,位置与下弦通长系杆相对应</w:t>
            </w:r>
            <w:r>
              <w:rPr>
                <w:rFonts w:hint="eastAsia" w:ascii="Times New Roman" w:hAnsi="Times New Roman" w:eastAsia="宋体" w:cs="Times New Roman"/>
                <w:color w:val="auto"/>
                <w:sz w:val="21"/>
                <w:szCs w:val="21"/>
                <w:lang w:eastAsia="zh-CN"/>
              </w:rPr>
              <w:t>。</w:t>
            </w:r>
          </w:p>
        </w:tc>
        <w:tc>
          <w:tcPr>
            <w:tcW w:w="955" w:type="pct"/>
            <w:vAlign w:val="center"/>
          </w:tcPr>
          <w:p w14:paraId="24E21A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r>
      <w:tr w14:paraId="3E143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360" w:type="pct"/>
            <w:vMerge w:val="continue"/>
            <w:vAlign w:val="center"/>
          </w:tcPr>
          <w:p w14:paraId="4362F7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p>
        </w:tc>
        <w:tc>
          <w:tcPr>
            <w:tcW w:w="352" w:type="pct"/>
            <w:vMerge w:val="continue"/>
            <w:vAlign w:val="center"/>
          </w:tcPr>
          <w:p w14:paraId="2B8EAB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p>
        </w:tc>
        <w:tc>
          <w:tcPr>
            <w:tcW w:w="780" w:type="pct"/>
            <w:gridSpan w:val="2"/>
            <w:vAlign w:val="center"/>
          </w:tcPr>
          <w:p w14:paraId="4AE70D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两端竖向支撑</w:t>
            </w:r>
          </w:p>
        </w:tc>
        <w:tc>
          <w:tcPr>
            <w:tcW w:w="712" w:type="pct"/>
            <w:vAlign w:val="center"/>
          </w:tcPr>
          <w:p w14:paraId="056CFE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838" w:type="pct"/>
            <w:vAlign w:val="center"/>
          </w:tcPr>
          <w:p w14:paraId="1499B7A9">
            <w:pPr>
              <w:pStyle w:val="6"/>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leftChars="0"/>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单元端开间各设一道。</w:t>
            </w:r>
          </w:p>
        </w:tc>
        <w:tc>
          <w:tcPr>
            <w:tcW w:w="955" w:type="pct"/>
            <w:vAlign w:val="center"/>
          </w:tcPr>
          <w:p w14:paraId="5ED6BF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r>
      <w:tr w14:paraId="0E9B8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1" w:hRule="atLeast"/>
          <w:jc w:val="center"/>
        </w:trPr>
        <w:tc>
          <w:tcPr>
            <w:tcW w:w="360" w:type="pct"/>
            <w:vMerge w:val="restart"/>
            <w:vAlign w:val="center"/>
          </w:tcPr>
          <w:p w14:paraId="26FD98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352" w:type="pct"/>
            <w:vMerge w:val="restart"/>
            <w:vAlign w:val="center"/>
          </w:tcPr>
          <w:p w14:paraId="05FC97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排架结构有檩条屋盖支撑</w:t>
            </w:r>
          </w:p>
        </w:tc>
        <w:tc>
          <w:tcPr>
            <w:tcW w:w="248" w:type="pct"/>
            <w:vMerge w:val="restart"/>
            <w:vAlign w:val="center"/>
          </w:tcPr>
          <w:p w14:paraId="20EBF4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屋盖支撑</w:t>
            </w:r>
          </w:p>
        </w:tc>
        <w:tc>
          <w:tcPr>
            <w:tcW w:w="532" w:type="pct"/>
            <w:vAlign w:val="center"/>
          </w:tcPr>
          <w:p w14:paraId="1EAEF4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上弦横向支撑</w:t>
            </w:r>
          </w:p>
        </w:tc>
        <w:tc>
          <w:tcPr>
            <w:tcW w:w="712" w:type="pct"/>
            <w:vAlign w:val="center"/>
          </w:tcPr>
          <w:p w14:paraId="0CFA45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838" w:type="pct"/>
            <w:vAlign w:val="center"/>
          </w:tcPr>
          <w:p w14:paraId="658D34C5">
            <w:pPr>
              <w:pStyle w:val="6"/>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leftChars="0"/>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厂房单元端开间各设一道</w:t>
            </w:r>
            <w:r>
              <w:rPr>
                <w:rFonts w:hint="eastAsia" w:ascii="Times New Roman" w:hAnsi="Times New Roman" w:eastAsia="宋体" w:cs="Times New Roman"/>
                <w:color w:val="auto"/>
                <w:sz w:val="21"/>
                <w:szCs w:val="21"/>
                <w:lang w:eastAsia="zh-CN"/>
              </w:rPr>
              <w:t>。</w:t>
            </w:r>
          </w:p>
        </w:tc>
        <w:tc>
          <w:tcPr>
            <w:tcW w:w="955" w:type="pct"/>
            <w:vAlign w:val="center"/>
          </w:tcPr>
          <w:p w14:paraId="65F72B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r>
      <w:tr w14:paraId="49787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360" w:type="pct"/>
            <w:vMerge w:val="continue"/>
            <w:vAlign w:val="center"/>
          </w:tcPr>
          <w:p w14:paraId="477E26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p>
        </w:tc>
        <w:tc>
          <w:tcPr>
            <w:tcW w:w="352" w:type="pct"/>
            <w:vMerge w:val="continue"/>
            <w:vAlign w:val="center"/>
          </w:tcPr>
          <w:p w14:paraId="5AF2211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p>
        </w:tc>
        <w:tc>
          <w:tcPr>
            <w:tcW w:w="248" w:type="pct"/>
            <w:vMerge w:val="continue"/>
            <w:vAlign w:val="center"/>
          </w:tcPr>
          <w:p w14:paraId="736B59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p>
        </w:tc>
        <w:tc>
          <w:tcPr>
            <w:tcW w:w="532" w:type="pct"/>
            <w:vAlign w:val="center"/>
          </w:tcPr>
          <w:p w14:paraId="2F8324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下弦横向支撑</w:t>
            </w:r>
          </w:p>
        </w:tc>
        <w:tc>
          <w:tcPr>
            <w:tcW w:w="712" w:type="pct"/>
            <w:vAlign w:val="center"/>
          </w:tcPr>
          <w:p w14:paraId="6FEBFE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838" w:type="pct"/>
            <w:vAlign w:val="center"/>
          </w:tcPr>
          <w:p w14:paraId="1865C821">
            <w:pPr>
              <w:pStyle w:val="6"/>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left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在屋架下弦传递水平力时,应在单元端开间或靠近水平力作用</w:t>
            </w:r>
          </w:p>
          <w:p w14:paraId="574B3F2B">
            <w:pPr>
              <w:pStyle w:val="6"/>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leftChars="0"/>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处设置一道</w:t>
            </w:r>
            <w:r>
              <w:rPr>
                <w:rFonts w:hint="eastAsia" w:ascii="Times New Roman" w:hAnsi="Times New Roman" w:eastAsia="宋体" w:cs="Times New Roman"/>
                <w:color w:val="auto"/>
                <w:sz w:val="21"/>
                <w:szCs w:val="21"/>
                <w:lang w:eastAsia="zh-CN"/>
              </w:rPr>
              <w:t>。</w:t>
            </w:r>
          </w:p>
        </w:tc>
        <w:tc>
          <w:tcPr>
            <w:tcW w:w="955" w:type="pct"/>
            <w:vAlign w:val="center"/>
          </w:tcPr>
          <w:p w14:paraId="3F0128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r>
      <w:tr w14:paraId="6E531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jc w:val="center"/>
        </w:trPr>
        <w:tc>
          <w:tcPr>
            <w:tcW w:w="360" w:type="pct"/>
            <w:vMerge w:val="continue"/>
            <w:vAlign w:val="center"/>
          </w:tcPr>
          <w:p w14:paraId="38330B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p>
        </w:tc>
        <w:tc>
          <w:tcPr>
            <w:tcW w:w="352" w:type="pct"/>
            <w:vMerge w:val="continue"/>
            <w:vAlign w:val="center"/>
          </w:tcPr>
          <w:p w14:paraId="164DA6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p>
        </w:tc>
        <w:tc>
          <w:tcPr>
            <w:tcW w:w="248" w:type="pct"/>
            <w:vMerge w:val="continue"/>
            <w:vAlign w:val="center"/>
          </w:tcPr>
          <w:p w14:paraId="44AC9C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p>
        </w:tc>
        <w:tc>
          <w:tcPr>
            <w:tcW w:w="532" w:type="pct"/>
            <w:vAlign w:val="center"/>
          </w:tcPr>
          <w:p w14:paraId="742981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跨中竖向支撑</w:t>
            </w:r>
          </w:p>
        </w:tc>
        <w:tc>
          <w:tcPr>
            <w:tcW w:w="712" w:type="pct"/>
            <w:vAlign w:val="center"/>
          </w:tcPr>
          <w:p w14:paraId="549E36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838" w:type="pct"/>
            <w:vAlign w:val="center"/>
          </w:tcPr>
          <w:p w14:paraId="20778B2D">
            <w:pPr>
              <w:pStyle w:val="6"/>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left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在屋架下弦传递水平力时,应在单元端开间或靠近水平力作用</w:t>
            </w:r>
          </w:p>
          <w:p w14:paraId="44400A79">
            <w:pPr>
              <w:pStyle w:val="6"/>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leftChars="0"/>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处设置一道</w:t>
            </w:r>
            <w:r>
              <w:rPr>
                <w:rFonts w:hint="eastAsia" w:ascii="Times New Roman" w:hAnsi="Times New Roman" w:eastAsia="宋体" w:cs="Times New Roman"/>
                <w:color w:val="auto"/>
                <w:sz w:val="21"/>
                <w:szCs w:val="21"/>
                <w:lang w:eastAsia="zh-CN"/>
              </w:rPr>
              <w:t>。</w:t>
            </w:r>
          </w:p>
        </w:tc>
        <w:tc>
          <w:tcPr>
            <w:tcW w:w="955" w:type="pct"/>
            <w:vAlign w:val="center"/>
          </w:tcPr>
          <w:p w14:paraId="44BC4A4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r>
      <w:tr w14:paraId="53313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360" w:type="pct"/>
            <w:vMerge w:val="continue"/>
            <w:vAlign w:val="center"/>
          </w:tcPr>
          <w:p w14:paraId="52AC89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p>
        </w:tc>
        <w:tc>
          <w:tcPr>
            <w:tcW w:w="352" w:type="pct"/>
            <w:vMerge w:val="continue"/>
            <w:vAlign w:val="center"/>
          </w:tcPr>
          <w:p w14:paraId="7FBFDA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p>
        </w:tc>
        <w:tc>
          <w:tcPr>
            <w:tcW w:w="248" w:type="pct"/>
            <w:vMerge w:val="restart"/>
            <w:vAlign w:val="center"/>
          </w:tcPr>
          <w:p w14:paraId="2AB83A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天窗架支撑</w:t>
            </w:r>
          </w:p>
        </w:tc>
        <w:tc>
          <w:tcPr>
            <w:tcW w:w="532" w:type="pct"/>
            <w:vAlign w:val="center"/>
          </w:tcPr>
          <w:p w14:paraId="60E3A6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上弦横向支撑</w:t>
            </w:r>
          </w:p>
        </w:tc>
        <w:tc>
          <w:tcPr>
            <w:tcW w:w="712" w:type="pct"/>
            <w:vAlign w:val="center"/>
          </w:tcPr>
          <w:p w14:paraId="7D7739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838" w:type="pct"/>
            <w:vAlign w:val="center"/>
          </w:tcPr>
          <w:p w14:paraId="74A4DCEB">
            <w:pPr>
              <w:pStyle w:val="6"/>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leftChars="0"/>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厂房单元的天窗端开间各设一道</w:t>
            </w:r>
            <w:r>
              <w:rPr>
                <w:rFonts w:hint="eastAsia" w:ascii="Times New Roman" w:hAnsi="Times New Roman" w:eastAsia="宋体" w:cs="Times New Roman"/>
                <w:color w:val="auto"/>
                <w:sz w:val="21"/>
                <w:szCs w:val="21"/>
                <w:lang w:eastAsia="zh-CN"/>
              </w:rPr>
              <w:t>。</w:t>
            </w:r>
          </w:p>
        </w:tc>
        <w:tc>
          <w:tcPr>
            <w:tcW w:w="955" w:type="pct"/>
            <w:vAlign w:val="center"/>
          </w:tcPr>
          <w:p w14:paraId="1B0265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r>
      <w:tr w14:paraId="5E126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360" w:type="pct"/>
            <w:vMerge w:val="continue"/>
            <w:vAlign w:val="center"/>
          </w:tcPr>
          <w:p w14:paraId="638D10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p>
        </w:tc>
        <w:tc>
          <w:tcPr>
            <w:tcW w:w="352" w:type="pct"/>
            <w:vMerge w:val="continue"/>
            <w:vAlign w:val="center"/>
          </w:tcPr>
          <w:p w14:paraId="046011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p>
        </w:tc>
        <w:tc>
          <w:tcPr>
            <w:tcW w:w="248" w:type="pct"/>
            <w:vMerge w:val="continue"/>
            <w:vAlign w:val="center"/>
          </w:tcPr>
          <w:p w14:paraId="4BA24C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p>
        </w:tc>
        <w:tc>
          <w:tcPr>
            <w:tcW w:w="532" w:type="pct"/>
            <w:vAlign w:val="center"/>
          </w:tcPr>
          <w:p w14:paraId="403331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两侧竖向支撑</w:t>
            </w:r>
          </w:p>
        </w:tc>
        <w:tc>
          <w:tcPr>
            <w:tcW w:w="712" w:type="pct"/>
            <w:vAlign w:val="center"/>
          </w:tcPr>
          <w:p w14:paraId="611868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838" w:type="pct"/>
            <w:vAlign w:val="center"/>
          </w:tcPr>
          <w:p w14:paraId="003F7103">
            <w:pPr>
              <w:pStyle w:val="6"/>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leftChars="0"/>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厂房单元的天窗端开间及每隔</w:t>
            </w:r>
            <w:r>
              <w:rPr>
                <w:rFonts w:hint="eastAsia" w:ascii="Times New Roman" w:hAnsi="Times New Roman" w:eastAsia="宋体" w:cs="Times New Roman"/>
                <w:color w:val="auto"/>
                <w:sz w:val="21"/>
                <w:szCs w:val="21"/>
                <w:lang w:val="en-US" w:eastAsia="zh-CN"/>
              </w:rPr>
              <w:t>36</w:t>
            </w:r>
            <w:r>
              <w:rPr>
                <w:rFonts w:hint="default" w:ascii="Times New Roman" w:hAnsi="Times New Roman" w:eastAsia="宋体" w:cs="Times New Roman"/>
                <w:color w:val="auto"/>
                <w:sz w:val="21"/>
                <w:szCs w:val="21"/>
              </w:rPr>
              <w:t>m各设一道</w:t>
            </w:r>
            <w:r>
              <w:rPr>
                <w:rFonts w:hint="eastAsia" w:ascii="Times New Roman" w:hAnsi="Times New Roman" w:eastAsia="宋体" w:cs="Times New Roman"/>
                <w:color w:val="auto"/>
                <w:sz w:val="21"/>
                <w:szCs w:val="21"/>
                <w:lang w:eastAsia="zh-CN"/>
              </w:rPr>
              <w:t>。</w:t>
            </w:r>
          </w:p>
        </w:tc>
        <w:tc>
          <w:tcPr>
            <w:tcW w:w="955" w:type="pct"/>
            <w:vAlign w:val="center"/>
          </w:tcPr>
          <w:p w14:paraId="7E3ABB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r>
      <w:tr w14:paraId="746CF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360" w:type="pct"/>
            <w:vAlign w:val="center"/>
          </w:tcPr>
          <w:p w14:paraId="097834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1132" w:type="pct"/>
            <w:gridSpan w:val="3"/>
            <w:vAlign w:val="center"/>
          </w:tcPr>
          <w:p w14:paraId="24791C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梁柱板件构造要求</w:t>
            </w:r>
          </w:p>
        </w:tc>
        <w:tc>
          <w:tcPr>
            <w:tcW w:w="712" w:type="pct"/>
            <w:vAlign w:val="center"/>
          </w:tcPr>
          <w:p w14:paraId="00010F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838" w:type="pct"/>
            <w:vAlign w:val="center"/>
          </w:tcPr>
          <w:p w14:paraId="69AABBAA">
            <w:pPr>
              <w:pStyle w:val="6"/>
              <w:keepNext w:val="0"/>
              <w:keepLines w:val="0"/>
              <w:pageBreakBefore w:val="0"/>
              <w:widowControl w:val="0"/>
              <w:numPr>
                <w:ilvl w:val="0"/>
                <w:numId w:val="0"/>
              </w:numPr>
              <w:kinsoku/>
              <w:wordWrap/>
              <w:overflowPunct/>
              <w:topLinePunct w:val="0"/>
              <w:autoSpaceDE/>
              <w:autoSpaceDN/>
              <w:bidi w:val="0"/>
              <w:adjustRightInd/>
              <w:snapToGrid/>
              <w:spacing w:before="0" w:line="240" w:lineRule="auto"/>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框架的梁柱为刚接时，梁翼缘与柱宜为全焊透焊接</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梁腹板与柱可为高强度螺栓连接或双边角焊缝连接</w:t>
            </w:r>
            <w:r>
              <w:rPr>
                <w:rFonts w:hint="eastAsia" w:ascii="Times New Roman" w:hAnsi="Times New Roman" w:eastAsia="宋体" w:cs="Times New Roman"/>
                <w:color w:val="auto"/>
                <w:sz w:val="21"/>
                <w:szCs w:val="21"/>
                <w:lang w:eastAsia="zh-CN"/>
              </w:rPr>
              <w:t>。</w:t>
            </w:r>
          </w:p>
          <w:p w14:paraId="05813BCA">
            <w:pPr>
              <w:numPr>
                <w:ilvl w:val="0"/>
                <w:numId w:val="0"/>
              </w:numPr>
              <w:jc w:val="left"/>
              <w:rPr>
                <w:rFonts w:hint="default"/>
                <w:color w:val="auto"/>
                <w:lang w:val="en-US" w:eastAsia="zh-CN"/>
              </w:rPr>
            </w:pPr>
            <w:r>
              <w:rPr>
                <w:rFonts w:hint="default" w:ascii="Times New Roman" w:hAnsi="Times New Roman" w:cs="Times New Roman"/>
                <w:color w:val="auto"/>
                <w:lang w:val="en-US" w:eastAsia="zh-CN"/>
              </w:rPr>
              <w:t>2、</w:t>
            </w:r>
            <w:r>
              <w:rPr>
                <w:rFonts w:hint="default" w:ascii="Times New Roman" w:hAnsi="Times New Roman" w:eastAsia="宋体" w:cs="Times New Roman"/>
                <w:color w:val="auto"/>
                <w:sz w:val="21"/>
                <w:szCs w:val="21"/>
                <w:lang w:val="en-US" w:eastAsia="zh-CN"/>
              </w:rPr>
              <w:t>梁柱板件宽厚比限值满足下表要求：</w:t>
            </w:r>
            <w:r>
              <w:rPr>
                <w:rFonts w:ascii="宋体" w:hAnsi="宋体" w:eastAsia="宋体" w:cs="宋体"/>
                <w:color w:val="auto"/>
                <w:sz w:val="24"/>
                <w:szCs w:val="24"/>
              </w:rPr>
              <w:drawing>
                <wp:inline distT="0" distB="0" distL="114300" distR="114300">
                  <wp:extent cx="1707515" cy="956945"/>
                  <wp:effectExtent l="0" t="0" r="6985" b="14605"/>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23"/>
                          <a:stretch>
                            <a:fillRect/>
                          </a:stretch>
                        </pic:blipFill>
                        <pic:spPr>
                          <a:xfrm>
                            <a:off x="0" y="0"/>
                            <a:ext cx="1707515" cy="956945"/>
                          </a:xfrm>
                          <a:prstGeom prst="rect">
                            <a:avLst/>
                          </a:prstGeom>
                          <a:noFill/>
                          <a:ln w="9525">
                            <a:noFill/>
                          </a:ln>
                        </pic:spPr>
                      </pic:pic>
                    </a:graphicData>
                  </a:graphic>
                </wp:inline>
              </w:drawing>
            </w:r>
          </w:p>
        </w:tc>
        <w:tc>
          <w:tcPr>
            <w:tcW w:w="955" w:type="pct"/>
            <w:vAlign w:val="center"/>
          </w:tcPr>
          <w:p w14:paraId="634D978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r>
    </w:tbl>
    <w:p w14:paraId="406BD2D5">
      <w:pPr>
        <w:pStyle w:val="2"/>
        <w:jc w:val="both"/>
        <w:rPr>
          <w:rFonts w:hint="default"/>
          <w:color w:val="auto"/>
          <w:lang w:val="en-US" w:eastAsia="zh-CN"/>
        </w:rPr>
      </w:pPr>
    </w:p>
    <w:p w14:paraId="2AE511CF">
      <w:pPr>
        <w:pStyle w:val="4"/>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79AB006A-3C55-4971-AE5F-1815B7470457}"/>
  </w:font>
  <w:font w:name="黑体">
    <w:panose1 w:val="02010609060101010101"/>
    <w:charset w:val="86"/>
    <w:family w:val="auto"/>
    <w:pitch w:val="default"/>
    <w:sig w:usb0="800002BF" w:usb1="38CF7CFA" w:usb2="00000016" w:usb3="00000000" w:csb0="00040001" w:csb1="00000000"/>
    <w:embedRegular r:id="rId2" w:fontKey="{E66075BA-313C-4A49-BED5-F61EF216CB39}"/>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embedRegular r:id="rId3" w:fontKey="{040DD943-081F-42F9-97D6-1F2FA8091C6A}"/>
  </w:font>
  <w:font w:name="Calibri">
    <w:panose1 w:val="020F0502020204030204"/>
    <w:charset w:val="00"/>
    <w:family w:val="swiss"/>
    <w:pitch w:val="default"/>
    <w:sig w:usb0="E00002FF" w:usb1="4000ACFF" w:usb2="00000001"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等线">
    <w:altName w:val="微软雅黑"/>
    <w:panose1 w:val="02010600030101010101"/>
    <w:charset w:val="86"/>
    <w:family w:val="auto"/>
    <w:pitch w:val="default"/>
    <w:sig w:usb0="00000000" w:usb1="00000000"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方正公文小标宋">
    <w:panose1 w:val="02000500000000000000"/>
    <w:charset w:val="86"/>
    <w:family w:val="auto"/>
    <w:pitch w:val="default"/>
    <w:sig w:usb0="A00002BF" w:usb1="38CF7CFA" w:usb2="00000016" w:usb3="00000000" w:csb0="00040001" w:csb1="00000000"/>
    <w:embedRegular r:id="rId4" w:fontKey="{DCBA8626-F24E-4F6D-B5E5-E9C6D4E4D4BD}"/>
  </w:font>
  <w:font w:name="方正仿宋_GB2312">
    <w:panose1 w:val="02000000000000000000"/>
    <w:charset w:val="86"/>
    <w:family w:val="auto"/>
    <w:pitch w:val="default"/>
    <w:sig w:usb0="A00002BF" w:usb1="184F6CFA" w:usb2="00000012" w:usb3="00000000" w:csb0="00040001" w:csb1="00000000"/>
    <w:embedRegular r:id="rId5" w:fontKey="{5A4F6EF1-985B-4E0F-A4BB-A656A5C1E461}"/>
  </w:font>
  <w:font w:name="仿宋">
    <w:panose1 w:val="02010609060101010101"/>
    <w:charset w:val="86"/>
    <w:family w:val="modern"/>
    <w:pitch w:val="default"/>
    <w:sig w:usb0="800002BF" w:usb1="38CF7CFA" w:usb2="00000016" w:usb3="00000000" w:csb0="00040001" w:csb1="00000000"/>
    <w:embedRegular r:id="rId6" w:fontKey="{24B39B22-CF83-4E75-84E1-DE09A937BD54}"/>
  </w:font>
  <w:font w:name="Segoe UI Symbol">
    <w:panose1 w:val="020B0502040204020203"/>
    <w:charset w:val="00"/>
    <w:family w:val="swiss"/>
    <w:pitch w:val="default"/>
    <w:sig w:usb0="8000006F" w:usb1="1200FBEF" w:usb2="0064C000" w:usb3="00000002" w:csb0="00000001" w:csb1="40000000"/>
  </w:font>
  <w:font w:name="方正黑体_GBK">
    <w:altName w:val="微软雅黑"/>
    <w:panose1 w:val="00000000000000000000"/>
    <w:charset w:val="86"/>
    <w:family w:val="script"/>
    <w:pitch w:val="default"/>
    <w:sig w:usb0="00000000" w:usb1="00000000" w:usb2="00000010" w:usb3="00000000" w:csb0="00040000" w:csb1="00000000"/>
  </w:font>
  <w:font w:name="方正小标宋_GBK">
    <w:altName w:val="微软雅黑"/>
    <w:panose1 w:val="00000000000000000000"/>
    <w:charset w:val="86"/>
    <w:family w:val="script"/>
    <w:pitch w:val="default"/>
    <w:sig w:usb0="00000000" w:usb1="00000000" w:usb2="00000010" w:usb3="00000000" w:csb0="00040000" w:csb1="00000000"/>
  </w:font>
  <w:font w:name="等线 Light">
    <w:altName w:val="Segoe Print"/>
    <w:panose1 w:val="00000000000000000000"/>
    <w:charset w:val="00"/>
    <w:family w:val="auto"/>
    <w:pitch w:val="default"/>
    <w:sig w:usb0="00000000" w:usb1="00000000" w:usb2="00000000" w:usb3="00000000" w:csb0="00000000" w:csb1="00000000"/>
    <w:embedRegular r:id="rId7" w:fontKey="{DD46FA3E-D048-484B-ACB9-AB773CF1C595}"/>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80F3C52" w:usb2="00000016" w:usb3="00000000" w:csb0="0004001F" w:csb1="00000000"/>
  </w:font>
  <w:font w:name="等线">
    <w:altName w:val="微软雅黑"/>
    <w:panose1 w:val="00000000000000000000"/>
    <w:charset w:val="00"/>
    <w:family w:val="auto"/>
    <w:pitch w:val="default"/>
    <w:sig w:usb0="00000000" w:usb1="00000000" w:usb2="00000000" w:usb3="00000000" w:csb0="00000000" w:csb1="00000000"/>
    <w:embedRegular r:id="rId8" w:fontKey="{725AC9E6-A5D0-48E2-9D65-01FA9AB68598}"/>
  </w:font>
  <w:font w:name="楷体">
    <w:panose1 w:val="02010609060101010101"/>
    <w:charset w:val="86"/>
    <w:family w:val="modern"/>
    <w:pitch w:val="default"/>
    <w:sig w:usb0="800002BF" w:usb1="38CF7CFA" w:usb2="00000016" w:usb3="00000000" w:csb0="00040001" w:csb1="00000000"/>
    <w:embedRegular r:id="rId9" w:fontKey="{5F23CF94-DA58-4657-96A3-7114760BF2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C8FC11">
    <w:pPr>
      <w:pStyle w:val="13"/>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E5FB51">
                          <w:pPr>
                            <w:pStyle w:val="13"/>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3FE5FB51">
                    <w:pPr>
                      <w:pStyle w:val="13"/>
                    </w:pPr>
                    <w:r>
                      <w:fldChar w:fldCharType="begin"/>
                    </w:r>
                    <w:r>
                      <w:instrText xml:space="preserve"> PAGE  \* MERGEFORMAT </w:instrText>
                    </w:r>
                    <w:r>
                      <w:fldChar w:fldCharType="separate"/>
                    </w:r>
                    <w:r>
                      <w:t>52</w:t>
                    </w:r>
                    <w:r>
                      <w:fldChar w:fldCharType="end"/>
                    </w:r>
                  </w:p>
                </w:txbxContent>
              </v:textbox>
            </v:shape>
          </w:pict>
        </mc:Fallback>
      </mc:AlternateContent>
    </w:r>
  </w:p>
  <w:p w14:paraId="61584796">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33865A">
    <w:pPr>
      <w:pStyle w:val="13"/>
    </w:pPr>
    <w:r>
      <w:rPr>
        <w:sz w:val="18"/>
      </w:rPr>
      <mc:AlternateContent>
        <mc:Choice Requires="wps">
          <w:drawing>
            <wp:anchor distT="0" distB="0" distL="114300" distR="114300" simplePos="0" relativeHeight="251660288" behindDoc="0" locked="0" layoutInCell="1" allowOverlap="1">
              <wp:simplePos x="0" y="0"/>
              <wp:positionH relativeFrom="margin">
                <wp:posOffset>5039360</wp:posOffset>
              </wp:positionH>
              <wp:positionV relativeFrom="paragraph">
                <wp:posOffset>-104775</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E9D46B">
                          <w:pPr>
                            <w:pStyle w:val="13"/>
                            <w:rPr>
                              <w:rFonts w:hint="default" w:ascii="Times New Roman" w:hAnsi="Times New Roman" w:eastAsia="黑体" w:cs="Times New Roman"/>
                              <w:b w:val="0"/>
                              <w:bCs w:val="0"/>
                              <w:i/>
                              <w:iCs/>
                              <w:sz w:val="21"/>
                              <w:szCs w:val="21"/>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96.8pt;margin-top:-8.25pt;height:144pt;width:144pt;mso-position-horizontal-relative:margin;mso-wrap-style:none;z-index:251660288;mso-width-relative:page;mso-height-relative:page;" filled="f" stroked="f" coordsize="21600,21600" o:gfxdata="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iiT+m2gAAAAwBAAAPAAAAAAAAAAEAIAAAACIAAABkcnMvZG93bnJldi54&#10;bWxQSwECFAAUAAAACACHTuJAx5e1zjECAABhBAAADgAAAAAAAAABACAAAAApAQAAZHJzL2Uyb0Rv&#10;Yy54bWxQSwUGAAAAAAYABgBZAQAAzAUAAAAA&#10;">
              <v:fill on="f" focussize="0,0"/>
              <v:stroke on="f" weight="0.5pt"/>
              <v:imagedata o:title=""/>
              <o:lock v:ext="edit" aspectratio="f"/>
              <v:textbox inset="0mm,0mm,0mm,0mm" style="mso-fit-shape-to-text:t;">
                <w:txbxContent>
                  <w:p w14:paraId="0BE9D46B">
                    <w:pPr>
                      <w:pStyle w:val="13"/>
                      <w:rPr>
                        <w:rFonts w:hint="default" w:ascii="Times New Roman" w:hAnsi="Times New Roman" w:eastAsia="黑体" w:cs="Times New Roman"/>
                        <w:b w:val="0"/>
                        <w:bCs w:val="0"/>
                        <w:i/>
                        <w:iCs/>
                        <w:sz w:val="21"/>
                        <w:szCs w:val="21"/>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9C3588">
    <w:pPr>
      <w:pStyle w:val="13"/>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9677C1">
                          <w:pPr>
                            <w:pStyle w:val="1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6C9677C1">
                    <w:pPr>
                      <w:pStyle w:val="13"/>
                    </w:pPr>
                    <w:r>
                      <w:fldChar w:fldCharType="begin"/>
                    </w:r>
                    <w:r>
                      <w:instrText xml:space="preserve"> PAGE  \* MERGEFORMAT </w:instrText>
                    </w:r>
                    <w:r>
                      <w:fldChar w:fldCharType="separate"/>
                    </w:r>
                    <w:r>
                      <w:t>2</w:t>
                    </w:r>
                    <w:r>
                      <w:fldChar w:fldCharType="end"/>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2485DD">
                          <w:pPr>
                            <w:pStyle w:val="13"/>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6E2485DD">
                    <w:pPr>
                      <w:pStyle w:val="13"/>
                    </w:pPr>
                  </w:p>
                </w:txbxContent>
              </v:textbox>
            </v:shape>
          </w:pict>
        </mc:Fallback>
      </mc:AlternateContent>
    </w:r>
    <w:r>
      <w:rPr>
        <w:rFonts w:hint="eastAsia"/>
        <w:lang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DDAAFE">
    <w:pPr>
      <w:pStyle w:val="13"/>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8DFC84">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578DFC84">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A7026B">
    <w:pPr>
      <w:spacing w:before="0" w:after="0" w:line="240" w:lineRule="auto"/>
      <w:jc w:val="left"/>
    </w:pPr>
    <w:r>
      <w:rPr>
        <w:sz w:val="21"/>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5132D6">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005132D6">
                    <w:pPr>
                      <w:pStyle w:val="13"/>
                    </w:pPr>
                    <w:r>
                      <w:fldChar w:fldCharType="begin"/>
                    </w:r>
                    <w:r>
                      <w:instrText xml:space="preserve"> PAGE  \* MERGEFORMAT </w:instrText>
                    </w:r>
                    <w:r>
                      <w:fldChar w:fldCharType="separate"/>
                    </w:r>
                    <w:r>
                      <w:t>1</w:t>
                    </w:r>
                    <w:r>
                      <w:fldChar w:fldCharType="end"/>
                    </w: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EB124D">
                          <w:pPr>
                            <w:pStyle w:val="13"/>
                            <w:rPr>
                              <w:rFonts w:hint="default" w:eastAsiaTheme="minorEastAsia"/>
                              <w:lang w:val="en-US"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17EB124D">
                    <w:pPr>
                      <w:pStyle w:val="13"/>
                      <w:rPr>
                        <w:rFonts w:hint="default" w:eastAsiaTheme="minorEastAsia"/>
                        <w:lang w:val="en-US" w:eastAsia="zh-CN"/>
                      </w:rPr>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C8F231">
    <w:pPr>
      <w:keepNext w:val="0"/>
      <w:keepLines w:val="0"/>
      <w:pageBreakBefore w:val="0"/>
      <w:widowControl w:val="0"/>
      <w:kinsoku/>
      <w:wordWrap/>
      <w:overflowPunct/>
      <w:topLinePunct w:val="0"/>
      <w:bidi w:val="0"/>
      <w:adjustRightInd/>
      <w:snapToGrid w:val="0"/>
      <w:spacing w:before="120" w:after="120" w:line="240" w:lineRule="auto"/>
      <w:jc w:val="left"/>
      <w:textAlignment w:val="auto"/>
    </w:pPr>
    <w:r>
      <w:rPr>
        <w:sz w:val="21"/>
      </w:rPr>
      <mc:AlternateContent>
        <mc:Choice Requires="wps">
          <w:drawing>
            <wp:anchor distT="0" distB="0" distL="114300" distR="114300" simplePos="0" relativeHeight="251661312" behindDoc="0" locked="0" layoutInCell="1" allowOverlap="1">
              <wp:simplePos x="0" y="0"/>
              <wp:positionH relativeFrom="margin">
                <wp:posOffset>2566670</wp:posOffset>
              </wp:positionH>
              <wp:positionV relativeFrom="paragraph">
                <wp:posOffset>0</wp:posOffset>
              </wp:positionV>
              <wp:extent cx="140970" cy="32131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40970" cy="3213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CC16C5">
                          <w:pPr>
                            <w:keepNext w:val="0"/>
                            <w:keepLines w:val="0"/>
                            <w:pageBreakBefore w:val="0"/>
                            <w:widowControl w:val="0"/>
                            <w:kinsoku/>
                            <w:wordWrap/>
                            <w:overflowPunct/>
                            <w:topLinePunct w:val="0"/>
                            <w:bidi w:val="0"/>
                            <w:adjustRightInd/>
                            <w:snapToGrid w:val="0"/>
                            <w:spacing w:before="120" w:after="120" w:line="240" w:lineRule="auto"/>
                            <w:jc w:val="left"/>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02.1pt;margin-top:0pt;height:25.3pt;width:11.1pt;mso-position-horizontal-relative:margin;z-index:251661312;mso-width-relative:page;mso-height-relative:page;" filled="f" stroked="f" coordsize="21600,21600" o:gfxdata="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YO1PnVAAAABwEAAA8AAAAAAAAAAQAgAAAAIgAAAGRycy9kb3ducmV2Lnht&#10;bFBLAQIUABQAAAAIAIdO4kAnBFlHNQIAAGMEAAAOAAAAAAAAAAEAIAAAACQBAABkcnMvZTJvRG9j&#10;LnhtbFBLBQYAAAAABgAGAFkBAADLBQAAAAA=&#10;">
              <v:fill on="f" focussize="0,0"/>
              <v:stroke on="f" weight="0.5pt"/>
              <v:imagedata o:title=""/>
              <o:lock v:ext="edit" aspectratio="f"/>
              <v:textbox inset="0mm,0mm,0mm,0mm">
                <w:txbxContent>
                  <w:p w14:paraId="5ECC16C5">
                    <w:pPr>
                      <w:keepNext w:val="0"/>
                      <w:keepLines w:val="0"/>
                      <w:pageBreakBefore w:val="0"/>
                      <w:widowControl w:val="0"/>
                      <w:kinsoku/>
                      <w:wordWrap/>
                      <w:overflowPunct/>
                      <w:topLinePunct w:val="0"/>
                      <w:bidi w:val="0"/>
                      <w:adjustRightInd/>
                      <w:snapToGrid w:val="0"/>
                      <w:spacing w:before="120" w:after="120" w:line="240" w:lineRule="auto"/>
                      <w:jc w:val="left"/>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FA1463">
    <w:pPr>
      <w:spacing w:before="120" w:after="120" w:line="360" w:lineRule="auto"/>
      <w:jc w:val="both"/>
      <w:rPr>
        <w:rFonts w:ascii="Times New Roman" w:hAnsi="Times New Roman" w:eastAsia="宋体" w:cs="Times New Roman"/>
        <w:kern w:val="2"/>
        <w:sz w:val="18"/>
        <w:szCs w:val="18"/>
        <w:u w:val="single"/>
        <w:lang w:val="en-US" w:eastAsia="zh-CN" w:bidi="ar-S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2A719A">
    <w:pPr>
      <w:spacing w:before="0" w:after="0" w:line="240" w:lineRule="auto"/>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2AC84A">
    <w:pPr>
      <w:pStyle w:val="14"/>
      <w:spacing w:before="0" w:after="0" w:line="240" w:lineRule="auto"/>
      <w:jc w:val="left"/>
      <w:rPr>
        <w:rFonts w:ascii="Times New Roman" w:hAnsi="Times New Roman" w:eastAsia="宋体" w:cs="Times New Roman"/>
        <w:kern w:val="2"/>
        <w:sz w:val="18"/>
        <w:szCs w:val="18"/>
        <w:u w:val="single"/>
        <w:lang w:val="en-US" w:eastAsia="zh-CN" w:bidi="ar-S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6D3D53">
    <w:pPr>
      <w:spacing w:before="120" w:after="120" w:line="360" w:lineRule="auto"/>
      <w:jc w:val="center"/>
      <w:rPr>
        <w:rFonts w:ascii="Times New Roman" w:hAnsi="Times New Roman" w:eastAsia="宋体" w:cs="Times New Roman"/>
        <w:kern w:val="2"/>
        <w:sz w:val="18"/>
        <w:szCs w:val="18"/>
        <w:u w:val="single"/>
        <w:lang w:val="en-US" w:eastAsia="zh-CN" w:bidi="ar-SA"/>
      </w:rPr>
    </w:pPr>
    <w:r>
      <w:rPr>
        <w:rFonts w:hint="eastAsia"/>
        <w:kern w:val="0"/>
        <w:u w:val="single"/>
      </w:rPr>
      <w:t xml:space="preserve">xxx车间结构可靠性鉴定及抗震鉴定 </w:t>
    </w:r>
    <w:r>
      <w:rPr>
        <w:kern w:val="0"/>
        <w:u w:val="single"/>
      </w:rPr>
      <w:t xml:space="preserve">                     </w:t>
    </w:r>
    <w:r>
      <w:rPr>
        <w:rFonts w:hint="eastAsia"/>
        <w:kern w:val="0"/>
        <w:u w:val="single"/>
        <w:lang w:val="en-US" w:eastAsia="zh-CN"/>
      </w:rPr>
      <w:t xml:space="preserve">   </w:t>
    </w:r>
    <w:r>
      <w:rPr>
        <w:rFonts w:hint="eastAsia"/>
        <w:u w:val="single"/>
      </w:rPr>
      <w:t>报告编号：xxxx-xx-xxxx-xxxx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C43990"/>
    <w:multiLevelType w:val="singleLevel"/>
    <w:tmpl w:val="8DC43990"/>
    <w:lvl w:ilvl="0" w:tentative="0">
      <w:start w:val="7"/>
      <w:numFmt w:val="decimal"/>
      <w:suff w:val="nothing"/>
      <w:lvlText w:val="%1、"/>
      <w:lvlJc w:val="left"/>
    </w:lvl>
  </w:abstractNum>
  <w:abstractNum w:abstractNumId="1">
    <w:nsid w:val="9794D869"/>
    <w:multiLevelType w:val="singleLevel"/>
    <w:tmpl w:val="9794D869"/>
    <w:lvl w:ilvl="0" w:tentative="0">
      <w:start w:val="1"/>
      <w:numFmt w:val="decimal"/>
      <w:suff w:val="nothing"/>
      <w:lvlText w:val="%1、"/>
      <w:lvlJc w:val="left"/>
    </w:lvl>
  </w:abstractNum>
  <w:abstractNum w:abstractNumId="2">
    <w:nsid w:val="B39CEF5E"/>
    <w:multiLevelType w:val="singleLevel"/>
    <w:tmpl w:val="B39CEF5E"/>
    <w:lvl w:ilvl="0" w:tentative="0">
      <w:start w:val="1"/>
      <w:numFmt w:val="decimal"/>
      <w:suff w:val="nothing"/>
      <w:lvlText w:val="%1、"/>
      <w:lvlJc w:val="left"/>
    </w:lvl>
  </w:abstractNum>
  <w:abstractNum w:abstractNumId="3">
    <w:nsid w:val="CB71C323"/>
    <w:multiLevelType w:val="singleLevel"/>
    <w:tmpl w:val="CB71C323"/>
    <w:lvl w:ilvl="0" w:tentative="0">
      <w:start w:val="1"/>
      <w:numFmt w:val="decimal"/>
      <w:suff w:val="nothing"/>
      <w:lvlText w:val="%1、"/>
      <w:lvlJc w:val="left"/>
    </w:lvl>
  </w:abstractNum>
  <w:abstractNum w:abstractNumId="4">
    <w:nsid w:val="DD51F07F"/>
    <w:multiLevelType w:val="singleLevel"/>
    <w:tmpl w:val="DD51F07F"/>
    <w:lvl w:ilvl="0" w:tentative="0">
      <w:start w:val="2"/>
      <w:numFmt w:val="decimal"/>
      <w:suff w:val="space"/>
      <w:lvlText w:val="%1."/>
      <w:lvlJc w:val="left"/>
    </w:lvl>
  </w:abstractNum>
  <w:abstractNum w:abstractNumId="5">
    <w:nsid w:val="E51D1A8D"/>
    <w:multiLevelType w:val="singleLevel"/>
    <w:tmpl w:val="E51D1A8D"/>
    <w:lvl w:ilvl="0" w:tentative="0">
      <w:start w:val="3"/>
      <w:numFmt w:val="decimal"/>
      <w:suff w:val="nothing"/>
      <w:lvlText w:val="%1、"/>
      <w:lvlJc w:val="left"/>
    </w:lvl>
  </w:abstractNum>
  <w:abstractNum w:abstractNumId="6">
    <w:nsid w:val="02A51EAA"/>
    <w:multiLevelType w:val="multilevel"/>
    <w:tmpl w:val="02A51EAA"/>
    <w:lvl w:ilvl="0" w:tentative="0">
      <w:start w:val="0"/>
      <w:numFmt w:val="bullet"/>
      <w:lvlText w:val="□"/>
      <w:lvlJc w:val="left"/>
      <w:pPr>
        <w:ind w:left="360" w:hanging="360"/>
      </w:pPr>
      <w:rPr>
        <w:rFonts w:hint="eastAsia" w:ascii="宋体" w:hAnsi="宋体" w:eastAsia="宋体" w:cstheme="minorBidi"/>
        <w:u w:val="none"/>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44C50F90"/>
    <w:multiLevelType w:val="multilevel"/>
    <w:tmpl w:val="44C50F90"/>
    <w:lvl w:ilvl="0" w:tentative="0">
      <w:start w:val="1"/>
      <w:numFmt w:val="lowerLetter"/>
      <w:pStyle w:val="46"/>
      <w:lvlText w:val="%1)"/>
      <w:lvlJc w:val="left"/>
      <w:pPr>
        <w:tabs>
          <w:tab w:val="left" w:pos="840"/>
        </w:tabs>
        <w:ind w:left="839" w:hanging="419"/>
      </w:pPr>
      <w:rPr>
        <w:rFonts w:hint="eastAsia" w:ascii="宋体" w:eastAsia="宋体"/>
        <w:b w:val="0"/>
        <w:i w:val="0"/>
        <w:sz w:val="21"/>
        <w:szCs w:val="21"/>
      </w:rPr>
    </w:lvl>
    <w:lvl w:ilvl="1" w:tentative="0">
      <w:start w:val="1"/>
      <w:numFmt w:val="decimal"/>
      <w:lvlText w:val="%2)"/>
      <w:lvlJc w:val="left"/>
      <w:pPr>
        <w:tabs>
          <w:tab w:val="left" w:pos="1260"/>
        </w:tabs>
        <w:ind w:left="1259" w:hanging="419"/>
      </w:pPr>
      <w:rPr>
        <w:rFonts w:hint="eastAsia"/>
      </w:rPr>
    </w:lvl>
    <w:lvl w:ilvl="2" w:tentative="0">
      <w:start w:val="1"/>
      <w:numFmt w:val="decimal"/>
      <w:lvlText w:val="(%3)"/>
      <w:lvlJc w:val="left"/>
      <w:pPr>
        <w:tabs>
          <w:tab w:val="left" w:pos="0"/>
        </w:tabs>
        <w:ind w:left="1679" w:hanging="420"/>
      </w:pPr>
      <w:rPr>
        <w:rFonts w:hint="eastAsia" w:ascii="宋体" w:eastAsia="宋体"/>
        <w:b w:val="0"/>
        <w:i w:val="0"/>
        <w:sz w:val="21"/>
        <w:szCs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8">
    <w:nsid w:val="4E676483"/>
    <w:multiLevelType w:val="singleLevel"/>
    <w:tmpl w:val="4E676483"/>
    <w:lvl w:ilvl="0" w:tentative="0">
      <w:start w:val="1"/>
      <w:numFmt w:val="decimal"/>
      <w:suff w:val="nothing"/>
      <w:lvlText w:val="%1、"/>
      <w:lvlJc w:val="left"/>
    </w:lvl>
  </w:abstractNum>
  <w:abstractNum w:abstractNumId="9">
    <w:nsid w:val="51419BB6"/>
    <w:multiLevelType w:val="singleLevel"/>
    <w:tmpl w:val="51419BB6"/>
    <w:lvl w:ilvl="0" w:tentative="0">
      <w:start w:val="1"/>
      <w:numFmt w:val="decimal"/>
      <w:suff w:val="nothing"/>
      <w:lvlText w:val="%1、"/>
      <w:lvlJc w:val="left"/>
    </w:lvl>
  </w:abstractNum>
  <w:abstractNum w:abstractNumId="10">
    <w:nsid w:val="5955460B"/>
    <w:multiLevelType w:val="singleLevel"/>
    <w:tmpl w:val="5955460B"/>
    <w:lvl w:ilvl="0" w:tentative="0">
      <w:start w:val="1"/>
      <w:numFmt w:val="decimal"/>
      <w:suff w:val="nothing"/>
      <w:lvlText w:val="%1、"/>
      <w:lvlJc w:val="left"/>
    </w:lvl>
  </w:abstractNum>
  <w:num w:numId="1">
    <w:abstractNumId w:val="7"/>
  </w:num>
  <w:num w:numId="2">
    <w:abstractNumId w:val="6"/>
  </w:num>
  <w:num w:numId="3">
    <w:abstractNumId w:val="4"/>
  </w:num>
  <w:num w:numId="4">
    <w:abstractNumId w:val="5"/>
  </w:num>
  <w:num w:numId="5">
    <w:abstractNumId w:val="0"/>
  </w:num>
  <w:num w:numId="6">
    <w:abstractNumId w:val="9"/>
  </w:num>
  <w:num w:numId="7">
    <w:abstractNumId w:val="2"/>
  </w:num>
  <w:num w:numId="8">
    <w:abstractNumId w:val="1"/>
  </w:num>
  <w:num w:numId="9">
    <w:abstractNumId w:val="3"/>
  </w:num>
  <w:num w:numId="10">
    <w:abstractNumId w:val="1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lkY2NlNTYzZTJlYmFiMDczZDA4YzBlYzJjMDUyNTgifQ=="/>
  </w:docVars>
  <w:rsids>
    <w:rsidRoot w:val="001E1791"/>
    <w:rsid w:val="00001944"/>
    <w:rsid w:val="000074A5"/>
    <w:rsid w:val="00031AAC"/>
    <w:rsid w:val="00043C39"/>
    <w:rsid w:val="00087949"/>
    <w:rsid w:val="00087D94"/>
    <w:rsid w:val="00092F7F"/>
    <w:rsid w:val="000A5219"/>
    <w:rsid w:val="000B6AE9"/>
    <w:rsid w:val="000C7BAE"/>
    <w:rsid w:val="000E3E0E"/>
    <w:rsid w:val="000F75DA"/>
    <w:rsid w:val="00103AAB"/>
    <w:rsid w:val="001317CC"/>
    <w:rsid w:val="00132761"/>
    <w:rsid w:val="00134C09"/>
    <w:rsid w:val="001534AE"/>
    <w:rsid w:val="00165D90"/>
    <w:rsid w:val="00176B56"/>
    <w:rsid w:val="00183735"/>
    <w:rsid w:val="00183F9B"/>
    <w:rsid w:val="001A1331"/>
    <w:rsid w:val="001D5D07"/>
    <w:rsid w:val="001E0AB5"/>
    <w:rsid w:val="001E1791"/>
    <w:rsid w:val="001E3890"/>
    <w:rsid w:val="001F107F"/>
    <w:rsid w:val="001F1B7F"/>
    <w:rsid w:val="00204634"/>
    <w:rsid w:val="002347BF"/>
    <w:rsid w:val="00236074"/>
    <w:rsid w:val="00241024"/>
    <w:rsid w:val="00245532"/>
    <w:rsid w:val="00260A8C"/>
    <w:rsid w:val="00265965"/>
    <w:rsid w:val="002739F9"/>
    <w:rsid w:val="0027439D"/>
    <w:rsid w:val="0027505C"/>
    <w:rsid w:val="00281C58"/>
    <w:rsid w:val="002A3E3A"/>
    <w:rsid w:val="002A48FA"/>
    <w:rsid w:val="002A5573"/>
    <w:rsid w:val="002B0322"/>
    <w:rsid w:val="002B4016"/>
    <w:rsid w:val="002B491A"/>
    <w:rsid w:val="002C7011"/>
    <w:rsid w:val="002D3DCE"/>
    <w:rsid w:val="002E5A7F"/>
    <w:rsid w:val="002F2775"/>
    <w:rsid w:val="002F3922"/>
    <w:rsid w:val="002F44BE"/>
    <w:rsid w:val="002F61FD"/>
    <w:rsid w:val="00310952"/>
    <w:rsid w:val="00315E43"/>
    <w:rsid w:val="00322A39"/>
    <w:rsid w:val="00335ECC"/>
    <w:rsid w:val="00365EC0"/>
    <w:rsid w:val="00390DF7"/>
    <w:rsid w:val="00395EA9"/>
    <w:rsid w:val="00396A7B"/>
    <w:rsid w:val="003A52AE"/>
    <w:rsid w:val="003B4338"/>
    <w:rsid w:val="003C74C6"/>
    <w:rsid w:val="003D2EDD"/>
    <w:rsid w:val="003D3727"/>
    <w:rsid w:val="003E3F6C"/>
    <w:rsid w:val="003E5D61"/>
    <w:rsid w:val="003F5A76"/>
    <w:rsid w:val="0040607E"/>
    <w:rsid w:val="00407400"/>
    <w:rsid w:val="00416BDF"/>
    <w:rsid w:val="00416C00"/>
    <w:rsid w:val="00426C83"/>
    <w:rsid w:val="00432942"/>
    <w:rsid w:val="0044380B"/>
    <w:rsid w:val="00451DD7"/>
    <w:rsid w:val="00462DD8"/>
    <w:rsid w:val="00463370"/>
    <w:rsid w:val="00463A67"/>
    <w:rsid w:val="00471811"/>
    <w:rsid w:val="00480C49"/>
    <w:rsid w:val="00491356"/>
    <w:rsid w:val="004A6A52"/>
    <w:rsid w:val="004B2306"/>
    <w:rsid w:val="004C1569"/>
    <w:rsid w:val="004C2C53"/>
    <w:rsid w:val="004C63C2"/>
    <w:rsid w:val="004D4F9B"/>
    <w:rsid w:val="004E1F51"/>
    <w:rsid w:val="004F7DE4"/>
    <w:rsid w:val="005008C4"/>
    <w:rsid w:val="005019F4"/>
    <w:rsid w:val="00503647"/>
    <w:rsid w:val="00515890"/>
    <w:rsid w:val="005435D9"/>
    <w:rsid w:val="00544ECE"/>
    <w:rsid w:val="00562BDD"/>
    <w:rsid w:val="005665D0"/>
    <w:rsid w:val="0057644B"/>
    <w:rsid w:val="00576CFD"/>
    <w:rsid w:val="005827A3"/>
    <w:rsid w:val="005870CF"/>
    <w:rsid w:val="00587E75"/>
    <w:rsid w:val="00590086"/>
    <w:rsid w:val="005962B8"/>
    <w:rsid w:val="005A5648"/>
    <w:rsid w:val="005E0549"/>
    <w:rsid w:val="005E2F91"/>
    <w:rsid w:val="005F0DDA"/>
    <w:rsid w:val="005F3DED"/>
    <w:rsid w:val="006112ED"/>
    <w:rsid w:val="00612DD8"/>
    <w:rsid w:val="006142EE"/>
    <w:rsid w:val="0061633E"/>
    <w:rsid w:val="0062794F"/>
    <w:rsid w:val="00630873"/>
    <w:rsid w:val="00641627"/>
    <w:rsid w:val="006478C8"/>
    <w:rsid w:val="00652A26"/>
    <w:rsid w:val="006606D3"/>
    <w:rsid w:val="00680CA0"/>
    <w:rsid w:val="00686277"/>
    <w:rsid w:val="006A08AC"/>
    <w:rsid w:val="006A637A"/>
    <w:rsid w:val="006B17C3"/>
    <w:rsid w:val="006B2B44"/>
    <w:rsid w:val="006B2D06"/>
    <w:rsid w:val="006B4108"/>
    <w:rsid w:val="006B7308"/>
    <w:rsid w:val="006C422C"/>
    <w:rsid w:val="006C63EE"/>
    <w:rsid w:val="006D2515"/>
    <w:rsid w:val="006D2BC2"/>
    <w:rsid w:val="006D39D8"/>
    <w:rsid w:val="006D3BC0"/>
    <w:rsid w:val="006E777D"/>
    <w:rsid w:val="006F2FAA"/>
    <w:rsid w:val="006F62B9"/>
    <w:rsid w:val="00711F1A"/>
    <w:rsid w:val="00717538"/>
    <w:rsid w:val="00725141"/>
    <w:rsid w:val="00737772"/>
    <w:rsid w:val="007503F8"/>
    <w:rsid w:val="007513B2"/>
    <w:rsid w:val="007769E9"/>
    <w:rsid w:val="00790D3C"/>
    <w:rsid w:val="00790DB8"/>
    <w:rsid w:val="007D0498"/>
    <w:rsid w:val="007D1C00"/>
    <w:rsid w:val="007F5E37"/>
    <w:rsid w:val="0082241B"/>
    <w:rsid w:val="008260B4"/>
    <w:rsid w:val="00826573"/>
    <w:rsid w:val="008307CA"/>
    <w:rsid w:val="008319BE"/>
    <w:rsid w:val="0083311F"/>
    <w:rsid w:val="00833FC3"/>
    <w:rsid w:val="00834F74"/>
    <w:rsid w:val="00835F54"/>
    <w:rsid w:val="008478A1"/>
    <w:rsid w:val="008479B6"/>
    <w:rsid w:val="00854733"/>
    <w:rsid w:val="0086620F"/>
    <w:rsid w:val="008675D3"/>
    <w:rsid w:val="00876B09"/>
    <w:rsid w:val="0088222B"/>
    <w:rsid w:val="00893BD2"/>
    <w:rsid w:val="008962FB"/>
    <w:rsid w:val="00896462"/>
    <w:rsid w:val="00896981"/>
    <w:rsid w:val="008A594D"/>
    <w:rsid w:val="008C142C"/>
    <w:rsid w:val="008C314E"/>
    <w:rsid w:val="008C353D"/>
    <w:rsid w:val="008D2521"/>
    <w:rsid w:val="008D2B2E"/>
    <w:rsid w:val="008D770F"/>
    <w:rsid w:val="008F662A"/>
    <w:rsid w:val="008F7D36"/>
    <w:rsid w:val="009007B7"/>
    <w:rsid w:val="009059F4"/>
    <w:rsid w:val="00914CE1"/>
    <w:rsid w:val="00915594"/>
    <w:rsid w:val="00920910"/>
    <w:rsid w:val="0093730C"/>
    <w:rsid w:val="00946AC3"/>
    <w:rsid w:val="009552AE"/>
    <w:rsid w:val="00963DA9"/>
    <w:rsid w:val="00964BE7"/>
    <w:rsid w:val="00966DF3"/>
    <w:rsid w:val="00967AD2"/>
    <w:rsid w:val="00973ED5"/>
    <w:rsid w:val="00975093"/>
    <w:rsid w:val="00977713"/>
    <w:rsid w:val="009803D0"/>
    <w:rsid w:val="009933B4"/>
    <w:rsid w:val="009A6C95"/>
    <w:rsid w:val="009B13E4"/>
    <w:rsid w:val="009B2F8A"/>
    <w:rsid w:val="009B5B1E"/>
    <w:rsid w:val="009B68E7"/>
    <w:rsid w:val="009C5D33"/>
    <w:rsid w:val="009C7E90"/>
    <w:rsid w:val="009D55C7"/>
    <w:rsid w:val="009E0FE3"/>
    <w:rsid w:val="009E1E51"/>
    <w:rsid w:val="009E1FB3"/>
    <w:rsid w:val="009E30A0"/>
    <w:rsid w:val="00A13D99"/>
    <w:rsid w:val="00A14B61"/>
    <w:rsid w:val="00A20E05"/>
    <w:rsid w:val="00A210BB"/>
    <w:rsid w:val="00A24F58"/>
    <w:rsid w:val="00A33373"/>
    <w:rsid w:val="00A37BFD"/>
    <w:rsid w:val="00A45CC0"/>
    <w:rsid w:val="00A75EF0"/>
    <w:rsid w:val="00A76CCF"/>
    <w:rsid w:val="00A84666"/>
    <w:rsid w:val="00A976CE"/>
    <w:rsid w:val="00AA2FF4"/>
    <w:rsid w:val="00AA3B1E"/>
    <w:rsid w:val="00AA55AF"/>
    <w:rsid w:val="00AB33B2"/>
    <w:rsid w:val="00AE3D47"/>
    <w:rsid w:val="00AE7238"/>
    <w:rsid w:val="00B0167C"/>
    <w:rsid w:val="00B03367"/>
    <w:rsid w:val="00B16AA5"/>
    <w:rsid w:val="00B17C0B"/>
    <w:rsid w:val="00B238FE"/>
    <w:rsid w:val="00B30D9C"/>
    <w:rsid w:val="00B312F1"/>
    <w:rsid w:val="00B4294A"/>
    <w:rsid w:val="00B4615E"/>
    <w:rsid w:val="00B71E17"/>
    <w:rsid w:val="00B82AE7"/>
    <w:rsid w:val="00B936FD"/>
    <w:rsid w:val="00B9408E"/>
    <w:rsid w:val="00BA4964"/>
    <w:rsid w:val="00BA5CCC"/>
    <w:rsid w:val="00BA657A"/>
    <w:rsid w:val="00BA7422"/>
    <w:rsid w:val="00BD1374"/>
    <w:rsid w:val="00BD16BF"/>
    <w:rsid w:val="00BD1944"/>
    <w:rsid w:val="00BD3763"/>
    <w:rsid w:val="00BD4480"/>
    <w:rsid w:val="00BD6699"/>
    <w:rsid w:val="00BE0719"/>
    <w:rsid w:val="00BE4FB4"/>
    <w:rsid w:val="00BF3B94"/>
    <w:rsid w:val="00C053CA"/>
    <w:rsid w:val="00C15B81"/>
    <w:rsid w:val="00C34B62"/>
    <w:rsid w:val="00C34CCC"/>
    <w:rsid w:val="00C5207F"/>
    <w:rsid w:val="00C64CB6"/>
    <w:rsid w:val="00C74794"/>
    <w:rsid w:val="00C80483"/>
    <w:rsid w:val="00C84DC3"/>
    <w:rsid w:val="00C85E24"/>
    <w:rsid w:val="00C9426F"/>
    <w:rsid w:val="00CA0C11"/>
    <w:rsid w:val="00CA1552"/>
    <w:rsid w:val="00CA6943"/>
    <w:rsid w:val="00CB2864"/>
    <w:rsid w:val="00CB4DA2"/>
    <w:rsid w:val="00CD6BB0"/>
    <w:rsid w:val="00CF12D4"/>
    <w:rsid w:val="00D27536"/>
    <w:rsid w:val="00D2774C"/>
    <w:rsid w:val="00D32825"/>
    <w:rsid w:val="00D3459B"/>
    <w:rsid w:val="00D407EF"/>
    <w:rsid w:val="00D42D8A"/>
    <w:rsid w:val="00D44054"/>
    <w:rsid w:val="00D66E5E"/>
    <w:rsid w:val="00D71743"/>
    <w:rsid w:val="00D74022"/>
    <w:rsid w:val="00D74C1A"/>
    <w:rsid w:val="00D84A6A"/>
    <w:rsid w:val="00D954E7"/>
    <w:rsid w:val="00D97D18"/>
    <w:rsid w:val="00DA4752"/>
    <w:rsid w:val="00DA540D"/>
    <w:rsid w:val="00DB0948"/>
    <w:rsid w:val="00DB1002"/>
    <w:rsid w:val="00DC30DB"/>
    <w:rsid w:val="00DC3F93"/>
    <w:rsid w:val="00DD0910"/>
    <w:rsid w:val="00DD7DF0"/>
    <w:rsid w:val="00DE3046"/>
    <w:rsid w:val="00E064EB"/>
    <w:rsid w:val="00E4312D"/>
    <w:rsid w:val="00E45EA3"/>
    <w:rsid w:val="00E56CCB"/>
    <w:rsid w:val="00E64F94"/>
    <w:rsid w:val="00E65C0B"/>
    <w:rsid w:val="00E877BF"/>
    <w:rsid w:val="00EA04B8"/>
    <w:rsid w:val="00EB03E7"/>
    <w:rsid w:val="00EB1749"/>
    <w:rsid w:val="00ED130A"/>
    <w:rsid w:val="00EF0709"/>
    <w:rsid w:val="00EF4F2E"/>
    <w:rsid w:val="00F05AF2"/>
    <w:rsid w:val="00F06DEC"/>
    <w:rsid w:val="00F12823"/>
    <w:rsid w:val="00F17D15"/>
    <w:rsid w:val="00F207FD"/>
    <w:rsid w:val="00F236FE"/>
    <w:rsid w:val="00F33138"/>
    <w:rsid w:val="00F3719F"/>
    <w:rsid w:val="00F37FCF"/>
    <w:rsid w:val="00F53330"/>
    <w:rsid w:val="00F74F65"/>
    <w:rsid w:val="00F903B7"/>
    <w:rsid w:val="00F93849"/>
    <w:rsid w:val="00FC6761"/>
    <w:rsid w:val="00FC7F09"/>
    <w:rsid w:val="00FD62F0"/>
    <w:rsid w:val="00FF5484"/>
    <w:rsid w:val="00FF7017"/>
    <w:rsid w:val="017D2DF5"/>
    <w:rsid w:val="01EF2F2C"/>
    <w:rsid w:val="02EB2126"/>
    <w:rsid w:val="053718C6"/>
    <w:rsid w:val="05481882"/>
    <w:rsid w:val="069F3BC7"/>
    <w:rsid w:val="0714687C"/>
    <w:rsid w:val="0747172B"/>
    <w:rsid w:val="0748675D"/>
    <w:rsid w:val="07B05960"/>
    <w:rsid w:val="08962829"/>
    <w:rsid w:val="08B87980"/>
    <w:rsid w:val="08EF089B"/>
    <w:rsid w:val="098A1A44"/>
    <w:rsid w:val="09AD14BC"/>
    <w:rsid w:val="0A4703B1"/>
    <w:rsid w:val="0A6842D0"/>
    <w:rsid w:val="0AD656DD"/>
    <w:rsid w:val="0AEE145A"/>
    <w:rsid w:val="0B462863"/>
    <w:rsid w:val="0E192CD2"/>
    <w:rsid w:val="0E24462C"/>
    <w:rsid w:val="0E5E4367"/>
    <w:rsid w:val="0EEF25BC"/>
    <w:rsid w:val="10123CEB"/>
    <w:rsid w:val="1065378B"/>
    <w:rsid w:val="116F3C82"/>
    <w:rsid w:val="120D40DA"/>
    <w:rsid w:val="13B30CB1"/>
    <w:rsid w:val="14244083"/>
    <w:rsid w:val="145301FE"/>
    <w:rsid w:val="14531B4D"/>
    <w:rsid w:val="14885C1E"/>
    <w:rsid w:val="15E56DB2"/>
    <w:rsid w:val="162C6AF9"/>
    <w:rsid w:val="16337F6C"/>
    <w:rsid w:val="163D3B23"/>
    <w:rsid w:val="1810590F"/>
    <w:rsid w:val="19151AC7"/>
    <w:rsid w:val="1A3348FA"/>
    <w:rsid w:val="1A3B0898"/>
    <w:rsid w:val="1D2D4D11"/>
    <w:rsid w:val="1D4B4F7C"/>
    <w:rsid w:val="1E0A61A7"/>
    <w:rsid w:val="1E362521"/>
    <w:rsid w:val="1E376B1E"/>
    <w:rsid w:val="1E8559F3"/>
    <w:rsid w:val="1F9134F9"/>
    <w:rsid w:val="200A3A07"/>
    <w:rsid w:val="204F3B10"/>
    <w:rsid w:val="207812B9"/>
    <w:rsid w:val="20D164A8"/>
    <w:rsid w:val="21955736"/>
    <w:rsid w:val="23101DF8"/>
    <w:rsid w:val="243A68A0"/>
    <w:rsid w:val="24775646"/>
    <w:rsid w:val="249E3383"/>
    <w:rsid w:val="25090731"/>
    <w:rsid w:val="259721E1"/>
    <w:rsid w:val="26D0213E"/>
    <w:rsid w:val="27B422B7"/>
    <w:rsid w:val="28E868B0"/>
    <w:rsid w:val="2A666952"/>
    <w:rsid w:val="2B424A89"/>
    <w:rsid w:val="2BAA31B3"/>
    <w:rsid w:val="2C803C2F"/>
    <w:rsid w:val="2CB25CAD"/>
    <w:rsid w:val="2CBF5B79"/>
    <w:rsid w:val="2D58545F"/>
    <w:rsid w:val="2E0506BD"/>
    <w:rsid w:val="2EC62ECA"/>
    <w:rsid w:val="2F5B2950"/>
    <w:rsid w:val="2F7E420F"/>
    <w:rsid w:val="2FAC2100"/>
    <w:rsid w:val="30332805"/>
    <w:rsid w:val="303C64C4"/>
    <w:rsid w:val="31D21348"/>
    <w:rsid w:val="320136B5"/>
    <w:rsid w:val="32D952BE"/>
    <w:rsid w:val="33D53ED4"/>
    <w:rsid w:val="3569526C"/>
    <w:rsid w:val="363C6AF9"/>
    <w:rsid w:val="365E3DD3"/>
    <w:rsid w:val="36C02C1A"/>
    <w:rsid w:val="36CD7A02"/>
    <w:rsid w:val="36FB6197"/>
    <w:rsid w:val="37CD285C"/>
    <w:rsid w:val="383C09C6"/>
    <w:rsid w:val="38682D6E"/>
    <w:rsid w:val="39493E32"/>
    <w:rsid w:val="3BC62A80"/>
    <w:rsid w:val="3CCE36D3"/>
    <w:rsid w:val="3D106945"/>
    <w:rsid w:val="3D5567B2"/>
    <w:rsid w:val="3F3A7A87"/>
    <w:rsid w:val="3FBC70A9"/>
    <w:rsid w:val="3FC92B3F"/>
    <w:rsid w:val="3FEE07F8"/>
    <w:rsid w:val="400A435F"/>
    <w:rsid w:val="412C5A7C"/>
    <w:rsid w:val="41A76EB0"/>
    <w:rsid w:val="41C1215D"/>
    <w:rsid w:val="426F1F84"/>
    <w:rsid w:val="442A5B77"/>
    <w:rsid w:val="442E5991"/>
    <w:rsid w:val="47097F65"/>
    <w:rsid w:val="47E86474"/>
    <w:rsid w:val="49076647"/>
    <w:rsid w:val="491D2EC1"/>
    <w:rsid w:val="49803E24"/>
    <w:rsid w:val="49DE6057"/>
    <w:rsid w:val="4A1C2405"/>
    <w:rsid w:val="4B313C8F"/>
    <w:rsid w:val="4B6C4CC7"/>
    <w:rsid w:val="4CAD1E11"/>
    <w:rsid w:val="4CEC4311"/>
    <w:rsid w:val="4D3860A4"/>
    <w:rsid w:val="4DA006C3"/>
    <w:rsid w:val="4E12415A"/>
    <w:rsid w:val="4EBB5108"/>
    <w:rsid w:val="4EF91FFB"/>
    <w:rsid w:val="50974594"/>
    <w:rsid w:val="52304D63"/>
    <w:rsid w:val="525D5176"/>
    <w:rsid w:val="53051C89"/>
    <w:rsid w:val="53C81C33"/>
    <w:rsid w:val="542A2F84"/>
    <w:rsid w:val="562E7748"/>
    <w:rsid w:val="57053291"/>
    <w:rsid w:val="57AB5E8C"/>
    <w:rsid w:val="57CE2F91"/>
    <w:rsid w:val="595629E3"/>
    <w:rsid w:val="5999798B"/>
    <w:rsid w:val="59A26483"/>
    <w:rsid w:val="59D41BAB"/>
    <w:rsid w:val="5A1F5D26"/>
    <w:rsid w:val="5A6F296E"/>
    <w:rsid w:val="5CB14C2F"/>
    <w:rsid w:val="5DE33391"/>
    <w:rsid w:val="5F27792F"/>
    <w:rsid w:val="5F974769"/>
    <w:rsid w:val="5FB57B2B"/>
    <w:rsid w:val="60495F87"/>
    <w:rsid w:val="60863D99"/>
    <w:rsid w:val="60F15F42"/>
    <w:rsid w:val="61016185"/>
    <w:rsid w:val="61150C39"/>
    <w:rsid w:val="62EE3C5C"/>
    <w:rsid w:val="631B2FCE"/>
    <w:rsid w:val="63CC234F"/>
    <w:rsid w:val="64F91496"/>
    <w:rsid w:val="655C6080"/>
    <w:rsid w:val="65F05D44"/>
    <w:rsid w:val="66EB643A"/>
    <w:rsid w:val="66F8226C"/>
    <w:rsid w:val="67243CAD"/>
    <w:rsid w:val="69232D72"/>
    <w:rsid w:val="6A321882"/>
    <w:rsid w:val="6D8008D3"/>
    <w:rsid w:val="6EBC7B8F"/>
    <w:rsid w:val="6ECD58F9"/>
    <w:rsid w:val="6F55769C"/>
    <w:rsid w:val="6F8B3620"/>
    <w:rsid w:val="70F353BF"/>
    <w:rsid w:val="71EC3636"/>
    <w:rsid w:val="72907369"/>
    <w:rsid w:val="734B7734"/>
    <w:rsid w:val="752C4601"/>
    <w:rsid w:val="75940BA8"/>
    <w:rsid w:val="75A5137D"/>
    <w:rsid w:val="75C14DB0"/>
    <w:rsid w:val="76A258BD"/>
    <w:rsid w:val="77972F48"/>
    <w:rsid w:val="78AB549C"/>
    <w:rsid w:val="78E421BD"/>
    <w:rsid w:val="79386843"/>
    <w:rsid w:val="793F73F3"/>
    <w:rsid w:val="79655B8D"/>
    <w:rsid w:val="799C4279"/>
    <w:rsid w:val="79FA674E"/>
    <w:rsid w:val="7A8D7559"/>
    <w:rsid w:val="7AEB453F"/>
    <w:rsid w:val="7B3F51F8"/>
    <w:rsid w:val="7BB10350"/>
    <w:rsid w:val="7CF576B9"/>
    <w:rsid w:val="7D103724"/>
    <w:rsid w:val="7D69294D"/>
    <w:rsid w:val="7DE51419"/>
    <w:rsid w:val="7DEA7A23"/>
    <w:rsid w:val="7E6D4779"/>
    <w:rsid w:val="7EA85A3A"/>
    <w:rsid w:val="7FFE7F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nhideWhenUsed="0"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iPriority="99" w:semiHidden="0" w:name="Body Text First Indent"/>
    <w:lsdException w:qFormat="1" w:unhideWhenUsed="0" w:uiPriority="0" w:semiHidden="0" w:name="Body Text First Indent 2"/>
    <w:lsdException w:uiPriority="99" w:name="Note Heading"/>
    <w:lsdException w:qFormat="1" w:uiPriority="0" w:semiHidden="0"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9"/>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5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semiHidden/>
    <w:unhideWhenUsed/>
    <w:qFormat/>
    <w:uiPriority w:val="9"/>
    <w:pPr>
      <w:spacing w:beforeAutospacing="1" w:afterAutospacing="1"/>
      <w:jc w:val="left"/>
      <w:outlineLvl w:val="2"/>
    </w:pPr>
    <w:rPr>
      <w:rFonts w:hint="eastAsia" w:ascii="宋体" w:hAnsi="宋体"/>
      <w:b/>
      <w:bCs/>
      <w:kern w:val="0"/>
      <w:sz w:val="27"/>
      <w:szCs w:val="27"/>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37"/>
    <w:semiHidden/>
    <w:unhideWhenUsed/>
    <w:qFormat/>
    <w:uiPriority w:val="99"/>
    <w:pPr>
      <w:spacing w:after="120"/>
    </w:pPr>
  </w:style>
  <w:style w:type="paragraph" w:styleId="6">
    <w:name w:val="toa heading"/>
    <w:basedOn w:val="1"/>
    <w:next w:val="1"/>
    <w:semiHidden/>
    <w:qFormat/>
    <w:uiPriority w:val="99"/>
    <w:pPr>
      <w:spacing w:before="120"/>
    </w:pPr>
    <w:rPr>
      <w:rFonts w:ascii="Arial" w:hAnsi="Arial" w:cs="Arial"/>
      <w:sz w:val="24"/>
    </w:rPr>
  </w:style>
  <w:style w:type="paragraph" w:styleId="7">
    <w:name w:val="annotation text"/>
    <w:basedOn w:val="1"/>
    <w:link w:val="47"/>
    <w:unhideWhenUsed/>
    <w:qFormat/>
    <w:uiPriority w:val="99"/>
    <w:pPr>
      <w:jc w:val="left"/>
    </w:pPr>
  </w:style>
  <w:style w:type="paragraph" w:styleId="8">
    <w:name w:val="Body Text Indent"/>
    <w:basedOn w:val="1"/>
    <w:qFormat/>
    <w:uiPriority w:val="0"/>
    <w:pPr>
      <w:ind w:left="420" w:leftChars="200"/>
    </w:pPr>
  </w:style>
  <w:style w:type="paragraph" w:styleId="9">
    <w:name w:val="toc 3"/>
    <w:basedOn w:val="1"/>
    <w:next w:val="1"/>
    <w:unhideWhenUsed/>
    <w:qFormat/>
    <w:uiPriority w:val="39"/>
    <w:pPr>
      <w:ind w:left="840" w:leftChars="400"/>
    </w:pPr>
  </w:style>
  <w:style w:type="paragraph" w:styleId="10">
    <w:name w:val="Date"/>
    <w:basedOn w:val="1"/>
    <w:next w:val="1"/>
    <w:link w:val="43"/>
    <w:semiHidden/>
    <w:unhideWhenUsed/>
    <w:qFormat/>
    <w:uiPriority w:val="99"/>
    <w:pPr>
      <w:ind w:left="100" w:leftChars="2500"/>
    </w:pPr>
  </w:style>
  <w:style w:type="paragraph" w:styleId="11">
    <w:name w:val="Body Text Indent 2"/>
    <w:basedOn w:val="1"/>
    <w:qFormat/>
    <w:uiPriority w:val="0"/>
    <w:pPr>
      <w:snapToGrid w:val="0"/>
      <w:spacing w:line="300" w:lineRule="auto"/>
      <w:ind w:firstLine="480" w:firstLineChars="200"/>
    </w:pPr>
    <w:rPr>
      <w:rFonts w:ascii="黑体" w:hAnsi="宋体" w:eastAsia="黑体" w:cs="Times New Roman"/>
      <w:sz w:val="24"/>
      <w:szCs w:val="20"/>
    </w:rPr>
  </w:style>
  <w:style w:type="paragraph" w:styleId="12">
    <w:name w:val="Balloon Text"/>
    <w:basedOn w:val="1"/>
    <w:link w:val="45"/>
    <w:semiHidden/>
    <w:unhideWhenUsed/>
    <w:qFormat/>
    <w:uiPriority w:val="99"/>
    <w:rPr>
      <w:sz w:val="18"/>
      <w:szCs w:val="18"/>
    </w:rPr>
  </w:style>
  <w:style w:type="paragraph" w:styleId="13">
    <w:name w:val="footer"/>
    <w:basedOn w:val="1"/>
    <w:link w:val="30"/>
    <w:unhideWhenUsed/>
    <w:qFormat/>
    <w:uiPriority w:val="99"/>
    <w:pPr>
      <w:tabs>
        <w:tab w:val="center" w:pos="4153"/>
        <w:tab w:val="right" w:pos="8306"/>
      </w:tabs>
      <w:snapToGrid w:val="0"/>
      <w:jc w:val="left"/>
    </w:pPr>
    <w:rPr>
      <w:sz w:val="18"/>
      <w:szCs w:val="18"/>
    </w:rPr>
  </w:style>
  <w:style w:type="paragraph" w:styleId="14">
    <w:name w:val="header"/>
    <w:basedOn w:val="1"/>
    <w:link w:val="29"/>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0"/>
  </w:style>
  <w:style w:type="paragraph" w:styleId="16">
    <w:name w:val="toc 2"/>
    <w:basedOn w:val="1"/>
    <w:next w:val="1"/>
    <w:unhideWhenUsed/>
    <w:qFormat/>
    <w:uiPriority w:val="39"/>
    <w:pPr>
      <w:ind w:left="420" w:leftChars="200"/>
    </w:pPr>
  </w:style>
  <w:style w:type="paragraph" w:styleId="17">
    <w:name w:val="Body Text 2"/>
    <w:basedOn w:val="1"/>
    <w:unhideWhenUsed/>
    <w:qFormat/>
    <w:uiPriority w:val="0"/>
    <w:pPr>
      <w:spacing w:before="0" w:line="480" w:lineRule="auto"/>
    </w:pPr>
    <w:rPr>
      <w:rFonts w:asciiTheme="minorHAnsi" w:hAnsiTheme="minorHAnsi" w:eastAsiaTheme="minorEastAsia" w:cstheme="minorBidi"/>
      <w:sz w:val="21"/>
    </w:rPr>
  </w:style>
  <w:style w:type="paragraph" w:styleId="18">
    <w:name w:val="Normal (Web)"/>
    <w:basedOn w:val="1"/>
    <w:semiHidden/>
    <w:unhideWhenUsed/>
    <w:qFormat/>
    <w:uiPriority w:val="99"/>
    <w:pPr>
      <w:widowControl/>
      <w:spacing w:before="100" w:beforeAutospacing="1" w:after="100" w:afterAutospacing="1"/>
      <w:jc w:val="left"/>
    </w:pPr>
    <w:rPr>
      <w:rFonts w:ascii="宋体" w:hAnsi="宋体" w:cs="宋体"/>
      <w:kern w:val="0"/>
      <w:sz w:val="24"/>
    </w:rPr>
  </w:style>
  <w:style w:type="paragraph" w:styleId="19">
    <w:name w:val="annotation subject"/>
    <w:basedOn w:val="7"/>
    <w:next w:val="7"/>
    <w:link w:val="48"/>
    <w:semiHidden/>
    <w:unhideWhenUsed/>
    <w:qFormat/>
    <w:uiPriority w:val="99"/>
    <w:rPr>
      <w:b/>
      <w:bCs/>
    </w:rPr>
  </w:style>
  <w:style w:type="paragraph" w:styleId="20">
    <w:name w:val="Body Text First Indent"/>
    <w:basedOn w:val="2"/>
    <w:link w:val="38"/>
    <w:unhideWhenUsed/>
    <w:qFormat/>
    <w:uiPriority w:val="99"/>
    <w:pPr>
      <w:spacing w:after="0"/>
      <w:ind w:firstLine="420" w:firstLineChars="100"/>
    </w:pPr>
    <w:rPr>
      <w:rFonts w:ascii="Calibri" w:hAnsi="Calibri"/>
    </w:rPr>
  </w:style>
  <w:style w:type="paragraph" w:styleId="21">
    <w:name w:val="Body Text First Indent 2"/>
    <w:basedOn w:val="8"/>
    <w:qFormat/>
    <w:uiPriority w:val="0"/>
    <w:pPr>
      <w:ind w:firstLine="420" w:firstLineChars="200"/>
    </w:p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Strong"/>
    <w:basedOn w:val="24"/>
    <w:qFormat/>
    <w:uiPriority w:val="0"/>
    <w:rPr>
      <w:b/>
    </w:rPr>
  </w:style>
  <w:style w:type="character" w:styleId="26">
    <w:name w:val="Emphasis"/>
    <w:basedOn w:val="24"/>
    <w:qFormat/>
    <w:uiPriority w:val="20"/>
    <w:rPr>
      <w:i/>
    </w:rPr>
  </w:style>
  <w:style w:type="character" w:styleId="27">
    <w:name w:val="Hyperlink"/>
    <w:basedOn w:val="24"/>
    <w:unhideWhenUsed/>
    <w:qFormat/>
    <w:uiPriority w:val="99"/>
    <w:rPr>
      <w:color w:val="0563C1" w:themeColor="hyperlink"/>
      <w:u w:val="single"/>
      <w14:textFill>
        <w14:solidFill>
          <w14:schemeClr w14:val="hlink"/>
        </w14:solidFill>
      </w14:textFill>
    </w:rPr>
  </w:style>
  <w:style w:type="character" w:styleId="28">
    <w:name w:val="annotation reference"/>
    <w:basedOn w:val="24"/>
    <w:semiHidden/>
    <w:unhideWhenUsed/>
    <w:qFormat/>
    <w:uiPriority w:val="99"/>
    <w:rPr>
      <w:sz w:val="21"/>
      <w:szCs w:val="21"/>
    </w:rPr>
  </w:style>
  <w:style w:type="character" w:customStyle="1" w:styleId="29">
    <w:name w:val="页眉 Char"/>
    <w:basedOn w:val="24"/>
    <w:link w:val="14"/>
    <w:qFormat/>
    <w:uiPriority w:val="99"/>
    <w:rPr>
      <w:sz w:val="18"/>
      <w:szCs w:val="18"/>
    </w:rPr>
  </w:style>
  <w:style w:type="character" w:customStyle="1" w:styleId="30">
    <w:name w:val="页脚 Char"/>
    <w:basedOn w:val="24"/>
    <w:link w:val="13"/>
    <w:qFormat/>
    <w:uiPriority w:val="99"/>
    <w:rPr>
      <w:sz w:val="18"/>
      <w:szCs w:val="18"/>
    </w:rPr>
  </w:style>
  <w:style w:type="paragraph" w:customStyle="1" w:styleId="31">
    <w:name w:val="文献分类号"/>
    <w:qFormat/>
    <w:uiPriority w:val="0"/>
    <w:pPr>
      <w:framePr w:hSpace="180" w:vSpace="180" w:wrap="around" w:vAnchor="margin" w:hAnchor="margin" w:y="1" w:anchorLock="1"/>
      <w:widowControl w:val="0"/>
      <w:textAlignment w:val="center"/>
    </w:pPr>
    <w:rPr>
      <w:rFonts w:ascii="黑体" w:hAnsi="Times New Roman" w:eastAsia="黑体" w:cs="Times New Roman"/>
      <w:sz w:val="21"/>
      <w:szCs w:val="21"/>
      <w:lang w:val="en-US" w:eastAsia="zh-CN" w:bidi="ar-SA"/>
    </w:rPr>
  </w:style>
  <w:style w:type="paragraph" w:customStyle="1" w:styleId="32">
    <w:name w:val="其他标准标志"/>
    <w:basedOn w:val="1"/>
    <w:qFormat/>
    <w:uiPriority w:val="0"/>
    <w:pPr>
      <w:framePr w:w="6101" w:h="1389" w:hRule="exact" w:hSpace="181" w:vSpace="181" w:wrap="around" w:vAnchor="page" w:hAnchor="page" w:x="4673" w:y="942" w:anchorLock="1"/>
      <w:widowControl/>
      <w:shd w:val="solid" w:color="FFFFFF" w:fill="FFFFFF"/>
      <w:spacing w:line="0" w:lineRule="atLeast"/>
      <w:jc w:val="right"/>
    </w:pPr>
    <w:rPr>
      <w:b/>
      <w:w w:val="130"/>
      <w:kern w:val="0"/>
      <w:sz w:val="96"/>
      <w:szCs w:val="96"/>
    </w:rPr>
  </w:style>
  <w:style w:type="paragraph" w:customStyle="1" w:styleId="33">
    <w:name w:val="其他标准称谓"/>
    <w:next w:val="1"/>
    <w:qFormat/>
    <w:uiPriority w:val="0"/>
    <w:pPr>
      <w:framePr w:hSpace="181" w:vSpace="181" w:wrap="around" w:vAnchor="page" w:hAnchor="page" w:x="1419" w:y="2286" w:anchorLock="1"/>
      <w:spacing w:line="0" w:lineRule="atLeast"/>
      <w:jc w:val="distribute"/>
    </w:pPr>
    <w:rPr>
      <w:rFonts w:ascii="黑体" w:hAnsi="宋体" w:eastAsia="黑体" w:cs="Times New Roman"/>
      <w:spacing w:val="-40"/>
      <w:sz w:val="48"/>
      <w:szCs w:val="52"/>
      <w:lang w:val="en-US" w:eastAsia="zh-CN" w:bidi="ar-SA"/>
    </w:rPr>
  </w:style>
  <w:style w:type="paragraph" w:customStyle="1" w:styleId="34">
    <w:name w:val="List Paragraph1"/>
    <w:basedOn w:val="1"/>
    <w:qFormat/>
    <w:uiPriority w:val="99"/>
    <w:pPr>
      <w:spacing w:line="360" w:lineRule="auto"/>
      <w:ind w:firstLine="480" w:firstLineChars="200"/>
      <w:jc w:val="left"/>
    </w:pPr>
    <w:rPr>
      <w:sz w:val="24"/>
    </w:rPr>
  </w:style>
  <w:style w:type="paragraph" w:customStyle="1" w:styleId="35">
    <w:name w:val="段"/>
    <w:next w:val="1"/>
    <w:link w:val="36"/>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36">
    <w:name w:val="段 Char"/>
    <w:link w:val="35"/>
    <w:qFormat/>
    <w:uiPriority w:val="0"/>
    <w:rPr>
      <w:rFonts w:ascii="宋体" w:hAnsi="Times New Roman" w:eastAsia="宋体" w:cs="Times New Roman"/>
      <w:kern w:val="0"/>
      <w:szCs w:val="20"/>
    </w:rPr>
  </w:style>
  <w:style w:type="character" w:customStyle="1" w:styleId="37">
    <w:name w:val="正文文本 Char"/>
    <w:basedOn w:val="24"/>
    <w:link w:val="2"/>
    <w:semiHidden/>
    <w:qFormat/>
    <w:uiPriority w:val="99"/>
    <w:rPr>
      <w:rFonts w:ascii="Times New Roman" w:hAnsi="Times New Roman" w:eastAsia="宋体" w:cs="Times New Roman"/>
      <w:szCs w:val="24"/>
    </w:rPr>
  </w:style>
  <w:style w:type="character" w:customStyle="1" w:styleId="38">
    <w:name w:val="正文首行缩进 Char"/>
    <w:basedOn w:val="37"/>
    <w:link w:val="20"/>
    <w:qFormat/>
    <w:uiPriority w:val="99"/>
    <w:rPr>
      <w:rFonts w:ascii="Calibri" w:hAnsi="Calibri" w:eastAsia="宋体" w:cs="Times New Roman"/>
      <w:szCs w:val="24"/>
    </w:rPr>
  </w:style>
  <w:style w:type="paragraph" w:customStyle="1" w:styleId="39">
    <w:name w:val="一级条标题"/>
    <w:next w:val="35"/>
    <w:qFormat/>
    <w:uiPriority w:val="0"/>
    <w:pPr>
      <w:spacing w:beforeLines="50" w:afterLines="50"/>
      <w:jc w:val="center"/>
      <w:outlineLvl w:val="2"/>
    </w:pPr>
    <w:rPr>
      <w:rFonts w:ascii="黑体" w:hAnsi="Times New Roman" w:eastAsia="黑体" w:cs="Times New Roman"/>
      <w:b/>
      <w:sz w:val="24"/>
      <w:szCs w:val="24"/>
      <w:lang w:val="en-US" w:eastAsia="zh-CN" w:bidi="ar-SA"/>
    </w:rPr>
  </w:style>
  <w:style w:type="paragraph" w:customStyle="1" w:styleId="40">
    <w:name w:val="章标题"/>
    <w:next w:val="35"/>
    <w:qFormat/>
    <w:uiPriority w:val="0"/>
    <w:pPr>
      <w:spacing w:beforeLines="100" w:afterLines="100"/>
      <w:jc w:val="center"/>
      <w:outlineLvl w:val="1"/>
    </w:pPr>
    <w:rPr>
      <w:rFonts w:ascii="宋体" w:hAnsi="宋体" w:eastAsia="宋体" w:cs="Times New Roman"/>
      <w:b/>
      <w:bCs/>
      <w:kern w:val="2"/>
      <w:sz w:val="32"/>
      <w:szCs w:val="32"/>
      <w:lang w:val="en-US" w:eastAsia="zh-CN" w:bidi="ar-SA"/>
    </w:rPr>
  </w:style>
  <w:style w:type="paragraph" w:customStyle="1" w:styleId="41">
    <w:name w:val="二级无"/>
    <w:basedOn w:val="42"/>
    <w:qFormat/>
    <w:uiPriority w:val="0"/>
    <w:rPr>
      <w:rFonts w:ascii="宋体"/>
    </w:rPr>
  </w:style>
  <w:style w:type="paragraph" w:customStyle="1" w:styleId="42">
    <w:name w:val="二级条标题"/>
    <w:basedOn w:val="39"/>
    <w:next w:val="35"/>
    <w:qFormat/>
    <w:uiPriority w:val="0"/>
    <w:pPr>
      <w:spacing w:before="50" w:after="50"/>
      <w:outlineLvl w:val="3"/>
    </w:pPr>
  </w:style>
  <w:style w:type="character" w:customStyle="1" w:styleId="43">
    <w:name w:val="日期 Char"/>
    <w:basedOn w:val="24"/>
    <w:link w:val="10"/>
    <w:semiHidden/>
    <w:qFormat/>
    <w:uiPriority w:val="99"/>
    <w:rPr>
      <w:rFonts w:ascii="Times New Roman" w:hAnsi="Times New Roman" w:eastAsia="宋体" w:cs="Times New Roman"/>
      <w:szCs w:val="24"/>
    </w:rPr>
  </w:style>
  <w:style w:type="paragraph" w:styleId="44">
    <w:name w:val="List Paragraph"/>
    <w:basedOn w:val="1"/>
    <w:qFormat/>
    <w:uiPriority w:val="34"/>
    <w:pPr>
      <w:widowControl/>
      <w:ind w:firstLine="420" w:firstLineChars="200"/>
      <w:jc w:val="left"/>
    </w:pPr>
    <w:rPr>
      <w:rFonts w:ascii="宋体" w:hAnsi="宋体" w:cs="宋体"/>
      <w:kern w:val="0"/>
      <w:sz w:val="24"/>
    </w:rPr>
  </w:style>
  <w:style w:type="character" w:customStyle="1" w:styleId="45">
    <w:name w:val="批注框文本 Char"/>
    <w:basedOn w:val="24"/>
    <w:link w:val="12"/>
    <w:semiHidden/>
    <w:qFormat/>
    <w:uiPriority w:val="99"/>
    <w:rPr>
      <w:rFonts w:ascii="Times New Roman" w:hAnsi="Times New Roman" w:eastAsia="宋体" w:cs="Times New Roman"/>
      <w:sz w:val="18"/>
      <w:szCs w:val="18"/>
    </w:rPr>
  </w:style>
  <w:style w:type="paragraph" w:customStyle="1" w:styleId="46">
    <w:name w:val="字母编号列项（一级）"/>
    <w:qFormat/>
    <w:uiPriority w:val="0"/>
    <w:pPr>
      <w:numPr>
        <w:ilvl w:val="0"/>
        <w:numId w:val="1"/>
      </w:numPr>
      <w:jc w:val="both"/>
    </w:pPr>
    <w:rPr>
      <w:rFonts w:ascii="宋体" w:hAnsi="Times New Roman" w:eastAsia="宋体" w:cs="Times New Roman"/>
      <w:sz w:val="21"/>
      <w:lang w:val="en-US" w:eastAsia="zh-CN" w:bidi="ar-SA"/>
    </w:rPr>
  </w:style>
  <w:style w:type="character" w:customStyle="1" w:styleId="47">
    <w:name w:val="批注文字 Char"/>
    <w:basedOn w:val="24"/>
    <w:link w:val="7"/>
    <w:qFormat/>
    <w:uiPriority w:val="99"/>
    <w:rPr>
      <w:kern w:val="2"/>
      <w:sz w:val="21"/>
      <w:szCs w:val="24"/>
    </w:rPr>
  </w:style>
  <w:style w:type="character" w:customStyle="1" w:styleId="48">
    <w:name w:val="批注主题 Char"/>
    <w:basedOn w:val="47"/>
    <w:link w:val="19"/>
    <w:semiHidden/>
    <w:qFormat/>
    <w:uiPriority w:val="99"/>
    <w:rPr>
      <w:b/>
      <w:bCs/>
      <w:kern w:val="2"/>
      <w:sz w:val="21"/>
      <w:szCs w:val="24"/>
    </w:rPr>
  </w:style>
  <w:style w:type="character" w:customStyle="1" w:styleId="49">
    <w:name w:val="标题 1 Char"/>
    <w:basedOn w:val="24"/>
    <w:link w:val="3"/>
    <w:qFormat/>
    <w:uiPriority w:val="9"/>
    <w:rPr>
      <w:b/>
      <w:bCs/>
      <w:kern w:val="44"/>
      <w:sz w:val="44"/>
      <w:szCs w:val="44"/>
    </w:rPr>
  </w:style>
  <w:style w:type="paragraph" w:customStyle="1" w:styleId="50">
    <w:name w:val="TOC 标题1"/>
    <w:basedOn w:val="3"/>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2E75B6" w:themeColor="accent1" w:themeShade="BF"/>
      <w:kern w:val="0"/>
      <w:sz w:val="28"/>
      <w:szCs w:val="28"/>
    </w:rPr>
  </w:style>
  <w:style w:type="character" w:customStyle="1" w:styleId="51">
    <w:name w:val="标题 2 Char"/>
    <w:basedOn w:val="24"/>
    <w:link w:val="4"/>
    <w:qFormat/>
    <w:uiPriority w:val="9"/>
    <w:rPr>
      <w:rFonts w:asciiTheme="majorHAnsi" w:hAnsiTheme="majorHAnsi" w:eastAsiaTheme="majorEastAsia" w:cstheme="majorBidi"/>
      <w:b/>
      <w:bCs/>
      <w:kern w:val="2"/>
      <w:sz w:val="32"/>
      <w:szCs w:val="32"/>
    </w:rPr>
  </w:style>
  <w:style w:type="character" w:customStyle="1" w:styleId="52">
    <w:name w:val="表格 字符"/>
    <w:link w:val="53"/>
    <w:qFormat/>
    <w:uiPriority w:val="0"/>
    <w:rPr>
      <w:rFonts w:ascii="等线" w:hAnsi="等线"/>
      <w:kern w:val="2"/>
      <w:sz w:val="21"/>
      <w:szCs w:val="30"/>
    </w:rPr>
  </w:style>
  <w:style w:type="paragraph" w:customStyle="1" w:styleId="53">
    <w:name w:val="表格"/>
    <w:link w:val="52"/>
    <w:qFormat/>
    <w:uiPriority w:val="0"/>
    <w:rPr>
      <w:rFonts w:ascii="等线" w:hAnsi="等线" w:eastAsia="宋体" w:cs="Times New Roman"/>
      <w:kern w:val="2"/>
      <w:sz w:val="21"/>
      <w:szCs w:val="30"/>
      <w:lang w:val="en-US" w:eastAsia="zh-CN" w:bidi="ar-SA"/>
    </w:rPr>
  </w:style>
  <w:style w:type="paragraph" w:customStyle="1" w:styleId="54">
    <w:name w:val="三级标题"/>
    <w:basedOn w:val="1"/>
    <w:next w:val="1"/>
    <w:qFormat/>
    <w:uiPriority w:val="0"/>
    <w:pPr>
      <w:spacing w:line="360" w:lineRule="auto"/>
      <w:ind w:firstLine="480" w:firstLineChars="200"/>
      <w:outlineLvl w:val="2"/>
    </w:pPr>
    <w:rPr>
      <w:rFonts w:eastAsia="仿宋_GB2312"/>
      <w:sz w:val="24"/>
    </w:rPr>
  </w:style>
  <w:style w:type="paragraph" w:customStyle="1" w:styleId="55">
    <w:name w:val="代码段"/>
    <w:basedOn w:val="1"/>
    <w:qFormat/>
    <w:uiPriority w:val="0"/>
    <w:pPr>
      <w:shd w:val="clear" w:color="auto" w:fill="D9E2F3"/>
      <w:ind w:left="426" w:leftChars="152"/>
    </w:pPr>
    <w:rPr>
      <w:rFonts w:ascii="Courier New" w:hAnsi="Courier New" w:eastAsia="黑体"/>
    </w:rPr>
  </w:style>
  <w:style w:type="table" w:customStyle="1" w:styleId="56">
    <w:name w:val="Table Normal"/>
    <w:semiHidden/>
    <w:unhideWhenUsed/>
    <w:qFormat/>
    <w:uiPriority w:val="0"/>
    <w:tblPr>
      <w:tblCellMar>
        <w:top w:w="0" w:type="dxa"/>
        <w:left w:w="0" w:type="dxa"/>
        <w:bottom w:w="0" w:type="dxa"/>
        <w:right w:w="0" w:type="dxa"/>
      </w:tblCellMar>
    </w:tblPr>
  </w:style>
  <w:style w:type="paragraph" w:customStyle="1" w:styleId="57">
    <w:name w:val="列出段落1"/>
    <w:basedOn w:val="1"/>
    <w:qFormat/>
    <w:uiPriority w:val="34"/>
    <w:pPr>
      <w:spacing w:before="0" w:after="0" w:line="240" w:lineRule="auto"/>
      <w:ind w:firstLine="420" w:firstLineChars="200"/>
    </w:pPr>
    <w:rPr>
      <w:sz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oleObject" Target="embeddings/oleObject2.bin"/><Relationship Id="rId17" Type="http://schemas.openxmlformats.org/officeDocument/2006/relationships/image" Target="media/image3.wmf"/><Relationship Id="rId16" Type="http://schemas.openxmlformats.org/officeDocument/2006/relationships/oleObject" Target="embeddings/oleObject1.bin"/><Relationship Id="rId15" Type="http://schemas.openxmlformats.org/officeDocument/2006/relationships/image" Target="media/image2.pn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79FFCB1-40BA-4629-B61C-62B9BDE08438}">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99</Pages>
  <Words>28067</Words>
  <Characters>30188</Characters>
  <Lines>499</Lines>
  <Paragraphs>140</Paragraphs>
  <TotalTime>3</TotalTime>
  <ScaleCrop>false</ScaleCrop>
  <LinksUpToDate>false</LinksUpToDate>
  <CharactersWithSpaces>35994</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2024-08-21T23:28:00Z</dcterms:created>
  <dc:creator>China</dc:creator>
  <cp:lastModifiedBy>pengteng</cp:lastModifiedBy>
  <dcterms:modified xsi:type="dcterms:W3CDTF">2024-09-30T03:28:39Z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2D2586FB5ACA4969BF90673F7B839075_13</vt:lpwstr>
  </property>
</Properties>
</file>