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themeColor="text1"/>
          <w:sz w:val="40"/>
          <w:szCs w:val="40"/>
        </w:rPr>
        <w:t>关于《</w:t>
      </w:r>
      <w:r>
        <w:rPr>
          <w:rFonts w:hint="eastAsia" w:ascii="方正小标宋简体" w:hAnsi="方正小标宋简体" w:eastAsia="方正小标宋简体" w:cs="方正小标宋简体"/>
          <w:color w:val="000000"/>
          <w:sz w:val="40"/>
          <w:szCs w:val="40"/>
        </w:rPr>
        <w:t>伍家岗区流域综合治理和统筹发展三年行动</w:t>
      </w:r>
    </w:p>
    <w:p>
      <w:pPr>
        <w:spacing w:line="580" w:lineRule="exact"/>
        <w:jc w:val="center"/>
        <w:rPr>
          <w:rFonts w:ascii="方正小标宋简体" w:hAnsi="方正小标宋简体" w:eastAsia="方正小标宋简体" w:cs="方正小标宋简体"/>
          <w:kern w:val="0"/>
          <w:sz w:val="40"/>
          <w:szCs w:val="40"/>
        </w:rPr>
      </w:pPr>
      <w:r>
        <w:rPr>
          <w:rFonts w:hint="eastAsia" w:ascii="方正小标宋简体" w:hAnsi="方正小标宋简体" w:eastAsia="方正小标宋简体" w:cs="方正小标宋简体"/>
          <w:color w:val="000000"/>
          <w:sz w:val="40"/>
          <w:szCs w:val="40"/>
        </w:rPr>
        <w:t>方案（</w:t>
      </w:r>
      <w:r>
        <w:rPr>
          <w:rFonts w:hint="eastAsia" w:ascii="Times New Roman" w:hAnsi="Times New Roman" w:eastAsia="方正小标宋简体" w:cs="方正小标宋简体"/>
          <w:color w:val="000000"/>
          <w:sz w:val="40"/>
          <w:szCs w:val="40"/>
        </w:rPr>
        <w:t>2023</w:t>
      </w:r>
      <w:r>
        <w:rPr>
          <w:rFonts w:hint="eastAsia" w:ascii="方正小标宋简体" w:hAnsi="方正小标宋简体" w:eastAsia="方正小标宋简体" w:cs="方正小标宋简体"/>
          <w:color w:val="000000"/>
          <w:sz w:val="40"/>
          <w:szCs w:val="40"/>
        </w:rPr>
        <w:t>-</w:t>
      </w:r>
      <w:r>
        <w:rPr>
          <w:rFonts w:hint="eastAsia" w:ascii="Times New Roman" w:hAnsi="Times New Roman" w:eastAsia="方正小标宋简体" w:cs="方正小标宋简体"/>
          <w:color w:val="000000"/>
          <w:sz w:val="40"/>
          <w:szCs w:val="40"/>
        </w:rPr>
        <w:t>2025</w:t>
      </w:r>
      <w:r>
        <w:rPr>
          <w:rFonts w:hint="eastAsia" w:ascii="方正小标宋简体" w:hAnsi="方正小标宋简体" w:eastAsia="方正小标宋简体" w:cs="方正小标宋简体"/>
          <w:color w:val="000000"/>
          <w:sz w:val="40"/>
          <w:szCs w:val="40"/>
        </w:rPr>
        <w:t>年）</w:t>
      </w:r>
      <w:r>
        <w:rPr>
          <w:rFonts w:hint="eastAsia" w:ascii="方正小标宋简体" w:hAnsi="方正小标宋简体" w:eastAsia="方正小标宋简体" w:cs="方正小标宋简体"/>
          <w:color w:val="000000" w:themeColor="text1"/>
          <w:sz w:val="40"/>
          <w:szCs w:val="40"/>
        </w:rPr>
        <w:t>（送审稿）》</w:t>
      </w:r>
      <w:r>
        <w:rPr>
          <w:rFonts w:hint="eastAsia" w:ascii="方正小标宋简体" w:hAnsi="方正小标宋简体" w:eastAsia="方正小标宋简体" w:cs="方正小标宋简体"/>
          <w:kern w:val="0"/>
          <w:sz w:val="40"/>
          <w:szCs w:val="40"/>
        </w:rPr>
        <w:t>《伍家岗区建设</w:t>
      </w:r>
    </w:p>
    <w:p>
      <w:pPr>
        <w:spacing w:line="580" w:lineRule="exact"/>
        <w:jc w:val="center"/>
        <w:rPr>
          <w:rFonts w:ascii="方正小标宋简体" w:hAnsi="方正小标宋简体" w:eastAsia="方正小标宋简体" w:cs="方正小标宋简体"/>
          <w:kern w:val="0"/>
          <w:sz w:val="40"/>
          <w:szCs w:val="40"/>
        </w:rPr>
      </w:pPr>
      <w:r>
        <w:rPr>
          <w:rFonts w:hint="eastAsia" w:ascii="方正小标宋简体" w:hAnsi="方正小标宋简体" w:eastAsia="方正小标宋简体" w:cs="方正小标宋简体"/>
          <w:kern w:val="0"/>
          <w:sz w:val="40"/>
          <w:szCs w:val="40"/>
        </w:rPr>
        <w:t>长江大保护典范城市三年行动方案（</w:t>
      </w:r>
      <w:r>
        <w:rPr>
          <w:rFonts w:hint="eastAsia" w:ascii="Times New Roman" w:hAnsi="Times New Roman" w:eastAsia="方正小标宋简体" w:cs="方正小标宋简体"/>
          <w:kern w:val="0"/>
          <w:sz w:val="40"/>
          <w:szCs w:val="40"/>
        </w:rPr>
        <w:t>2023</w:t>
      </w:r>
      <w:r>
        <w:rPr>
          <w:rFonts w:hint="eastAsia" w:ascii="方正小标宋简体" w:hAnsi="方正小标宋简体" w:eastAsia="方正小标宋简体" w:cs="方正小标宋简体"/>
          <w:kern w:val="0"/>
          <w:sz w:val="40"/>
          <w:szCs w:val="40"/>
        </w:rPr>
        <w:t>-</w:t>
      </w:r>
      <w:r>
        <w:rPr>
          <w:rFonts w:hint="eastAsia" w:ascii="Times New Roman" w:hAnsi="Times New Roman" w:eastAsia="方正小标宋简体" w:cs="方正小标宋简体"/>
          <w:kern w:val="0"/>
          <w:sz w:val="40"/>
          <w:szCs w:val="40"/>
        </w:rPr>
        <w:t>2025</w:t>
      </w:r>
      <w:r>
        <w:rPr>
          <w:rFonts w:hint="eastAsia" w:ascii="方正小标宋简体" w:hAnsi="方正小标宋简体" w:eastAsia="方正小标宋简体" w:cs="方正小标宋简体"/>
          <w:kern w:val="0"/>
          <w:sz w:val="40"/>
          <w:szCs w:val="40"/>
        </w:rPr>
        <w:t>年）</w:t>
      </w:r>
    </w:p>
    <w:p>
      <w:pPr>
        <w:spacing w:line="580" w:lineRule="exact"/>
        <w:jc w:val="center"/>
        <w:rPr>
          <w:rFonts w:ascii="方正小标宋简体" w:hAnsi="方正小标宋简体" w:eastAsia="方正小标宋简体" w:cs="方正小标宋简体"/>
          <w:color w:val="000000" w:themeColor="text1"/>
          <w:sz w:val="40"/>
          <w:szCs w:val="40"/>
        </w:rPr>
      </w:pPr>
      <w:r>
        <w:rPr>
          <w:rFonts w:hint="eastAsia" w:ascii="方正小标宋简体" w:hAnsi="方正小标宋简体" w:eastAsia="方正小标宋简体" w:cs="方正小标宋简体"/>
          <w:kern w:val="0"/>
          <w:sz w:val="40"/>
          <w:szCs w:val="40"/>
        </w:rPr>
        <w:t>（送审稿）》</w:t>
      </w:r>
      <w:r>
        <w:rPr>
          <w:rFonts w:hint="eastAsia" w:ascii="方正小标宋简体" w:hAnsi="方正小标宋简体" w:eastAsia="方正小标宋简体" w:cs="方正小标宋简体"/>
          <w:color w:val="000000" w:themeColor="text1"/>
          <w:sz w:val="40"/>
          <w:szCs w:val="40"/>
        </w:rPr>
        <w:t>的起草说明</w:t>
      </w:r>
    </w:p>
    <w:p>
      <w:pPr>
        <w:pStyle w:val="3"/>
        <w:spacing w:after="0" w:line="574" w:lineRule="exact"/>
        <w:ind w:left="0" w:leftChars="0" w:firstLine="640" w:firstLineChars="200"/>
        <w:rPr>
          <w:rFonts w:ascii="黑体" w:hAnsi="黑体" w:eastAsia="黑体" w:cs="黑体"/>
          <w:color w:val="000000"/>
          <w:sz w:val="32"/>
          <w:szCs w:val="32"/>
        </w:rPr>
      </w:pPr>
    </w:p>
    <w:p>
      <w:pPr>
        <w:pStyle w:val="3"/>
        <w:spacing w:after="0" w:line="574" w:lineRule="exact"/>
        <w:ind w:left="0" w:leftChars="0"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一、起草背景</w:t>
      </w:r>
    </w:p>
    <w:p>
      <w:pPr>
        <w:pStyle w:val="3"/>
        <w:spacing w:after="0" w:line="574" w:lineRule="exact"/>
        <w:ind w:left="0" w:leftChars="0"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建设长江大保护典范城市是省委省政府赋予宜昌的战略使命，流域综合治理和统筹发展是实现上述目标的核心路径。今年以来，省、市两级相继出台了</w:t>
      </w:r>
      <w:r>
        <w:rPr>
          <w:rFonts w:ascii="Times New Roman" w:hAnsi="Times New Roman" w:eastAsia="仿宋_GB2312" w:cs="Times New Roman"/>
          <w:color w:val="000000"/>
          <w:sz w:val="32"/>
          <w:szCs w:val="32"/>
        </w:rPr>
        <w:t>《省委办公厅</w:t>
      </w:r>
      <w:r>
        <w:rPr>
          <w:rFonts w:hint="eastAsia"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32"/>
          <w:szCs w:val="32"/>
        </w:rPr>
        <w:t>省政府办公厅关于印发</w:t>
      </w:r>
      <w:r>
        <w:rPr>
          <w:rFonts w:hint="eastAsia" w:ascii="Times New Roman" w:hAnsi="Times New Roman" w:eastAsia="仿宋_GB2312" w:cs="Times New Roman"/>
          <w:color w:val="000000"/>
          <w:sz w:val="32"/>
          <w:szCs w:val="32"/>
        </w:rPr>
        <w:t>&lt;</w:t>
      </w:r>
      <w:r>
        <w:rPr>
          <w:rFonts w:ascii="Times New Roman" w:hAnsi="Times New Roman" w:eastAsia="仿宋_GB2312" w:cs="Times New Roman"/>
          <w:color w:val="000000"/>
          <w:sz w:val="32"/>
          <w:szCs w:val="32"/>
        </w:rPr>
        <w:t>宜昌市流域综合治理和统筹发展规划&gt;的通知》</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鄂办文〔2023〕6号</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《宜昌市流域综合治理和统筹发展三年行动方案</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2023-2025年</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w:t>
      </w:r>
      <w:r>
        <w:rPr>
          <w:rFonts w:hint="eastAsia" w:ascii="仿宋_GB2312" w:hAnsi="仿宋_GB2312" w:eastAsia="仿宋_GB2312" w:cs="仿宋_GB2312"/>
          <w:kern w:val="0"/>
          <w:sz w:val="32"/>
          <w:szCs w:val="32"/>
        </w:rPr>
        <w:t>《中共宜昌市委 宜昌市人民政府关于建设长江大保护典范城市的意见》（宜发〔</w:t>
      </w:r>
      <w:r>
        <w:rPr>
          <w:rFonts w:hint="eastAsia" w:ascii="Times New Roman" w:hAnsi="Times New Roman" w:eastAsia="仿宋_GB2312" w:cs="仿宋_GB2312"/>
          <w:kern w:val="0"/>
          <w:sz w:val="32"/>
          <w:szCs w:val="32"/>
        </w:rPr>
        <w:t>2022</w:t>
      </w:r>
      <w:r>
        <w:rPr>
          <w:rFonts w:hint="eastAsia" w:ascii="仿宋_GB2312" w:hAnsi="仿宋_GB2312" w:eastAsia="仿宋_GB2312" w:cs="仿宋_GB2312"/>
          <w:kern w:val="0"/>
          <w:sz w:val="32"/>
          <w:szCs w:val="32"/>
        </w:rPr>
        <w:t>〕</w:t>
      </w:r>
      <w:r>
        <w:rPr>
          <w:rFonts w:hint="eastAsia" w:ascii="Times New Roman" w:hAnsi="Times New Roman" w:eastAsia="仿宋_GB2312" w:cs="仿宋_GB2312"/>
          <w:kern w:val="0"/>
          <w:sz w:val="32"/>
          <w:szCs w:val="32"/>
        </w:rPr>
        <w:t>15</w:t>
      </w:r>
      <w:r>
        <w:rPr>
          <w:rFonts w:hint="eastAsia" w:ascii="仿宋_GB2312" w:hAnsi="仿宋_GB2312" w:eastAsia="仿宋_GB2312" w:cs="仿宋_GB2312"/>
          <w:kern w:val="0"/>
          <w:sz w:val="32"/>
          <w:szCs w:val="32"/>
        </w:rPr>
        <w:t>号）、《市人民政府办公室关于印发宜昌市建设长江大保护典范城市三年行动方案（</w:t>
      </w:r>
      <w:r>
        <w:rPr>
          <w:rFonts w:hint="eastAsia" w:ascii="Times New Roman" w:hAnsi="Times New Roman" w:eastAsia="仿宋_GB2312" w:cs="仿宋_GB2312"/>
          <w:kern w:val="0"/>
          <w:sz w:val="32"/>
          <w:szCs w:val="32"/>
        </w:rPr>
        <w:t>2023</w:t>
      </w:r>
      <w:r>
        <w:rPr>
          <w:rFonts w:hint="eastAsia" w:ascii="仿宋_GB2312" w:hAnsi="仿宋_GB2312" w:eastAsia="仿宋_GB2312" w:cs="仿宋_GB2312"/>
          <w:kern w:val="0"/>
          <w:sz w:val="32"/>
          <w:szCs w:val="32"/>
        </w:rPr>
        <w:t>—</w:t>
      </w:r>
      <w:r>
        <w:rPr>
          <w:rFonts w:hint="eastAsia" w:ascii="Times New Roman" w:hAnsi="Times New Roman" w:eastAsia="仿宋_GB2312" w:cs="仿宋_GB2312"/>
          <w:kern w:val="0"/>
          <w:sz w:val="32"/>
          <w:szCs w:val="32"/>
        </w:rPr>
        <w:t>2025</w:t>
      </w:r>
      <w:r>
        <w:rPr>
          <w:rFonts w:hint="eastAsia" w:ascii="仿宋_GB2312" w:hAnsi="仿宋_GB2312" w:eastAsia="仿宋_GB2312" w:cs="仿宋_GB2312"/>
          <w:kern w:val="0"/>
          <w:sz w:val="32"/>
          <w:szCs w:val="32"/>
        </w:rPr>
        <w:t>年）的通知》（宜府办发〔</w:t>
      </w:r>
      <w:r>
        <w:rPr>
          <w:rFonts w:hint="eastAsia" w:ascii="Times New Roman" w:hAnsi="Times New Roman" w:eastAsia="仿宋_GB2312" w:cs="仿宋_GB2312"/>
          <w:kern w:val="0"/>
          <w:sz w:val="32"/>
          <w:szCs w:val="32"/>
        </w:rPr>
        <w:t>2023</w:t>
      </w:r>
      <w:r>
        <w:rPr>
          <w:rFonts w:hint="eastAsia" w:ascii="仿宋_GB2312" w:hAnsi="仿宋_GB2312" w:eastAsia="仿宋_GB2312" w:cs="仿宋_GB2312"/>
          <w:kern w:val="0"/>
          <w:sz w:val="32"/>
          <w:szCs w:val="32"/>
        </w:rPr>
        <w:t>〕</w:t>
      </w:r>
      <w:r>
        <w:rPr>
          <w:rFonts w:hint="eastAsia" w:ascii="Times New Roman" w:hAnsi="Times New Roman" w:eastAsia="仿宋_GB2312" w:cs="仿宋_GB2312"/>
          <w:kern w:val="0"/>
          <w:sz w:val="32"/>
          <w:szCs w:val="32"/>
        </w:rPr>
        <w:t>14</w:t>
      </w:r>
      <w:r>
        <w:rPr>
          <w:rFonts w:hint="eastAsia" w:ascii="仿宋_GB2312" w:hAnsi="仿宋_GB2312" w:eastAsia="仿宋_GB2312" w:cs="仿宋_GB2312"/>
          <w:kern w:val="0"/>
          <w:sz w:val="32"/>
          <w:szCs w:val="32"/>
        </w:rPr>
        <w:t>号），区委区政府出台《关于在建设长江大保护典范城市中争当山水城共生人产城共荣主城典范的实施意见》（宜伍发〔</w:t>
      </w:r>
      <w:r>
        <w:rPr>
          <w:rFonts w:hint="eastAsia" w:ascii="Times New Roman" w:hAnsi="Times New Roman" w:eastAsia="仿宋_GB2312" w:cs="仿宋_GB2312"/>
          <w:kern w:val="0"/>
          <w:sz w:val="32"/>
          <w:szCs w:val="32"/>
        </w:rPr>
        <w:t>2023</w:t>
      </w:r>
      <w:r>
        <w:rPr>
          <w:rFonts w:hint="eastAsia" w:ascii="仿宋_GB2312" w:hAnsi="仿宋_GB2312" w:eastAsia="仿宋_GB2312" w:cs="仿宋_GB2312"/>
          <w:kern w:val="0"/>
          <w:sz w:val="32"/>
          <w:szCs w:val="32"/>
        </w:rPr>
        <w:t>〕</w:t>
      </w:r>
      <w:r>
        <w:rPr>
          <w:rFonts w:hint="eastAsia" w:ascii="Times New Roman" w:hAnsi="Times New Roman" w:eastAsia="仿宋_GB2312" w:cs="仿宋_GB2312"/>
          <w:kern w:val="0"/>
          <w:sz w:val="32"/>
          <w:szCs w:val="32"/>
        </w:rPr>
        <w:t>1</w:t>
      </w:r>
      <w:r>
        <w:rPr>
          <w:rFonts w:hint="eastAsia" w:ascii="仿宋_GB2312" w:hAnsi="仿宋_GB2312" w:eastAsia="仿宋_GB2312" w:cs="仿宋_GB2312"/>
          <w:kern w:val="0"/>
          <w:sz w:val="32"/>
          <w:szCs w:val="32"/>
        </w:rPr>
        <w:t>号）</w:t>
      </w:r>
      <w:r>
        <w:rPr>
          <w:rFonts w:hint="eastAsia" w:ascii="Times New Roman" w:hAnsi="Times New Roman" w:eastAsia="仿宋_GB2312" w:cs="Times New Roman"/>
          <w:color w:val="000000"/>
          <w:sz w:val="32"/>
          <w:szCs w:val="32"/>
        </w:rPr>
        <w:t>等系列文件；4月13日熊征宇书记以《深入推进流域综合治理和统筹发展加快建设长江大保护典范城市》为题，在全省厅级主要领导干部专题培训班上做了汇报。</w:t>
      </w:r>
    </w:p>
    <w:p>
      <w:pPr>
        <w:pStyle w:val="3"/>
        <w:spacing w:after="0" w:line="574" w:lineRule="exact"/>
        <w:ind w:left="0" w:leftChars="0"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根据区委区政府工作部署，结合我区实际，政府成立工作专班，区发改局牵头具体落实，起草了上述两个三年行动方案。根据会议安排，现将两个方案起草情况予以说明。</w:t>
      </w:r>
    </w:p>
    <w:p>
      <w:pPr>
        <w:pStyle w:val="3"/>
        <w:spacing w:after="0" w:line="574" w:lineRule="exact"/>
        <w:ind w:left="0" w:leftChars="0"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二、起草过程</w:t>
      </w:r>
    </w:p>
    <w:p>
      <w:pPr>
        <w:pStyle w:val="3"/>
        <w:spacing w:after="0" w:line="574" w:lineRule="exact"/>
        <w:ind w:left="0" w:leftChars="0"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4月3日至4月25日，根据区政府工作安排和市级相关要求，区发改局迅速牵头拟定两个方案初稿。由于人员有限，时间紧迫，专业能力不够，初稿质量不高。4月25日，区委书记陈道坤同志，区委副书记、区长谭志军同志等领导听取《伍家岗区流域综合治理和统筹发展三年行动方案（2023-2025年）》汇报后，明确要求全区上下高度重视，系统梳理，高质量起草两个方案。</w:t>
      </w:r>
    </w:p>
    <w:p>
      <w:pPr>
        <w:pStyle w:val="3"/>
        <w:spacing w:after="0" w:line="574" w:lineRule="exact"/>
        <w:ind w:left="0" w:leftChars="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会后，区政府高度重视，从区人大办、区商务局、区住建局、区发改局抽调人员组建“四大战略”工作专班。</w:t>
      </w:r>
      <w:r>
        <w:rPr>
          <w:rFonts w:ascii="Times New Roman" w:hAnsi="Times New Roman" w:eastAsia="仿宋_GB2312" w:cs="Times New Roman"/>
          <w:color w:val="000000"/>
          <w:sz w:val="32"/>
          <w:szCs w:val="32"/>
        </w:rPr>
        <w:t xml:space="preserve"> </w:t>
      </w:r>
    </w:p>
    <w:p>
      <w:pPr>
        <w:pStyle w:val="3"/>
        <w:spacing w:after="0" w:line="574" w:lineRule="exact"/>
        <w:ind w:left="0" w:leftChars="0" w:firstLine="640" w:firstLineChars="200"/>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sz w:val="32"/>
          <w:szCs w:val="32"/>
        </w:rPr>
        <w:t>5月12日上午，区委常委、区政府常务副区长吴光明同志召集区发改局、区住建局、生态环境分局等13家牵头单位主要负责人召开工作部署推进会。5月27日上午，</w:t>
      </w:r>
      <w:r>
        <w:rPr>
          <w:rFonts w:hint="eastAsia" w:ascii="Times New Roman" w:hAnsi="Times New Roman" w:eastAsia="仿宋_GB2312" w:cs="Times New Roman"/>
          <w:color w:val="000000"/>
          <w:sz w:val="32"/>
          <w:szCs w:val="32"/>
        </w:rPr>
        <w:t>吴光明同志再次召集区科技经信局、区住建局等16个主要部门召开专题会修改上述两个方案。会上，逐字逐句，逐个项目征询与会单位意见</w:t>
      </w:r>
      <w:r>
        <w:rPr>
          <w:rFonts w:hint="eastAsia" w:ascii="Times New Roman" w:hAnsi="Times New Roman" w:eastAsia="仿宋_GB2312" w:cs="Times New Roman"/>
          <w:color w:val="000000"/>
          <w:sz w:val="32"/>
          <w:szCs w:val="32"/>
          <w:lang w:eastAsia="zh-CN"/>
        </w:rPr>
        <w:t>，修改完善</w:t>
      </w:r>
      <w:r>
        <w:rPr>
          <w:rFonts w:hint="eastAsia"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5月30日，区政府第22次常务会审议两个方案。</w:t>
      </w:r>
      <w:r>
        <w:rPr>
          <w:rFonts w:hint="eastAsia" w:ascii="Times New Roman" w:hAnsi="Times New Roman" w:eastAsia="仿宋_GB2312" w:cs="Times New Roman"/>
          <w:color w:val="000000"/>
          <w:sz w:val="32"/>
          <w:szCs w:val="32"/>
        </w:rPr>
        <w:t>会后，</w:t>
      </w:r>
      <w:r>
        <w:rPr>
          <w:rFonts w:hint="eastAsia" w:ascii="Times New Roman" w:hAnsi="Times New Roman" w:eastAsia="仿宋_GB2312" w:cs="Times New Roman"/>
          <w:color w:val="000000"/>
          <w:sz w:val="32"/>
          <w:szCs w:val="32"/>
          <w:lang w:eastAsia="zh-CN"/>
        </w:rPr>
        <w:t>专班</w:t>
      </w:r>
      <w:r>
        <w:rPr>
          <w:rFonts w:hint="eastAsia" w:ascii="Times New Roman" w:hAnsi="Times New Roman" w:eastAsia="仿宋_GB2312" w:cs="Times New Roman"/>
          <w:color w:val="000000"/>
          <w:sz w:val="32"/>
          <w:szCs w:val="32"/>
        </w:rPr>
        <w:t>迅速对方案进一步修改</w:t>
      </w:r>
      <w:r>
        <w:rPr>
          <w:rFonts w:hint="eastAsia" w:ascii="Times New Roman" w:hAnsi="Times New Roman" w:eastAsia="仿宋_GB2312" w:cs="Times New Roman"/>
          <w:color w:val="000000"/>
          <w:sz w:val="32"/>
          <w:szCs w:val="32"/>
          <w:lang w:eastAsia="zh-CN"/>
        </w:rPr>
        <w:t>，并请区委政研室、区政府研究室指导把关</w:t>
      </w:r>
      <w:r>
        <w:rPr>
          <w:rFonts w:hint="eastAsia" w:ascii="Times New Roman" w:hAnsi="Times New Roman" w:eastAsia="仿宋_GB2312" w:cs="Times New Roman"/>
          <w:color w:val="000000"/>
          <w:sz w:val="32"/>
          <w:szCs w:val="32"/>
        </w:rPr>
        <w:t>。</w:t>
      </w:r>
    </w:p>
    <w:p>
      <w:pPr>
        <w:pStyle w:val="3"/>
        <w:spacing w:after="0" w:line="574" w:lineRule="exact"/>
        <w:ind w:left="0" w:leftChars="0" w:firstLine="640" w:firstLineChars="200"/>
        <w:rPr>
          <w:rFonts w:ascii="黑体" w:hAnsi="方正黑体_GBK" w:eastAsia="黑体" w:cs="方正黑体_GBK"/>
          <w:color w:val="000000"/>
          <w:sz w:val="32"/>
          <w:szCs w:val="32"/>
        </w:rPr>
      </w:pPr>
      <w:r>
        <w:rPr>
          <w:rFonts w:hint="eastAsia" w:ascii="黑体" w:hAnsi="方正黑体_GBK" w:eastAsia="黑体" w:cs="方正黑体_GBK"/>
          <w:color w:val="000000"/>
          <w:sz w:val="32"/>
          <w:szCs w:val="32"/>
        </w:rPr>
        <w:t>三、</w:t>
      </w:r>
      <w:r>
        <w:rPr>
          <w:rFonts w:ascii="黑体" w:hAnsi="方正黑体_GBK" w:eastAsia="黑体" w:cs="方正黑体_GBK"/>
          <w:color w:val="000000"/>
          <w:sz w:val="32"/>
          <w:szCs w:val="32"/>
        </w:rPr>
        <w:t>主要内容和需要说明的问题</w:t>
      </w:r>
    </w:p>
    <w:p>
      <w:pPr>
        <w:pStyle w:val="3"/>
        <w:spacing w:after="0" w:line="574" w:lineRule="exact"/>
        <w:ind w:left="0" w:leftChars="0" w:firstLine="640" w:firstLineChars="200"/>
        <w:rPr>
          <w:rFonts w:ascii="楷体_GB2312" w:hAnsi="方正楷体简体" w:eastAsia="楷体_GB2312" w:cs="方正楷体简体"/>
          <w:color w:val="000000"/>
          <w:sz w:val="32"/>
          <w:szCs w:val="32"/>
        </w:rPr>
      </w:pPr>
      <w:r>
        <w:rPr>
          <w:rFonts w:hint="eastAsia" w:ascii="楷体_GB2312" w:hAnsi="方正楷体简体" w:eastAsia="楷体_GB2312" w:cs="方正楷体简体"/>
          <w:color w:val="000000"/>
          <w:sz w:val="32"/>
          <w:szCs w:val="32"/>
        </w:rPr>
        <w:t>（一）流域综合治理和统筹发展三年行动方案</w:t>
      </w:r>
    </w:p>
    <w:p>
      <w:pPr>
        <w:spacing w:line="574"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《流域综合治理和统筹发展三年行动方案》主要参照市级行动方案模块结构，分正文和三张重点工作清单两部分，下面分别予以说明。</w:t>
      </w:r>
    </w:p>
    <w:p>
      <w:pPr>
        <w:spacing w:line="574" w:lineRule="exact"/>
        <w:ind w:firstLine="640" w:firstLineChars="200"/>
        <w:rPr>
          <w:rFonts w:ascii="仿宋_GB2312" w:hAnsi="方正楷体简体" w:eastAsia="仿宋_GB2312" w:cs="方正楷体简体"/>
          <w:sz w:val="32"/>
          <w:szCs w:val="32"/>
        </w:rPr>
      </w:pPr>
      <w:r>
        <w:rPr>
          <w:rFonts w:hint="eastAsia" w:ascii="Times New Roman" w:hAnsi="Times New Roman" w:eastAsia="仿宋_GB2312" w:cs="方正楷体简体"/>
          <w:sz w:val="32"/>
          <w:szCs w:val="32"/>
        </w:rPr>
        <w:t>1</w:t>
      </w:r>
      <w:r>
        <w:rPr>
          <w:rFonts w:hint="eastAsia" w:ascii="仿宋_GB2312" w:hAnsi="方正楷体简体" w:eastAsia="仿宋_GB2312" w:cs="方正楷体简体"/>
          <w:sz w:val="32"/>
          <w:szCs w:val="32"/>
        </w:rPr>
        <w:t>.正文部分内容</w:t>
      </w:r>
    </w:p>
    <w:p>
      <w:pPr>
        <w:spacing w:line="574" w:lineRule="exact"/>
        <w:ind w:firstLine="640" w:firstLineChars="200"/>
        <w:rPr>
          <w:rFonts w:ascii="仿宋_GB2312" w:hAnsi="Times New Roman" w:eastAsia="仿宋_GB2312" w:cs="Times New Roman"/>
          <w:sz w:val="32"/>
          <w:szCs w:val="32"/>
        </w:rPr>
      </w:pPr>
      <w:bookmarkStart w:id="0" w:name="_GoBack"/>
      <w:bookmarkEnd w:id="0"/>
      <w:r>
        <w:rPr>
          <w:rFonts w:hint="eastAsia" w:ascii="仿宋_GB2312" w:hAnsi="Times New Roman" w:eastAsia="仿宋_GB2312" w:cs="Times New Roman"/>
          <w:sz w:val="32"/>
          <w:szCs w:val="32"/>
        </w:rPr>
        <w:t>正文分总体要求、主要任务和保障措施三个部分。其中主要任务为重点部分，可以概括为“四个底线”（水安全、水环境安全、粮食安全、生态安全）、“四化同步”（新型工业化、信息化、新型城镇化、服务业现代化）、“三个支撑”（综合交通体系、现代物流体系、教育科技人才体系）。具体为：</w:t>
      </w:r>
    </w:p>
    <w:p>
      <w:pPr>
        <w:spacing w:line="574" w:lineRule="exact"/>
        <w:ind w:firstLine="640" w:firstLineChars="200"/>
        <w:rPr>
          <w:rFonts w:ascii="仿宋_GB2312" w:hAnsi="Times New Roman" w:eastAsia="仿宋_GB2312" w:cs="Times New Roman"/>
          <w:sz w:val="32"/>
          <w:szCs w:val="32"/>
        </w:rPr>
      </w:pPr>
      <w:r>
        <w:rPr>
          <w:rFonts w:hint="eastAsia" w:ascii="仿宋_GB2312" w:hAnsi="楷体_GB2312" w:eastAsia="仿宋_GB2312" w:cs="楷体_GB2312"/>
          <w:color w:val="000000" w:themeColor="text1"/>
          <w:sz w:val="32"/>
          <w:szCs w:val="32"/>
        </w:rPr>
        <w:t>（</w:t>
      </w:r>
      <w:r>
        <w:rPr>
          <w:rFonts w:hint="eastAsia" w:ascii="Times New Roman" w:hAnsi="Times New Roman" w:eastAsia="仿宋_GB2312" w:cs="楷体_GB2312"/>
          <w:color w:val="000000" w:themeColor="text1"/>
          <w:sz w:val="32"/>
          <w:szCs w:val="32"/>
        </w:rPr>
        <w:t>1</w:t>
      </w:r>
      <w:r>
        <w:rPr>
          <w:rFonts w:hint="eastAsia" w:ascii="仿宋_GB2312" w:hAnsi="楷体_GB2312" w:eastAsia="仿宋_GB2312" w:cs="楷体_GB2312"/>
          <w:color w:val="000000" w:themeColor="text1"/>
          <w:sz w:val="32"/>
          <w:szCs w:val="32"/>
        </w:rPr>
        <w:t>）坚决守牢流域综合治理安全底线。</w:t>
      </w:r>
      <w:r>
        <w:rPr>
          <w:rFonts w:hint="eastAsia" w:ascii="仿宋_GB2312" w:hAnsi="Times New Roman" w:eastAsia="仿宋_GB2312" w:cs="Times New Roman"/>
          <w:sz w:val="32"/>
          <w:szCs w:val="32"/>
        </w:rPr>
        <w:t>包括四个方面的内容：一是守住水安全底线，确保水畅城安。二是守住水环境安全底线，提升河库水质。三是守住粮食安全底线，提升应急保供能力。四是守住生态安全底线，提升生态服务能力。</w:t>
      </w:r>
    </w:p>
    <w:p>
      <w:pPr>
        <w:spacing w:line="574"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2</w:t>
      </w:r>
      <w:r>
        <w:rPr>
          <w:rFonts w:hint="eastAsia" w:ascii="仿宋_GB2312" w:hAnsi="Times New Roman" w:eastAsia="仿宋_GB2312" w:cs="Times New Roman"/>
          <w:sz w:val="32"/>
          <w:szCs w:val="32"/>
        </w:rPr>
        <w:t>）</w:t>
      </w:r>
      <w:r>
        <w:rPr>
          <w:rFonts w:hint="eastAsia" w:ascii="仿宋_GB2312" w:hAnsi="楷体_GB2312" w:eastAsia="仿宋_GB2312" w:cs="楷体_GB2312"/>
          <w:color w:val="000000" w:themeColor="text1"/>
          <w:sz w:val="32"/>
          <w:szCs w:val="32"/>
        </w:rPr>
        <w:t>积极探索特色化“四化”同步发展路径</w:t>
      </w:r>
      <w:r>
        <w:rPr>
          <w:rFonts w:hint="eastAsia" w:ascii="仿宋_GB2312" w:hAnsi="Times New Roman" w:eastAsia="仿宋_GB2312" w:cs="Times New Roman"/>
          <w:sz w:val="32"/>
          <w:szCs w:val="32"/>
        </w:rPr>
        <w:t>。一是推进新型工业化。二是推进信息化建设。三是推进新型城镇化。四是推进服务业现代化。</w:t>
      </w:r>
    </w:p>
    <w:p>
      <w:pPr>
        <w:spacing w:line="574" w:lineRule="exact"/>
        <w:ind w:firstLine="640" w:firstLineChars="200"/>
        <w:rPr>
          <w:rFonts w:ascii="仿宋_GB2312" w:hAnsi="Times New Roman" w:eastAsia="仿宋_GB2312" w:cs="Times New Roman"/>
          <w:sz w:val="32"/>
          <w:szCs w:val="32"/>
        </w:rPr>
      </w:pPr>
      <w:r>
        <w:rPr>
          <w:rFonts w:hint="eastAsia" w:ascii="仿宋_GB2312" w:hAnsi="楷体_GB2312" w:eastAsia="仿宋_GB2312" w:cs="楷体_GB2312"/>
          <w:color w:val="000000" w:themeColor="text1"/>
          <w:sz w:val="32"/>
          <w:szCs w:val="32"/>
        </w:rPr>
        <w:t>（</w:t>
      </w:r>
      <w:r>
        <w:rPr>
          <w:rFonts w:hint="eastAsia" w:ascii="Times New Roman" w:hAnsi="Times New Roman" w:eastAsia="仿宋_GB2312" w:cs="楷体_GB2312"/>
          <w:color w:val="000000" w:themeColor="text1"/>
          <w:sz w:val="32"/>
          <w:szCs w:val="32"/>
        </w:rPr>
        <w:t>3</w:t>
      </w:r>
      <w:r>
        <w:rPr>
          <w:rFonts w:hint="eastAsia" w:ascii="仿宋_GB2312" w:hAnsi="楷体_GB2312" w:eastAsia="仿宋_GB2312" w:cs="楷体_GB2312"/>
          <w:color w:val="000000" w:themeColor="text1"/>
          <w:sz w:val="32"/>
          <w:szCs w:val="32"/>
        </w:rPr>
        <w:t>）加快提升支撑体系能力和水平。</w:t>
      </w:r>
      <w:r>
        <w:rPr>
          <w:rFonts w:hint="eastAsia" w:ascii="仿宋_GB2312" w:hAnsi="Times New Roman" w:eastAsia="仿宋_GB2312" w:cs="Times New Roman"/>
          <w:sz w:val="32"/>
          <w:szCs w:val="32"/>
        </w:rPr>
        <w:t>一是完善综合交通体系。二是完善现代物流体系。三是完善教育科技人才体系。</w:t>
      </w:r>
    </w:p>
    <w:p>
      <w:pPr>
        <w:spacing w:line="574" w:lineRule="exact"/>
        <w:ind w:firstLine="640" w:firstLineChars="200"/>
        <w:jc w:val="left"/>
        <w:rPr>
          <w:rFonts w:ascii="仿宋_GB2312" w:hAnsi="方正楷体简体" w:eastAsia="仿宋_GB2312" w:cs="方正楷体简体"/>
          <w:sz w:val="32"/>
          <w:szCs w:val="32"/>
        </w:rPr>
      </w:pPr>
      <w:r>
        <w:rPr>
          <w:rFonts w:hint="eastAsia" w:ascii="Times New Roman" w:hAnsi="Times New Roman" w:eastAsia="仿宋_GB2312" w:cs="方正楷体简体"/>
          <w:sz w:val="32"/>
          <w:szCs w:val="32"/>
        </w:rPr>
        <w:t>2</w:t>
      </w:r>
      <w:r>
        <w:rPr>
          <w:rFonts w:hint="eastAsia" w:ascii="仿宋_GB2312" w:hAnsi="方正楷体简体" w:eastAsia="仿宋_GB2312" w:cs="方正楷体简体"/>
          <w:sz w:val="32"/>
          <w:szCs w:val="32"/>
        </w:rPr>
        <w:t>.三张重点工作清单内容</w:t>
      </w:r>
    </w:p>
    <w:p>
      <w:pPr>
        <w:spacing w:line="574"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color w:val="000000"/>
          <w:sz w:val="32"/>
          <w:szCs w:val="32"/>
        </w:rPr>
        <w:t>根据市级清单的结构，向各相关部门征集我区具体任务。具体为：重点项目清单（见附件</w:t>
      </w:r>
      <w:r>
        <w:rPr>
          <w:rFonts w:hint="eastAsia" w:ascii="Times New Roman" w:hAnsi="Times New Roman" w:eastAsia="仿宋_GB2312" w:cs="Times New Roman"/>
          <w:color w:val="000000"/>
          <w:sz w:val="32"/>
          <w:szCs w:val="32"/>
        </w:rPr>
        <w:t>1</w:t>
      </w:r>
      <w:r>
        <w:rPr>
          <w:rFonts w:hint="eastAsia" w:ascii="仿宋_GB2312" w:hAnsi="Times New Roman" w:eastAsia="仿宋_GB2312" w:cs="Times New Roman"/>
          <w:color w:val="000000"/>
          <w:sz w:val="32"/>
          <w:szCs w:val="32"/>
        </w:rPr>
        <w:t>），共计</w:t>
      </w:r>
      <w:r>
        <w:rPr>
          <w:rFonts w:hint="eastAsia" w:ascii="Times New Roman" w:hAnsi="Times New Roman" w:eastAsia="仿宋_GB2312" w:cs="Times New Roman"/>
          <w:color w:val="000000"/>
          <w:sz w:val="32"/>
          <w:szCs w:val="32"/>
        </w:rPr>
        <w:t>125</w:t>
      </w:r>
      <w:r>
        <w:rPr>
          <w:rFonts w:hint="eastAsia" w:ascii="仿宋_GB2312" w:hAnsi="Times New Roman" w:eastAsia="仿宋_GB2312" w:cs="Times New Roman"/>
          <w:color w:val="000000"/>
          <w:sz w:val="32"/>
          <w:szCs w:val="32"/>
        </w:rPr>
        <w:t>个项目，计划总投</w:t>
      </w:r>
      <w:r>
        <w:rPr>
          <w:rFonts w:hint="eastAsia" w:ascii="仿宋_GB2312" w:hAnsi="Times New Roman" w:eastAsia="仿宋_GB2312" w:cs="Times New Roman"/>
          <w:sz w:val="32"/>
          <w:szCs w:val="32"/>
        </w:rPr>
        <w:t>资约</w:t>
      </w:r>
      <w:r>
        <w:rPr>
          <w:rFonts w:hint="eastAsia" w:ascii="Times New Roman" w:hAnsi="Times New Roman" w:eastAsia="仿宋_GB2312" w:cs="Times New Roman"/>
          <w:sz w:val="32"/>
          <w:szCs w:val="32"/>
        </w:rPr>
        <w:t>1560</w:t>
      </w:r>
      <w:r>
        <w:rPr>
          <w:rFonts w:hint="eastAsia" w:ascii="仿宋_GB2312" w:hAnsi="Times New Roman" w:eastAsia="仿宋_GB2312" w:cs="Times New Roman"/>
          <w:sz w:val="32"/>
          <w:szCs w:val="32"/>
        </w:rPr>
        <w:t>亿元</w:t>
      </w:r>
      <w:r>
        <w:rPr>
          <w:rFonts w:hint="eastAsia" w:ascii="仿宋_GB2312" w:hAnsi="Times New Roman" w:eastAsia="仿宋_GB2312" w:cs="Times New Roman"/>
          <w:color w:val="000000"/>
          <w:sz w:val="32"/>
          <w:szCs w:val="32"/>
        </w:rPr>
        <w:t>。重大事项清单（见附件</w:t>
      </w:r>
      <w:r>
        <w:rPr>
          <w:rFonts w:hint="eastAsia" w:ascii="Times New Roman" w:hAnsi="Times New Roman" w:eastAsia="仿宋_GB2312" w:cs="Times New Roman"/>
          <w:color w:val="000000"/>
          <w:sz w:val="32"/>
          <w:szCs w:val="32"/>
        </w:rPr>
        <w:t>2</w:t>
      </w:r>
      <w:r>
        <w:rPr>
          <w:rFonts w:hint="eastAsia" w:ascii="仿宋_GB2312" w:hAnsi="Times New Roman" w:eastAsia="仿宋_GB2312" w:cs="Times New Roman"/>
          <w:color w:val="000000"/>
          <w:sz w:val="32"/>
          <w:szCs w:val="32"/>
        </w:rPr>
        <w:t>），包括三大类，十二小类，共计</w:t>
      </w:r>
      <w:r>
        <w:rPr>
          <w:rFonts w:hint="eastAsia" w:ascii="Times New Roman" w:hAnsi="Times New Roman" w:eastAsia="仿宋_GB2312" w:cs="Times New Roman"/>
          <w:color w:val="000000"/>
          <w:sz w:val="32"/>
          <w:szCs w:val="32"/>
        </w:rPr>
        <w:t>29</w:t>
      </w:r>
      <w:r>
        <w:rPr>
          <w:rFonts w:hint="eastAsia" w:ascii="仿宋_GB2312" w:hAnsi="Times New Roman" w:eastAsia="仿宋_GB2312" w:cs="Times New Roman"/>
          <w:color w:val="000000"/>
          <w:sz w:val="32"/>
          <w:szCs w:val="32"/>
        </w:rPr>
        <w:t>个重大事项；重点任务清单（见附件</w:t>
      </w:r>
      <w:r>
        <w:rPr>
          <w:rFonts w:hint="eastAsia" w:ascii="Times New Roman" w:hAnsi="Times New Roman" w:eastAsia="仿宋_GB2312" w:cs="Times New Roman"/>
          <w:color w:val="000000"/>
          <w:sz w:val="32"/>
          <w:szCs w:val="32"/>
        </w:rPr>
        <w:t>3</w:t>
      </w:r>
      <w:r>
        <w:rPr>
          <w:rFonts w:hint="eastAsia" w:ascii="仿宋_GB2312" w:hAnsi="Times New Roman" w:eastAsia="仿宋_GB2312" w:cs="Times New Roman"/>
          <w:color w:val="000000"/>
          <w:sz w:val="32"/>
          <w:szCs w:val="32"/>
        </w:rPr>
        <w:t>），包括三大类，十二小类，共计</w:t>
      </w:r>
      <w:r>
        <w:rPr>
          <w:rFonts w:hint="eastAsia" w:ascii="Times New Roman" w:hAnsi="Times New Roman" w:eastAsia="仿宋_GB2312" w:cs="Times New Roman"/>
          <w:color w:val="000000"/>
          <w:sz w:val="32"/>
          <w:szCs w:val="32"/>
        </w:rPr>
        <w:t>32</w:t>
      </w:r>
      <w:r>
        <w:rPr>
          <w:rFonts w:hint="eastAsia" w:ascii="仿宋_GB2312" w:hAnsi="Times New Roman" w:eastAsia="仿宋_GB2312" w:cs="Times New Roman"/>
          <w:color w:val="000000"/>
          <w:sz w:val="32"/>
          <w:szCs w:val="32"/>
        </w:rPr>
        <w:t>个重点任务</w:t>
      </w:r>
      <w:r>
        <w:rPr>
          <w:rFonts w:hint="eastAsia" w:ascii="仿宋_GB2312" w:hAnsi="Times New Roman" w:eastAsia="仿宋_GB2312" w:cs="Times New Roman"/>
          <w:sz w:val="32"/>
          <w:szCs w:val="32"/>
        </w:rPr>
        <w:t>。</w:t>
      </w:r>
    </w:p>
    <w:p>
      <w:pPr>
        <w:spacing w:line="574" w:lineRule="exact"/>
        <w:ind w:firstLine="640" w:firstLineChars="200"/>
        <w:jc w:val="left"/>
        <w:rPr>
          <w:rFonts w:ascii="仿宋_GB2312" w:hAnsi="方正楷体简体" w:eastAsia="仿宋_GB2312" w:cs="方正楷体简体"/>
          <w:sz w:val="32"/>
          <w:szCs w:val="32"/>
        </w:rPr>
      </w:pPr>
      <w:r>
        <w:rPr>
          <w:rFonts w:hint="eastAsia" w:ascii="Times New Roman" w:hAnsi="Times New Roman" w:eastAsia="仿宋_GB2312" w:cs="方正楷体简体"/>
          <w:sz w:val="32"/>
          <w:szCs w:val="32"/>
        </w:rPr>
        <w:t>3</w:t>
      </w:r>
      <w:r>
        <w:rPr>
          <w:rFonts w:hint="eastAsia" w:ascii="仿宋_GB2312" w:hAnsi="方正楷体简体" w:eastAsia="仿宋_GB2312" w:cs="方正楷体简体"/>
          <w:sz w:val="32"/>
          <w:szCs w:val="32"/>
        </w:rPr>
        <w:t>.需要说明的问题</w:t>
      </w:r>
    </w:p>
    <w:p>
      <w:pPr>
        <w:spacing w:line="574"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行动方案根据省市两级规划及市级三年行动方案，在板块的设置和分类与上级保持一致。</w:t>
      </w:r>
    </w:p>
    <w:p>
      <w:pPr>
        <w:spacing w:line="574"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在省、市级规划和行动方案中，安全底线分为水安全、水环境安全、粮食安全、生态安全四类安全底线，我区因为不是粮食主产区，所以在粮食安全上主要侧重从粮食的应急保供上着手谋划。</w:t>
      </w:r>
    </w:p>
    <w:p>
      <w:pPr>
        <w:spacing w:line="574"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在发展引领中，我区因农业占比极少，服务业为发展</w:t>
      </w:r>
      <w:r>
        <w:rPr>
          <w:rFonts w:hint="eastAsia" w:ascii="仿宋_GB2312" w:hAnsi="Times New Roman" w:eastAsia="仿宋_GB2312" w:cs="Times New Roman"/>
          <w:sz w:val="32"/>
          <w:szCs w:val="32"/>
          <w:lang w:eastAsia="zh-CN"/>
        </w:rPr>
        <w:t>重点</w:t>
      </w:r>
      <w:r>
        <w:rPr>
          <w:rFonts w:hint="eastAsia" w:ascii="仿宋_GB2312" w:hAnsi="Times New Roman" w:eastAsia="仿宋_GB2312" w:cs="Times New Roman"/>
          <w:sz w:val="32"/>
          <w:szCs w:val="32"/>
        </w:rPr>
        <w:t>，结合我区现代服务业作为支柱产业的发展实际，以及国家发改委“着力推动服务现代化”等政策要求，方案中将省市</w:t>
      </w:r>
      <w:r>
        <w:rPr>
          <w:rFonts w:hint="eastAsia" w:ascii="仿宋_GB2312" w:hAnsi="Times New Roman" w:eastAsia="仿宋_GB2312" w:cs="Times New Roman"/>
          <w:sz w:val="32"/>
          <w:szCs w:val="32"/>
          <w:lang w:eastAsia="zh-CN"/>
        </w:rPr>
        <w:t>方案中</w:t>
      </w:r>
      <w:r>
        <w:rPr>
          <w:rFonts w:hint="eastAsia" w:ascii="仿宋_GB2312" w:hAnsi="Times New Roman" w:eastAsia="仿宋_GB2312" w:cs="Times New Roman"/>
          <w:sz w:val="32"/>
          <w:szCs w:val="32"/>
        </w:rPr>
        <w:t>的“农业现代化”替换成“服务业现代化”进行统筹推进。</w:t>
      </w:r>
    </w:p>
    <w:p>
      <w:pPr>
        <w:spacing w:line="574" w:lineRule="exact"/>
        <w:ind w:firstLine="640" w:firstLineChars="200"/>
        <w:rPr>
          <w:rFonts w:ascii="仿宋_GB2312" w:eastAsia="仿宋_GB2312"/>
        </w:rPr>
      </w:pPr>
      <w:r>
        <w:rPr>
          <w:rFonts w:hint="eastAsia" w:ascii="仿宋_GB2312" w:hAnsi="Times New Roman" w:eastAsia="仿宋_GB2312" w:cs="Times New Roman"/>
          <w:sz w:val="32"/>
          <w:szCs w:val="32"/>
        </w:rPr>
        <w:t>在推进新型工业化模块，“大力发展数字经济”部分，经相关单位建议，采纳了区委关于数字经济发展专题调研报告的内容。</w:t>
      </w:r>
    </w:p>
    <w:p>
      <w:pPr>
        <w:pStyle w:val="3"/>
        <w:spacing w:after="0" w:line="574" w:lineRule="exact"/>
        <w:ind w:left="0" w:leftChars="0" w:firstLine="640" w:firstLineChars="200"/>
        <w:rPr>
          <w:rFonts w:ascii="楷体_GB2312" w:hAnsi="方正楷体简体" w:eastAsia="楷体_GB2312" w:cs="方正楷体简体"/>
          <w:color w:val="000000"/>
          <w:sz w:val="32"/>
          <w:szCs w:val="32"/>
        </w:rPr>
      </w:pPr>
      <w:r>
        <w:rPr>
          <w:rFonts w:hint="eastAsia" w:ascii="楷体_GB2312" w:hAnsi="方正楷体简体" w:eastAsia="楷体_GB2312" w:cs="方正楷体简体"/>
          <w:color w:val="000000"/>
          <w:sz w:val="32"/>
          <w:szCs w:val="32"/>
        </w:rPr>
        <w:t>（二）长江大保护典范城市建设三年行动方案</w:t>
      </w:r>
    </w:p>
    <w:p>
      <w:pPr>
        <w:spacing w:line="574"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《长江大保护典范城市建设三年行动方案》（以下简称《行动方案》）具体包括四大重点任务共计</w:t>
      </w:r>
      <w:r>
        <w:rPr>
          <w:rFonts w:hint="eastAsia" w:ascii="Times New Roman" w:hAnsi="Times New Roman" w:eastAsia="仿宋_GB2312" w:cs="Times New Roman"/>
          <w:sz w:val="32"/>
          <w:szCs w:val="32"/>
        </w:rPr>
        <w:t>23</w:t>
      </w:r>
      <w:r>
        <w:rPr>
          <w:rFonts w:hint="eastAsia" w:ascii="仿宋_GB2312" w:hAnsi="Times New Roman" w:eastAsia="仿宋_GB2312" w:cs="Times New Roman"/>
          <w:sz w:val="32"/>
          <w:szCs w:val="32"/>
        </w:rPr>
        <w:t>项主要措施和三张重点清单。下面分别予以说明。</w:t>
      </w:r>
    </w:p>
    <w:p>
      <w:pPr>
        <w:pStyle w:val="3"/>
        <w:spacing w:after="0" w:line="574" w:lineRule="exact"/>
        <w:ind w:left="0" w:leftChars="0" w:firstLine="640" w:firstLineChars="200"/>
        <w:rPr>
          <w:rFonts w:ascii="仿宋_GB2312" w:hAnsi="方正楷体简体" w:eastAsia="仿宋_GB2312" w:cs="方正楷体简体"/>
          <w:sz w:val="32"/>
          <w:szCs w:val="32"/>
        </w:rPr>
      </w:pPr>
      <w:r>
        <w:rPr>
          <w:rFonts w:hint="eastAsia" w:ascii="Times New Roman" w:hAnsi="Times New Roman" w:eastAsia="仿宋_GB2312" w:cs="方正楷体简体"/>
          <w:sz w:val="32"/>
          <w:szCs w:val="32"/>
        </w:rPr>
        <w:t>1</w:t>
      </w:r>
      <w:r>
        <w:rPr>
          <w:rFonts w:hint="eastAsia" w:ascii="仿宋_GB2312" w:hAnsi="方正楷体简体" w:eastAsia="仿宋_GB2312" w:cs="方正楷体简体"/>
          <w:sz w:val="32"/>
          <w:szCs w:val="32"/>
        </w:rPr>
        <w:t>.四大重点任务</w:t>
      </w:r>
    </w:p>
    <w:p>
      <w:pPr>
        <w:spacing w:line="574"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根据区实施意见，四大重点任务分别为“树立全流域生态保护修复示范”“建设‘宜荆荆’都市圈繁荣中心”“建设山水城辉映最美滨江风貌”和“打造共同缔造‘伍家范式’”。其中细化出全面推进流域综合治理、加快建设数字产业发展高地、优化拓展城市空间布局、以筑堡强基推进共同缔造等</w:t>
      </w:r>
      <w:r>
        <w:rPr>
          <w:rFonts w:hint="eastAsia" w:ascii="Times New Roman" w:hAnsi="Times New Roman" w:eastAsia="仿宋_GB2312" w:cs="Times New Roman"/>
          <w:sz w:val="32"/>
          <w:szCs w:val="32"/>
        </w:rPr>
        <w:t>23</w:t>
      </w:r>
      <w:r>
        <w:rPr>
          <w:rFonts w:hint="eastAsia" w:ascii="仿宋_GB2312" w:hAnsi="Times New Roman" w:eastAsia="仿宋_GB2312" w:cs="Times New Roman"/>
          <w:sz w:val="32"/>
          <w:szCs w:val="32"/>
        </w:rPr>
        <w:t>项具体措施。</w:t>
      </w:r>
    </w:p>
    <w:p>
      <w:pPr>
        <w:pStyle w:val="3"/>
        <w:spacing w:after="0" w:line="574" w:lineRule="exact"/>
        <w:ind w:left="0" w:leftChars="0" w:firstLine="640" w:firstLineChars="200"/>
        <w:rPr>
          <w:rFonts w:ascii="仿宋_GB2312" w:hAnsi="方正楷体简体" w:eastAsia="仿宋_GB2312" w:cs="方正楷体简体"/>
          <w:sz w:val="32"/>
          <w:szCs w:val="32"/>
        </w:rPr>
      </w:pPr>
      <w:r>
        <w:rPr>
          <w:rFonts w:hint="eastAsia" w:ascii="Times New Roman" w:hAnsi="Times New Roman" w:eastAsia="仿宋_GB2312" w:cs="方正楷体简体"/>
          <w:sz w:val="32"/>
          <w:szCs w:val="32"/>
        </w:rPr>
        <w:t>2</w:t>
      </w:r>
      <w:r>
        <w:rPr>
          <w:rFonts w:hint="eastAsia" w:ascii="仿宋_GB2312" w:hAnsi="方正楷体简体" w:eastAsia="仿宋_GB2312" w:cs="方正楷体简体"/>
          <w:sz w:val="32"/>
          <w:szCs w:val="32"/>
        </w:rPr>
        <w:t>.三张清单</w:t>
      </w:r>
    </w:p>
    <w:p>
      <w:pPr>
        <w:spacing w:line="574"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sz w:val="32"/>
          <w:szCs w:val="32"/>
        </w:rPr>
        <w:t>“三张清单”即重大事项任务清单、重点项目任务清单、市评价指标体系。“三张清单”是《行动方案》的抓手和落脚点，根据市级清单结构，汇总各单位上报内容后，重大事项任务清单共</w:t>
      </w:r>
      <w:r>
        <w:rPr>
          <w:rFonts w:hint="eastAsia" w:ascii="Times New Roman" w:hAnsi="Times New Roman" w:eastAsia="仿宋_GB2312" w:cs="Times New Roman"/>
          <w:sz w:val="32"/>
          <w:szCs w:val="32"/>
        </w:rPr>
        <w:t>29</w:t>
      </w:r>
      <w:r>
        <w:rPr>
          <w:rFonts w:hint="eastAsia" w:ascii="仿宋_GB2312" w:hAnsi="Times New Roman" w:eastAsia="仿宋_GB2312" w:cs="Times New Roman"/>
          <w:sz w:val="32"/>
          <w:szCs w:val="32"/>
        </w:rPr>
        <w:t>项具体事项；重点项目任务清单共</w:t>
      </w:r>
      <w:r>
        <w:rPr>
          <w:rFonts w:hint="eastAsia" w:ascii="Times New Roman" w:hAnsi="Times New Roman" w:eastAsia="仿宋_GB2312" w:cs="Times New Roman"/>
          <w:sz w:val="32"/>
          <w:szCs w:val="32"/>
        </w:rPr>
        <w:t>62</w:t>
      </w:r>
      <w:r>
        <w:rPr>
          <w:rFonts w:hint="eastAsia" w:ascii="仿宋_GB2312" w:hAnsi="Times New Roman" w:eastAsia="仿宋_GB2312" w:cs="Times New Roman"/>
          <w:sz w:val="32"/>
          <w:szCs w:val="32"/>
        </w:rPr>
        <w:t>个项目（其中：新开工</w:t>
      </w:r>
      <w:r>
        <w:rPr>
          <w:rFonts w:hint="eastAsia" w:ascii="Times New Roman" w:hAnsi="Times New Roman" w:eastAsia="仿宋_GB2312" w:cs="Times New Roman"/>
          <w:sz w:val="32"/>
          <w:szCs w:val="32"/>
        </w:rPr>
        <w:t>23</w:t>
      </w:r>
      <w:r>
        <w:rPr>
          <w:rFonts w:hint="eastAsia" w:ascii="仿宋_GB2312" w:hAnsi="Times New Roman" w:eastAsia="仿宋_GB2312" w:cs="Times New Roman"/>
          <w:sz w:val="32"/>
          <w:szCs w:val="32"/>
        </w:rPr>
        <w:t>个、续建</w:t>
      </w:r>
      <w:r>
        <w:rPr>
          <w:rFonts w:hint="eastAsia" w:ascii="Times New Roman" w:hAnsi="Times New Roman" w:eastAsia="仿宋_GB2312" w:cs="Times New Roman"/>
          <w:sz w:val="32"/>
          <w:szCs w:val="32"/>
        </w:rPr>
        <w:t>20</w:t>
      </w:r>
      <w:r>
        <w:rPr>
          <w:rFonts w:hint="eastAsia" w:ascii="仿宋_GB2312" w:hAnsi="Times New Roman" w:eastAsia="仿宋_GB2312" w:cs="Times New Roman"/>
          <w:sz w:val="32"/>
          <w:szCs w:val="32"/>
        </w:rPr>
        <w:t>个、改建</w:t>
      </w:r>
      <w:r>
        <w:rPr>
          <w:rFonts w:hint="eastAsia" w:ascii="Times New Roman" w:hAnsi="Times New Roman" w:eastAsia="仿宋_GB2312" w:cs="Times New Roman"/>
          <w:sz w:val="32"/>
          <w:szCs w:val="32"/>
        </w:rPr>
        <w:t>5</w:t>
      </w:r>
      <w:r>
        <w:rPr>
          <w:rFonts w:hint="eastAsia" w:ascii="仿宋_GB2312" w:hAnsi="Times New Roman" w:eastAsia="仿宋_GB2312" w:cs="Times New Roman"/>
          <w:sz w:val="32"/>
          <w:szCs w:val="32"/>
        </w:rPr>
        <w:t>个、谋划</w:t>
      </w:r>
      <w:r>
        <w:rPr>
          <w:rFonts w:hint="eastAsia" w:ascii="Times New Roman" w:hAnsi="Times New Roman" w:eastAsia="仿宋_GB2312" w:cs="Times New Roman"/>
          <w:sz w:val="32"/>
          <w:szCs w:val="32"/>
        </w:rPr>
        <w:t>14</w:t>
      </w:r>
      <w:r>
        <w:rPr>
          <w:rFonts w:hint="eastAsia" w:ascii="仿宋_GB2312" w:hAnsi="Times New Roman" w:eastAsia="仿宋_GB2312" w:cs="Times New Roman"/>
          <w:sz w:val="32"/>
          <w:szCs w:val="32"/>
        </w:rPr>
        <w:t>个），总投资约</w:t>
      </w:r>
      <w:r>
        <w:rPr>
          <w:rFonts w:hint="eastAsia" w:ascii="Times New Roman" w:hAnsi="Times New Roman" w:eastAsia="仿宋_GB2312" w:cs="Times New Roman"/>
          <w:sz w:val="32"/>
          <w:szCs w:val="32"/>
        </w:rPr>
        <w:t>940</w:t>
      </w:r>
      <w:r>
        <w:rPr>
          <w:rFonts w:hint="eastAsia" w:ascii="仿宋_GB2312" w:hAnsi="Times New Roman" w:eastAsia="仿宋_GB2312" w:cs="Times New Roman"/>
          <w:sz w:val="32"/>
          <w:szCs w:val="32"/>
        </w:rPr>
        <w:t>亿元；市评价指标体系共</w:t>
      </w:r>
      <w:r>
        <w:rPr>
          <w:rFonts w:hint="eastAsia" w:ascii="Times New Roman" w:hAnsi="Times New Roman" w:eastAsia="仿宋_GB2312" w:cs="Times New Roman"/>
          <w:sz w:val="32"/>
          <w:szCs w:val="32"/>
        </w:rPr>
        <w:t>5</w:t>
      </w:r>
      <w:r>
        <w:rPr>
          <w:rFonts w:hint="eastAsia" w:ascii="仿宋_GB2312" w:hAnsi="Times New Roman" w:eastAsia="仿宋_GB2312" w:cs="Times New Roman"/>
          <w:sz w:val="32"/>
          <w:szCs w:val="32"/>
        </w:rPr>
        <w:t>大类</w:t>
      </w:r>
      <w:r>
        <w:rPr>
          <w:rFonts w:hint="eastAsia" w:ascii="Times New Roman" w:hAnsi="Times New Roman" w:eastAsia="仿宋_GB2312" w:cs="Times New Roman"/>
          <w:sz w:val="32"/>
          <w:szCs w:val="32"/>
        </w:rPr>
        <w:t>37</w:t>
      </w:r>
      <w:r>
        <w:rPr>
          <w:rFonts w:hint="eastAsia" w:ascii="仿宋_GB2312" w:hAnsi="Times New Roman" w:eastAsia="仿宋_GB2312" w:cs="Times New Roman"/>
          <w:sz w:val="32"/>
          <w:szCs w:val="32"/>
        </w:rPr>
        <w:t>个评价指标。</w:t>
      </w:r>
    </w:p>
    <w:p>
      <w:pPr>
        <w:pStyle w:val="3"/>
        <w:spacing w:after="0" w:line="574" w:lineRule="exact"/>
        <w:ind w:left="0" w:leftChars="0" w:firstLine="640" w:firstLineChars="200"/>
        <w:rPr>
          <w:rFonts w:hint="eastAsia" w:ascii="黑体" w:hAnsi="方正黑体_GBK" w:eastAsia="黑体" w:cs="方正黑体_GBK"/>
          <w:color w:val="000000"/>
          <w:sz w:val="32"/>
          <w:szCs w:val="32"/>
        </w:rPr>
      </w:pPr>
      <w:r>
        <w:rPr>
          <w:rFonts w:hint="eastAsia" w:ascii="黑体" w:hAnsi="方正黑体_GBK" w:eastAsia="黑体" w:cs="方正黑体_GBK"/>
          <w:color w:val="000000"/>
          <w:sz w:val="32"/>
          <w:szCs w:val="32"/>
        </w:rPr>
        <w:t>四、提请会议讨论研究事项</w:t>
      </w:r>
    </w:p>
    <w:p>
      <w:pPr>
        <w:pStyle w:val="3"/>
        <w:spacing w:after="0" w:line="574" w:lineRule="exact"/>
        <w:ind w:left="0" w:leftChars="0"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建议经区</w:t>
      </w:r>
      <w:r>
        <w:rPr>
          <w:rFonts w:hint="eastAsia" w:ascii="仿宋_GB2312" w:hAnsi="Times New Roman" w:eastAsia="仿宋_GB2312" w:cs="Times New Roman"/>
          <w:color w:val="000000"/>
          <w:sz w:val="32"/>
          <w:szCs w:val="32"/>
          <w:lang w:eastAsia="zh-CN"/>
        </w:rPr>
        <w:t>区委常委</w:t>
      </w:r>
      <w:r>
        <w:rPr>
          <w:rFonts w:hint="eastAsia" w:ascii="仿宋_GB2312" w:hAnsi="Times New Roman" w:eastAsia="仿宋_GB2312" w:cs="Times New Roman"/>
          <w:color w:val="000000"/>
          <w:sz w:val="32"/>
          <w:szCs w:val="32"/>
        </w:rPr>
        <w:t>会议讨论通过后，以区政府办公室名义印发实施。</w:t>
      </w:r>
    </w:p>
    <w:p>
      <w:pPr>
        <w:pStyle w:val="3"/>
        <w:spacing w:after="0" w:line="574" w:lineRule="exact"/>
        <w:ind w:left="0" w:leftChars="0" w:firstLine="640" w:firstLineChars="200"/>
        <w:rPr>
          <w:rFonts w:ascii="仿宋_GB2312" w:hAnsi="Times New Roman" w:eastAsia="仿宋_GB2312" w:cs="Times New Roman"/>
          <w:color w:val="000000"/>
          <w:sz w:val="32"/>
          <w:szCs w:val="32"/>
        </w:rPr>
      </w:pPr>
    </w:p>
    <w:p>
      <w:pPr>
        <w:pStyle w:val="3"/>
        <w:spacing w:after="0" w:line="574" w:lineRule="exact"/>
        <w:ind w:left="0" w:leftChars="0"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附件：</w:t>
      </w:r>
      <w:r>
        <w:rPr>
          <w:rFonts w:hint="eastAsia" w:ascii="Times New Roman" w:hAnsi="Times New Roman" w:eastAsia="仿宋_GB2312" w:cs="Times New Roman"/>
          <w:color w:val="000000"/>
          <w:sz w:val="32"/>
          <w:szCs w:val="32"/>
        </w:rPr>
        <w:t>1</w:t>
      </w:r>
      <w:r>
        <w:rPr>
          <w:rFonts w:hint="eastAsia" w:ascii="仿宋_GB2312" w:hAnsi="Times New Roman" w:eastAsia="仿宋_GB2312" w:cs="Times New Roman"/>
          <w:color w:val="000000"/>
          <w:sz w:val="32"/>
          <w:szCs w:val="32"/>
        </w:rPr>
        <w:t>.伍家岗区流域综合治理和统筹发展三年行动方案</w:t>
      </w:r>
    </w:p>
    <w:p>
      <w:pPr>
        <w:pStyle w:val="3"/>
        <w:spacing w:after="0" w:line="574" w:lineRule="exact"/>
        <w:ind w:left="0" w:leftChars="0" w:firstLine="1760" w:firstLineChars="55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2023</w:t>
      </w:r>
      <w:r>
        <w:rPr>
          <w:rFonts w:hint="eastAsia" w:ascii="仿宋_GB2312"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2025</w:t>
      </w:r>
      <w:r>
        <w:rPr>
          <w:rFonts w:hint="eastAsia" w:ascii="仿宋_GB2312" w:hAnsi="Times New Roman" w:eastAsia="仿宋_GB2312" w:cs="Times New Roman"/>
          <w:color w:val="000000"/>
          <w:sz w:val="32"/>
          <w:szCs w:val="32"/>
        </w:rPr>
        <w:t>年）（送审稿）</w:t>
      </w:r>
    </w:p>
    <w:p>
      <w:pPr>
        <w:pStyle w:val="3"/>
        <w:spacing w:after="0" w:line="574" w:lineRule="exact"/>
        <w:ind w:left="0" w:leftChars="0" w:firstLine="1600" w:firstLineChars="500"/>
        <w:rPr>
          <w:rFonts w:ascii="仿宋_GB2312"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w:t>
      </w:r>
      <w:r>
        <w:rPr>
          <w:rFonts w:hint="eastAsia" w:ascii="仿宋_GB2312" w:hAnsi="Times New Roman" w:eastAsia="仿宋_GB2312" w:cs="Times New Roman"/>
          <w:color w:val="000000"/>
          <w:sz w:val="32"/>
          <w:szCs w:val="32"/>
        </w:rPr>
        <w:t>.伍家岗区建设长江大保护典范城市三年行动方案</w:t>
      </w:r>
    </w:p>
    <w:p>
      <w:pPr>
        <w:pStyle w:val="3"/>
        <w:spacing w:after="0" w:line="574" w:lineRule="exact"/>
        <w:ind w:left="0" w:leftChars="0" w:firstLine="1760" w:firstLineChars="55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2023</w:t>
      </w:r>
      <w:r>
        <w:rPr>
          <w:rFonts w:hint="eastAsia" w:ascii="仿宋_GB2312"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2025</w:t>
      </w:r>
      <w:r>
        <w:rPr>
          <w:rFonts w:hint="eastAsia" w:ascii="仿宋_GB2312" w:hAnsi="Times New Roman" w:eastAsia="仿宋_GB2312" w:cs="Times New Roman"/>
          <w:color w:val="000000"/>
          <w:sz w:val="32"/>
          <w:szCs w:val="32"/>
        </w:rPr>
        <w:t>年）（送审稿）</w:t>
      </w:r>
    </w:p>
    <w:p>
      <w:pPr>
        <w:pStyle w:val="3"/>
        <w:spacing w:after="0" w:line="574" w:lineRule="exact"/>
        <w:ind w:left="0" w:leftChars="0" w:firstLine="1760" w:firstLineChars="550"/>
        <w:rPr>
          <w:rFonts w:ascii="仿宋_GB2312" w:hAnsi="Times New Roman" w:eastAsia="仿宋_GB2312" w:cs="Times New Roman"/>
          <w:color w:val="000000"/>
          <w:sz w:val="32"/>
          <w:szCs w:val="32"/>
        </w:rPr>
      </w:pPr>
    </w:p>
    <w:sectPr>
      <w:footerReference r:id="rId3" w:type="default"/>
      <w:footerReference r:id="rId4" w:type="even"/>
      <w:pgSz w:w="11906" w:h="16838"/>
      <w:pgMar w:top="1701" w:right="1531" w:bottom="1701" w:left="1531" w:header="851" w:footer="1418"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楷体简体">
    <w:altName w:val="楷体_GB2312"/>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MyNjcxZWUyYjEyYzBjZmMwNjIxOWJjMWY1YzEyYjMifQ=="/>
  </w:docVars>
  <w:rsids>
    <w:rsidRoot w:val="00D84AA0"/>
    <w:rsid w:val="0001511E"/>
    <w:rsid w:val="00046783"/>
    <w:rsid w:val="000C589E"/>
    <w:rsid w:val="00116F15"/>
    <w:rsid w:val="001B6A78"/>
    <w:rsid w:val="00232975"/>
    <w:rsid w:val="00260A4A"/>
    <w:rsid w:val="003027D7"/>
    <w:rsid w:val="00324012"/>
    <w:rsid w:val="003641AA"/>
    <w:rsid w:val="003A1189"/>
    <w:rsid w:val="0044537F"/>
    <w:rsid w:val="00462066"/>
    <w:rsid w:val="00485A7D"/>
    <w:rsid w:val="004A07CF"/>
    <w:rsid w:val="00622864"/>
    <w:rsid w:val="006C67A1"/>
    <w:rsid w:val="00745C9D"/>
    <w:rsid w:val="007730F4"/>
    <w:rsid w:val="00791D15"/>
    <w:rsid w:val="008053F0"/>
    <w:rsid w:val="008517C7"/>
    <w:rsid w:val="008A47CC"/>
    <w:rsid w:val="00A37B48"/>
    <w:rsid w:val="00B30E0A"/>
    <w:rsid w:val="00B544F2"/>
    <w:rsid w:val="00C1359C"/>
    <w:rsid w:val="00C35429"/>
    <w:rsid w:val="00CD1D4E"/>
    <w:rsid w:val="00D73D0F"/>
    <w:rsid w:val="00D84AA0"/>
    <w:rsid w:val="00D90EF8"/>
    <w:rsid w:val="00E63470"/>
    <w:rsid w:val="00E805A9"/>
    <w:rsid w:val="00FD38A4"/>
    <w:rsid w:val="00FF719E"/>
    <w:rsid w:val="0FAA5F4E"/>
    <w:rsid w:val="1F8D43AD"/>
    <w:rsid w:val="2F9F7FDD"/>
    <w:rsid w:val="381A4FF9"/>
    <w:rsid w:val="3A1766D7"/>
    <w:rsid w:val="411604CE"/>
    <w:rsid w:val="50585B0A"/>
    <w:rsid w:val="59D259FE"/>
    <w:rsid w:val="5B840F8D"/>
    <w:rsid w:val="5BDB4E8C"/>
    <w:rsid w:val="629E3F08"/>
    <w:rsid w:val="64BF1A0C"/>
    <w:rsid w:val="6A872754"/>
    <w:rsid w:val="73282C31"/>
    <w:rsid w:val="7D886C6C"/>
    <w:rsid w:val="7F5E7839"/>
    <w:rsid w:val="7FDFCD68"/>
    <w:rsid w:val="BE50298E"/>
    <w:rsid w:val="D7A76879"/>
    <w:rsid w:val="F9AA1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unhideWhenUsed/>
    <w:qFormat/>
    <w:uiPriority w:val="0"/>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0"/>
    <w:pPr>
      <w:widowControl/>
      <w:pBdr>
        <w:top w:val="none" w:color="A7C0DE" w:sz="0" w:space="10"/>
        <w:left w:val="none" w:color="auto" w:sz="0" w:space="4"/>
        <w:bottom w:val="none" w:color="9BBB59" w:sz="0" w:space="15"/>
        <w:right w:val="none" w:color="auto" w:sz="0" w:space="4"/>
      </w:pBdr>
    </w:pPr>
    <w:rPr>
      <w:rFonts w:ascii="Cambria" w:hAnsi="Cambria" w:eastAsia="仿宋_GB2312"/>
      <w:iCs/>
      <w:color w:val="243F61"/>
      <w:kern w:val="0"/>
      <w:sz w:val="60"/>
      <w:szCs w:val="60"/>
      <w:lang w:eastAsia="en-US" w:bidi="en-US"/>
    </w:rPr>
  </w:style>
  <w:style w:type="character" w:styleId="9">
    <w:name w:val="page number"/>
    <w:basedOn w:val="8"/>
    <w:qFormat/>
    <w:uiPriority w:val="0"/>
  </w:style>
  <w:style w:type="character" w:customStyle="1" w:styleId="10">
    <w:name w:val="NormalCharacter"/>
    <w:semiHidden/>
    <w:qFormat/>
    <w:uiPriority w:val="0"/>
    <w:rPr>
      <w:rFonts w:eastAsia="宋体"/>
      <w:kern w:val="2"/>
      <w:sz w:val="21"/>
      <w:szCs w:val="24"/>
      <w:lang w:val="en-US" w:eastAsia="zh-CN" w:bidi="ar-SA"/>
    </w:rPr>
  </w:style>
  <w:style w:type="character" w:customStyle="1" w:styleId="11">
    <w:name w:val="页眉 Char"/>
    <w:basedOn w:val="8"/>
    <w:link w:val="5"/>
    <w:uiPriority w:val="0"/>
    <w:rPr>
      <w:kern w:val="2"/>
      <w:sz w:val="18"/>
      <w:szCs w:val="18"/>
    </w:rPr>
  </w:style>
  <w:style w:type="character" w:customStyle="1" w:styleId="12">
    <w:name w:val="15"/>
    <w:basedOn w:val="8"/>
    <w:uiPriority w:val="0"/>
    <w:rPr>
      <w:rFonts w:hint="default" w:ascii="Times New Roman" w:hAnsi="Times New Roman" w:cs="Times New Roman"/>
    </w:rPr>
  </w:style>
  <w:style w:type="character" w:customStyle="1" w:styleId="13">
    <w:name w:val="10"/>
    <w:basedOn w:val="8"/>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Pages>
  <Words>362</Words>
  <Characters>2066</Characters>
  <Lines>17</Lines>
  <Paragraphs>4</Paragraphs>
  <TotalTime>66</TotalTime>
  <ScaleCrop>false</ScaleCrop>
  <LinksUpToDate>false</LinksUpToDate>
  <CharactersWithSpaces>2424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2023-05-29T15:41:00Z</dcterms:created>
  <dc:creator>admin</dc:creator>
  <cp:lastModifiedBy>波</cp:lastModifiedBy>
  <cp:lastPrinted>2023-06-15T09:17:36Z</cp:lastPrinted>
  <dcterms:modified xsi:type="dcterms:W3CDTF">2023-06-15T09:34:05Z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96D419B13CFD49168DF3C2950E9514C5_12</vt:lpwstr>
  </property>
</Properties>
</file>